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tm269080d3_fwp.htm"/>
      <w:bookmarkStart w:id="1" w:name="kstm269080d3_fwp"/>
      <w:bookmarkEnd w:id="0"/>
      <w:bookmarkEnd w:id="1"/>
      <w:r>
        <w:rPr>
          <w:b/>
        </w:rPr>
        <w:t>Filed Pursuant to Rule 433</w:t>
      </w:r>
    </w:p>
    <w:p>
      <w:pPr>
        <w:pStyle w:val="TextBody"/>
        <w:bidi w:val="0"/>
        <w:jc w:val="right"/>
        <w:rPr>
          <w:b/>
        </w:rPr>
      </w:pPr>
      <w:r>
        <w:rPr>
          <w:b/>
        </w:rPr>
        <w:t>Issuer Free Writing Prospectus</w:t>
      </w:r>
    </w:p>
    <w:p>
      <w:pPr>
        <w:pStyle w:val="TextBody"/>
        <w:bidi w:val="0"/>
        <w:jc w:val="right"/>
        <w:rPr>
          <w:b/>
        </w:rPr>
      </w:pPr>
      <w:r>
        <w:rPr>
          <w:b/>
        </w:rPr>
        <w:t>Registration No. 333-279061-01</w:t>
      </w:r>
    </w:p>
    <w:p>
      <w:pPr>
        <w:pStyle w:val="TextBody"/>
        <w:bidi w:val="0"/>
        <w:jc w:val="right"/>
        <w:rPr>
          <w:b/>
        </w:rPr>
      </w:pPr>
      <w:r>
        <w:rPr>
          <w:b/>
        </w:rPr>
        <w:t>March 23, 2026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Pricing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Oklahoma Gas And Electric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$350,000,000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5.90</w:t>
      </w:r>
      <w:r>
        <w:rPr>
          <w:rFonts w:ascii="Times New Roman;Times;Serif" w:hAnsi="Times New Roman;Times;Serif"/>
          <w:b/>
          <w:i w:val="false"/>
          <w:smallCaps/>
          <w:sz w:val="20"/>
        </w:rPr>
        <w:t xml:space="preserve">% Senior Notes, Series due April 1, 2056 </w:t>
      </w:r>
    </w:p>
    <w:p>
      <w:pPr>
        <w:pStyle w:val="TextBody"/>
        <w:bidi w:val="0"/>
        <w:spacing w:before="0" w:after="0"/>
        <w:ind w:left="0" w:right="0" w:hanging="0"/>
        <w:jc w:val="center"/>
        <w:rPr>
          <w:caps w:val="false"/>
          <w:smallCaps w:val="false"/>
        </w:rPr>
      </w:pPr>
      <w:r>
        <w:rPr>
          <w:caps w:val="false"/>
          <w:smallCaps w:val="false"/>
        </w:rPr>
        <w:t> </w:t>
      </w:r>
    </w:p>
    <w:tbl>
      <w:tblPr>
        <w:tblW w:w="8710" w:type="dxa"/>
        <w:jc w:val="left"/>
        <w:tblInd w:w="0" w:type="dxa"/>
        <w:tblLayout w:type="fixed"/>
        <w:tblCellMar>
          <w:top w:w="0" w:type="dxa"/>
          <w:left w:w="0" w:type="dxa"/>
          <w:bottom w:w="28" w:type="dxa"/>
          <w:right w:w="0" w:type="dxa"/>
        </w:tblCellMar>
      </w:tblPr>
      <w:tblGrid>
        <w:gridCol w:w="3185"/>
        <w:gridCol w:w="5525"/>
      </w:tblGrid>
      <w:tr>
        <w:trPr/>
        <w:tc>
          <w:tcPr>
            <w:tcW w:w="3185" w:type="dxa"/>
            <w:tcBorders>
              <w:bottom w:val="single" w:sz="8" w:space="0" w:color="000000"/>
            </w:tcBorders>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Issuer</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Oklahoma Gas and Electric Company</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Ratings (Moody’s / S&amp;P / Fitch)*</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A3 (Negative) / A- (Negative) / A (Stable)</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$350,000,000</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Type</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Senior Unsecured Notes</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Format</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SEC Registered</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March 23, 2026</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 (T+7)</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April 1, 2026</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April 1, 2056  </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 xml:space="preserve">Semi-annual payments on April 1 and October 1 of each </w:t>
              <w:br/>
              <w:t>year, beginning October 1, 2026</w:t>
            </w:r>
          </w:p>
        </w:tc>
      </w:tr>
      <w:tr>
        <w:trPr/>
        <w:tc>
          <w:tcPr>
            <w:tcW w:w="3185" w:type="dxa"/>
            <w:tcBorders>
              <w:bottom w:val="single" w:sz="8" w:space="0" w:color="000000"/>
            </w:tcBorders>
            <w:vAlign w:val="center"/>
          </w:tcPr>
          <w:p>
            <w:pPr>
              <w:pStyle w:val="TableContents"/>
              <w:bidi w:val="0"/>
              <w:spacing w:before="0" w:after="283"/>
              <w:jc w:val="left"/>
              <w:rPr/>
            </w:pPr>
            <w:r>
              <w:rPr/>
              <w:t xml:space="preserve">Optional Redemption Provisions </w:t>
              <w:br/>
              <w:t>Make Whole Call</w:t>
              <w:br/>
              <w:t>Par Call</w:t>
            </w:r>
          </w:p>
        </w:tc>
        <w:tc>
          <w:tcPr>
            <w:tcW w:w="5525" w:type="dxa"/>
            <w:tcBorders>
              <w:bottom w:val="single" w:sz="8" w:space="0" w:color="000000"/>
            </w:tcBorders>
            <w:vAlign w:val="center"/>
          </w:tcPr>
          <w:p>
            <w:pPr>
              <w:pStyle w:val="TableContents"/>
              <w:bidi w:val="0"/>
              <w:spacing w:before="0" w:after="283"/>
              <w:ind w:left="0" w:right="0" w:hanging="360"/>
              <w:jc w:val="right"/>
              <w:rPr/>
            </w:pPr>
            <w:r>
              <w:rPr/>
              <w:t xml:space="preserve">T + 20 bps (at any time before October 1, 2055) </w:t>
              <w:br/>
              <w:t>At any time on or after October 1, 2055</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Credit Event Redemption</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 xml:space="preserve">In whole but not in part at 101% of the principal amount </w:t>
              <w:br/>
              <w:t xml:space="preserve">plus accrued and unpaid interest (any notice of </w:t>
              <w:br/>
              <w:t xml:space="preserve">redemption may be issued by the later of </w:t>
              <w:br/>
              <w:t>(a) December 31, 2026 and (b) six months from the date of issuance)</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4.625% due November 15, 2055</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Price</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95-01</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Yield</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4.946</w:t>
            </w:r>
            <w:r>
              <w:rPr>
                <w:rFonts w:ascii="Times New Roman;Times;Serif" w:hAnsi="Times New Roman;Times;Serif"/>
                <w:smallCaps/>
                <w:sz w:val="20"/>
              </w:rPr>
              <w:t>%</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5525" w:type="dxa"/>
            <w:tcBorders>
              <w:bottom w:val="single" w:sz="8" w:space="0" w:color="000000"/>
            </w:tcBorders>
            <w:vAlign w:val="center"/>
          </w:tcPr>
          <w:p>
            <w:pPr>
              <w:pStyle w:val="TableContents"/>
              <w:bidi w:val="0"/>
              <w:spacing w:before="0" w:after="283"/>
              <w:ind w:left="0" w:right="0" w:hanging="360"/>
              <w:jc w:val="right"/>
              <w:rPr/>
            </w:pPr>
            <w:r>
              <w:rPr>
                <w:rFonts w:ascii="Times New Roman;Times;Serif" w:hAnsi="Times New Roman;Times;Serif"/>
                <w:b w:val="false"/>
                <w:i w:val="false"/>
                <w:smallCaps/>
                <w:sz w:val="20"/>
              </w:rPr>
              <w:t>T+</w:t>
            </w:r>
            <w:r>
              <w:rPr>
                <w:rFonts w:ascii="Times New Roman;Times;Serif" w:hAnsi="Times New Roman;Times;Serif"/>
                <w:sz w:val="20"/>
              </w:rPr>
              <w:t>102 bps</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Reoffer Yield</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5.966</w:t>
            </w:r>
            <w:r>
              <w:rPr>
                <w:rFonts w:ascii="Times New Roman;Times;Serif" w:hAnsi="Times New Roman;Times;Serif"/>
                <w:smallCaps/>
                <w:sz w:val="20"/>
              </w:rPr>
              <w:t>%</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5525" w:type="dxa"/>
            <w:tcBorders>
              <w:bottom w:val="single" w:sz="8" w:space="0" w:color="000000"/>
            </w:tcBorders>
            <w:vAlign w:val="center"/>
          </w:tcPr>
          <w:p>
            <w:pPr>
              <w:pStyle w:val="TableContents"/>
              <w:bidi w:val="0"/>
              <w:spacing w:before="0" w:after="283"/>
              <w:ind w:left="0" w:right="0" w:hanging="360"/>
              <w:jc w:val="right"/>
              <w:rPr/>
            </w:pPr>
            <w:r>
              <w:rPr/>
              <w:t> </w:t>
            </w:r>
            <w:r>
              <w:rPr>
                <w:rFonts w:ascii="Times New Roman;Times;Serif" w:hAnsi="Times New Roman;Times;Serif"/>
                <w:sz w:val="20"/>
              </w:rPr>
              <w:t xml:space="preserve">5.90% </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5525" w:type="dxa"/>
            <w:tcBorders>
              <w:bottom w:val="single" w:sz="8" w:space="0" w:color="000000"/>
            </w:tcBorders>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99.083% of the principal amount</w:t>
            </w:r>
          </w:p>
        </w:tc>
      </w:tr>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w:t>
            </w:r>
          </w:p>
        </w:tc>
        <w:tc>
          <w:tcPr>
            <w:tcW w:w="5525" w:type="dxa"/>
            <w:tcBorders>
              <w:bottom w:val="single" w:sz="8" w:space="0" w:color="000000"/>
            </w:tcBorders>
            <w:vAlign w:val="center"/>
          </w:tcPr>
          <w:p>
            <w:pPr>
              <w:pStyle w:val="TableContents"/>
              <w:bidi w:val="0"/>
              <w:spacing w:before="0" w:after="283"/>
              <w:ind w:left="0" w:right="0" w:hanging="360"/>
              <w:jc w:val="right"/>
              <w:rPr/>
            </w:pPr>
            <w:r>
              <w:rPr>
                <w:rFonts w:ascii="Times New Roman;Times;Serif" w:hAnsi="Times New Roman;Times;Serif"/>
                <w:sz w:val="20"/>
              </w:rPr>
              <w:t>678858 CA7 /</w:t>
            </w:r>
            <w:r>
              <w:rPr/>
              <w:t xml:space="preserve"> US678858CA77</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5525" w:type="dxa"/>
            <w:tcBorders/>
            <w:tcMar>
              <w:bottom w:w="0" w:type="dxa"/>
            </w:tcMar>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Barclays Capital Inc.</w:t>
            </w:r>
          </w:p>
        </w:tc>
      </w:tr>
      <w:tr>
        <w:trPr/>
        <w:tc>
          <w:tcPr>
            <w:tcW w:w="3185" w:type="dxa"/>
            <w:tcBorders/>
            <w:tcMar>
              <w:bottom w:w="0" w:type="dxa"/>
            </w:tcMar>
            <w:vAlign w:val="center"/>
          </w:tcPr>
          <w:p>
            <w:pPr>
              <w:pStyle w:val="TableContents"/>
              <w:bidi w:val="0"/>
              <w:spacing w:before="0" w:after="283"/>
              <w:jc w:val="left"/>
              <w:rPr/>
            </w:pPr>
            <w:r>
              <w:rPr/>
              <w:t> </w:t>
            </w:r>
          </w:p>
        </w:tc>
        <w:tc>
          <w:tcPr>
            <w:tcW w:w="5525" w:type="dxa"/>
            <w:tcBorders/>
            <w:tcMar>
              <w:bottom w:w="0" w:type="dxa"/>
            </w:tcMar>
            <w:vAlign w:val="center"/>
          </w:tcPr>
          <w:p>
            <w:pPr>
              <w:pStyle w:val="TableContents"/>
              <w:bidi w:val="0"/>
              <w:spacing w:before="0" w:after="283"/>
              <w:ind w:left="0" w:right="0" w:hanging="360"/>
              <w:jc w:val="right"/>
              <w:rPr>
                <w:rFonts w:ascii="Times New Roman;Times;Serif" w:hAnsi="Times New Roman;Times;Serif"/>
                <w:sz w:val="20"/>
              </w:rPr>
            </w:pPr>
            <w:r>
              <w:rPr>
                <w:rFonts w:ascii="Times New Roman;Times;Serif" w:hAnsi="Times New Roman;Times;Serif"/>
                <w:sz w:val="20"/>
              </w:rPr>
              <w:t>BofA Securities, Inc.</w:t>
            </w:r>
          </w:p>
        </w:tc>
      </w:tr>
      <w:tr>
        <w:trPr/>
        <w:tc>
          <w:tcPr>
            <w:tcW w:w="3185" w:type="dxa"/>
            <w:tcBorders/>
            <w:tcMar>
              <w:bottom w:w="0" w:type="dxa"/>
            </w:tcMar>
            <w:vAlign w:val="center"/>
          </w:tcPr>
          <w:p>
            <w:pPr>
              <w:pStyle w:val="TableContents"/>
              <w:bidi w:val="0"/>
              <w:spacing w:before="0" w:after="283"/>
              <w:jc w:val="left"/>
              <w:rPr/>
            </w:pPr>
            <w:r>
              <w:rPr/>
              <w:t> </w:t>
            </w:r>
          </w:p>
        </w:tc>
        <w:tc>
          <w:tcPr>
            <w:tcW w:w="5525" w:type="dxa"/>
            <w:tcBorders/>
            <w:tcMar>
              <w:bottom w:w="0" w:type="dxa"/>
            </w:tcMar>
            <w:vAlign w:val="center"/>
          </w:tcPr>
          <w:p>
            <w:pPr>
              <w:pStyle w:val="TableContents"/>
              <w:bidi w:val="0"/>
              <w:spacing w:before="0" w:after="283"/>
              <w:ind w:left="0" w:right="0" w:hanging="360"/>
              <w:jc w:val="right"/>
              <w:rPr/>
            </w:pPr>
            <w:r>
              <w:rPr/>
              <w:t xml:space="preserve">PNC Capital Markets LLC </w:t>
              <w:br/>
              <w:t xml:space="preserve">Scotia Capital (USA) Inc. </w:t>
              <w:br/>
              <w:t>U.S. Bancorp Investments, Inc.</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55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BOK Financial Securities,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BOK Financial Securities, Inc., one of the underwriters, is an affiliate of BOKF, NA, the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subject to revision or withdrawn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 The closing will occur on April 1, 2026, which will be more than one U.S. business day after the date of this pricing term sheet. Under Rule 15c6-1 under the Securities Exchange Act of 1934, trades in the secondary market generally are required to settle in one business day unless the parties to any such trade expressly agree otherwise. Accordingly, purchasers who wish to trade the senior notes on the date of pricing or the next five succeeding business days will be required, by virtue of the fact that the senior notes initially will settle in T+7, to specify an alternative settlement cycle at the time of any such trade to prevent failed settlement and should consult their own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Barclays Capital Inc. toll-free at 1 (888) 603-5847, BofA Securities, Inc. toll-free at (800) 294-1322 or by email at dg.prospectus_requests@bofa.com, PNC Capital Markets LLC toll-free at 1 (855) 881-0697 or by email pnccmprospectus@pnc.com, or Scotia Capital (USA) Inc. toll-free at 1 (800) 372-3930.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538</Words>
  <Characters>2792</Characters>
  <CharactersWithSpaces>3301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