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SULTEMEIER WILLIAM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321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OGE ENERGY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OGE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45"/>
        <w:spacing w:after="0"/>
        <w:rPr>
          <w:sz w:val="20"/>
          <w:szCs w:val="20"/>
          <w:color w:val="auto"/>
        </w:rPr>
      </w:pPr>
      <w:r>
        <w:rPr>
          <w:rFonts w:ascii="Times New Roman" w:cs="Times New Roman" w:eastAsia="Times New Roman" w:hAnsi="Times New Roman"/>
          <w:sz w:val="17"/>
          <w:szCs w:val="17"/>
          <w:color w:val="0000FF"/>
        </w:rPr>
        <w:t>GC, Corp. Sec, CCO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OKLAHOMA</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OK</w:t>
            </w:r>
          </w:p>
        </w:tc>
        <w:tc>
          <w:tcPr>
            <w:tcW w:w="820" w:type="dxa"/>
            <w:vAlign w:val="bottom"/>
          </w:tcPr>
          <w:p>
            <w:pPr>
              <w:spacing w:after="0"/>
              <w:rPr>
                <w:sz w:val="15"/>
                <w:szCs w:val="1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73101</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6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60" w:type="dxa"/>
            <w:vAlign w:val="bottom"/>
            <w:tcBorders>
              <w:bottom w:val="single" w:sz="8" w:color="2C2C2C"/>
            </w:tcBorders>
            <w:gridSpan w:val="6"/>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Stock-$.01 par value per share</w:t>
            </w:r>
          </w:p>
        </w:tc>
        <w:tc>
          <w:tcPr>
            <w:tcW w:w="1120" w:type="dxa"/>
            <w:vAlign w:val="bottom"/>
            <w:tcBorders>
              <w:bottom w:val="single" w:sz="8" w:color="2C2C2C"/>
            </w:tcBorders>
            <w:gridSpan w:val="3"/>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7,345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47.97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74,497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60" w:type="dxa"/>
            <w:vAlign w:val="bottom"/>
            <w:gridSpan w:val="10"/>
          </w:tcPr>
          <w:p>
            <w:pPr>
              <w:ind w:left="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$47.97. The price reported is a weighted average price. The shares were sold in multiple transactions with prices ranging from $47.96 to $47.99. The reporting person undertakes to provide to OGE Energy, any security holder of OGE Energy, or the staff of the Securities and Exchange Commission, upon request, full information regarding the number of shares sold at each separate price within the range noted herein.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William Sultemeier, By</w:t>
            </w:r>
          </w:p>
        </w:tc>
        <w:tc>
          <w:tcPr>
            <w:tcW w:w="2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4221" TargetMode="External"/><Relationship Id="rId14" Type="http://schemas.openxmlformats.org/officeDocument/2006/relationships/hyperlink" Target="http://www.sec.gov/cgi-bin/browse-edgar?action=getcompany&amp;CIK=00010216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2026-05-22T16:33:14Z</dcterms:created>
  <dcterms:modified xsi:type="dcterms:W3CDTF">2026-05-22T16:33:14Z</dcterms:modified>
</cp:coreProperties>
</file>