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640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Date of report (Date of earliest event reported)</w:t>
            </w:r>
          </w:p>
        </w:tc>
        <w:tc>
          <w:tcPr>
            <w:tcW w:w="14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July 30, 2025</w:t>
            </w:r>
          </w:p>
        </w:tc>
      </w:tr>
      <w:tr>
        <w:trPr>
          <w:trHeight w:val="547"/>
        </w:trPr>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(Commission File Number)</w:t>
            </w:r>
          </w:p>
        </w:tc>
        <w:tc>
          <w:tcPr>
            <w:tcW w:w="550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9"/>
              </w:rPr>
              <w:t>(Exact Name of Registrants as Specified in Their Charters)</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99"/>
        </w:trPr>
        <w:tc>
          <w:tcPr>
            <w:tcW w:w="2380" w:type="dxa"/>
            <w:vAlign w:val="bottom"/>
          </w:tcPr>
          <w:p>
            <w:pPr>
              <w:jc w:val="right"/>
              <w:ind w:right="650"/>
              <w:spacing w:after="0"/>
              <w:rPr>
                <w:sz w:val="20"/>
                <w:szCs w:val="20"/>
                <w:color w:val="auto"/>
              </w:rPr>
            </w:pPr>
            <w:r>
              <w:rPr>
                <w:rFonts w:ascii="Arial" w:cs="Arial" w:eastAsia="Arial" w:hAnsi="Arial"/>
                <w:sz w:val="18"/>
                <w:szCs w:val="18"/>
                <w:color w:val="auto"/>
              </w:rPr>
              <w:t>1-12579</w:t>
            </w:r>
          </w:p>
        </w:tc>
        <w:tc>
          <w:tcPr>
            <w:tcW w:w="18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OGE ENERGY CORP.</w:t>
            </w:r>
          </w:p>
        </w:tc>
        <w:tc>
          <w:tcPr>
            <w:tcW w:w="14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73-1481638</w:t>
            </w:r>
          </w:p>
        </w:tc>
      </w:tr>
      <w:tr>
        <w:trPr>
          <w:trHeight w:val="310"/>
        </w:trPr>
        <w:tc>
          <w:tcPr>
            <w:tcW w:w="2380" w:type="dxa"/>
            <w:vAlign w:val="bottom"/>
          </w:tcPr>
          <w:p>
            <w:pPr>
              <w:jc w:val="right"/>
              <w:ind w:right="710"/>
              <w:spacing w:after="0"/>
              <w:rPr>
                <w:sz w:val="20"/>
                <w:szCs w:val="20"/>
                <w:color w:val="auto"/>
              </w:rPr>
            </w:pPr>
            <w:r>
              <w:rPr>
                <w:rFonts w:ascii="Arial" w:cs="Arial" w:eastAsia="Arial" w:hAnsi="Arial"/>
                <w:sz w:val="18"/>
                <w:szCs w:val="18"/>
                <w:color w:val="auto"/>
              </w:rPr>
              <w:t>1-1097</w:t>
            </w:r>
          </w:p>
        </w:tc>
        <w:tc>
          <w:tcPr>
            <w:tcW w:w="550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OKLAHOMA GAS AND ELECTRIC COMPANY</w:t>
            </w: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73-0382390</w:t>
            </w:r>
          </w:p>
        </w:tc>
      </w:tr>
      <w:tr>
        <w:trPr>
          <w:trHeight w:val="558"/>
        </w:trPr>
        <w:tc>
          <w:tcPr>
            <w:tcW w:w="2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Oklahoma</w:t>
            </w:r>
          </w:p>
        </w:tc>
        <w:tc>
          <w:tcPr>
            <w:tcW w:w="14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72"/>
        </w:trPr>
        <w:tc>
          <w:tcPr>
            <w:tcW w:w="2380" w:type="dxa"/>
            <w:vAlign w:val="bottom"/>
          </w:tcPr>
          <w:p>
            <w:pPr>
              <w:spacing w:after="0"/>
              <w:rPr>
                <w:sz w:val="23"/>
                <w:szCs w:val="23"/>
                <w:color w:val="auto"/>
              </w:rPr>
            </w:pPr>
          </w:p>
        </w:tc>
        <w:tc>
          <w:tcPr>
            <w:tcW w:w="5500" w:type="dxa"/>
            <w:vAlign w:val="bottom"/>
            <w:gridSpan w:val="3"/>
          </w:tcPr>
          <w:p>
            <w:pPr>
              <w:jc w:val="center"/>
              <w:ind w:left="910"/>
              <w:spacing w:after="0"/>
              <w:rPr>
                <w:sz w:val="20"/>
                <w:szCs w:val="20"/>
                <w:color w:val="auto"/>
              </w:rPr>
            </w:pPr>
            <w:r>
              <w:rPr>
                <w:rFonts w:ascii="Arial" w:cs="Arial" w:eastAsia="Arial" w:hAnsi="Arial"/>
                <w:sz w:val="18"/>
                <w:szCs w:val="18"/>
                <w:color w:val="auto"/>
                <w:w w:val="99"/>
              </w:rPr>
              <w:t>(State or Other Jurisdiction of Incorporation)</w:t>
            </w:r>
          </w:p>
        </w:tc>
        <w:tc>
          <w:tcPr>
            <w:tcW w:w="3360" w:type="dxa"/>
            <w:vAlign w:val="bottom"/>
          </w:tcPr>
          <w:p>
            <w:pPr>
              <w:spacing w:after="0"/>
              <w:rPr>
                <w:sz w:val="23"/>
                <w:szCs w:val="23"/>
                <w:color w:val="auto"/>
              </w:rPr>
            </w:pPr>
          </w:p>
        </w:tc>
      </w:tr>
      <w:tr>
        <w:trPr>
          <w:trHeight w:val="558"/>
        </w:trPr>
        <w:tc>
          <w:tcPr>
            <w:tcW w:w="2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321 North Harvey</w:t>
            </w: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P.O. Box 321</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Oklahoma City</w:t>
            </w: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Oklahoma</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73101-0321</w:t>
            </w:r>
          </w:p>
        </w:tc>
      </w:tr>
      <w:tr>
        <w:trPr>
          <w:trHeight w:val="272"/>
        </w:trPr>
        <w:tc>
          <w:tcPr>
            <w:tcW w:w="238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148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(405) 553-3000</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300" w:firstLine="37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Registrant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2"/>
        </w:trPr>
        <w:tc>
          <w:tcPr>
            <w:tcW w:w="3440" w:type="dxa"/>
            <w:vAlign w:val="bottom"/>
          </w:tcPr>
          <w:p>
            <w:pPr>
              <w:jc w:val="center"/>
              <w:spacing w:after="0"/>
              <w:rPr>
                <w:sz w:val="20"/>
                <w:szCs w:val="20"/>
                <w:color w:val="auto"/>
              </w:rPr>
            </w:pPr>
            <w:r>
              <w:rPr>
                <w:rFonts w:ascii="Arial" w:cs="Arial" w:eastAsia="Arial" w:hAnsi="Arial"/>
                <w:sz w:val="18"/>
                <w:szCs w:val="18"/>
                <w:color w:val="auto"/>
                <w:w w:val="99"/>
              </w:rPr>
              <w:t>OGE Energy Corp.</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Common Stock</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OGE</w:t>
            </w:r>
          </w:p>
        </w:tc>
        <w:tc>
          <w:tcPr>
            <w:tcW w:w="4060" w:type="dxa"/>
            <w:vAlign w:val="bottom"/>
          </w:tcPr>
          <w:p>
            <w:pPr>
              <w:jc w:val="center"/>
              <w:spacing w:after="0"/>
              <w:rPr>
                <w:sz w:val="20"/>
                <w:szCs w:val="20"/>
                <w:color w:val="auto"/>
              </w:rPr>
            </w:pPr>
            <w:r>
              <w:rPr>
                <w:rFonts w:ascii="Arial" w:cs="Arial" w:eastAsia="Arial" w:hAnsi="Arial"/>
                <w:sz w:val="18"/>
                <w:szCs w:val="18"/>
                <w:color w:val="auto"/>
              </w:rPr>
              <w:t>New York Stock Exchange</w:t>
            </w:r>
          </w:p>
        </w:tc>
      </w:tr>
      <w:tr>
        <w:trPr>
          <w:trHeight w:val="297"/>
        </w:trPr>
        <w:tc>
          <w:tcPr>
            <w:tcW w:w="3440" w:type="dxa"/>
            <w:vAlign w:val="bottom"/>
          </w:tcPr>
          <w:p>
            <w:pPr>
              <w:jc w:val="center"/>
              <w:spacing w:after="0"/>
              <w:rPr>
                <w:sz w:val="20"/>
                <w:szCs w:val="20"/>
                <w:color w:val="auto"/>
              </w:rPr>
            </w:pPr>
            <w:r>
              <w:rPr>
                <w:rFonts w:ascii="Arial" w:cs="Arial" w:eastAsia="Arial" w:hAnsi="Arial"/>
                <w:sz w:val="18"/>
                <w:szCs w:val="18"/>
                <w:color w:val="auto"/>
              </w:rPr>
              <w:t>Oklahoma Gas and Electric Company</w:t>
            </w: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93" w:lineRule="exact"/>
        <w:rPr>
          <w:sz w:val="24"/>
          <w:szCs w:val="24"/>
          <w:color w:val="auto"/>
        </w:rPr>
      </w:pPr>
    </w:p>
    <w:p>
      <w:pPr>
        <w:jc w:val="both"/>
        <w:ind w:firstLine="374"/>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ind w:right="680" w:firstLine="37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98"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OGE Energy Corp. ("OGE Energy") is the parent company of Oklahoma Gas and Electric Company ("OG&amp;E"), a regulated electric company with approximately 909,000 customers in Oklahoma and western Arkansas.</w:t>
      </w:r>
    </w:p>
    <w:p>
      <w:pPr>
        <w:spacing w:after="0" w:line="140"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On July 30, 2025, OGE Energy issued a press release announcing its consolidated financial results for the quarter ended June 30, 2025. A copy of such press release is furnished as Exhibit 99.01 and incorporated by reference 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63" w:lineRule="exact"/>
        <w:rPr>
          <w:sz w:val="20"/>
          <w:szCs w:val="20"/>
          <w:color w:val="auto"/>
        </w:rPr>
      </w:pPr>
    </w:p>
    <w:p>
      <w:pPr>
        <w:ind w:left="1240" w:hanging="277"/>
        <w:spacing w:after="0"/>
        <w:tabs>
          <w:tab w:leader="none" w:pos="1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Exhibits</w:t>
      </w:r>
    </w:p>
    <w:p>
      <w:pPr>
        <w:sectPr>
          <w:pgSz w:w="11900" w:h="16838" w:orient="portrait"/>
          <w:cols w:equalWidth="0" w:num="1">
            <w:col w:w="11240"/>
          </w:cols>
          <w:pgMar w:left="320" w:top="985" w:right="339" w:bottom="1440" w:gutter="0" w:footer="0" w:header="0"/>
        </w:sectPr>
      </w:pP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93"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99.01</w:t>
      </w:r>
    </w:p>
    <w:p>
      <w:pPr>
        <w:spacing w:after="0" w:line="198"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u w:val="single" w:color="auto"/>
          <w:color w:val="0000FF"/>
        </w:rPr>
        <w:t>Press release dated July 30, 2025, announcing OGE Energy Corp. reports second quarter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4819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196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654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ind w:right="100"/>
        <w:spacing w:after="0" w:line="271" w:lineRule="auto"/>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67" w:lineRule="exact"/>
        <w:rPr>
          <w:sz w:val="20"/>
          <w:szCs w:val="20"/>
          <w:color w:val="auto"/>
        </w:rPr>
      </w:pPr>
    </w:p>
    <w:p>
      <w:pPr>
        <w:sectPr>
          <w:pgSz w:w="11900" w:h="16838" w:orient="portrait"/>
          <w:cols w:equalWidth="0" w:num="2">
            <w:col w:w="2820" w:space="720"/>
            <w:col w:w="7700"/>
          </w:cols>
          <w:pgMar w:left="320" w:top="985" w:right="339" w:bottom="1440" w:gutter="0" w:footer="0" w:header="0"/>
          <w:type w:val="continuous"/>
        </w:sectPr>
      </w:pPr>
    </w:p>
    <w:p>
      <w:pPr>
        <w:jc w:val="both"/>
        <w:ind w:firstLine="374"/>
        <w:spacing w:after="0" w:line="253" w:lineRule="auto"/>
        <w:rPr>
          <w:sz w:val="20"/>
          <w:szCs w:val="20"/>
          <w:color w:val="auto"/>
        </w:rPr>
      </w:pPr>
      <w:r>
        <w:rPr>
          <w:rFonts w:ascii="Arial" w:cs="Arial" w:eastAsia="Arial" w:hAnsi="Arial"/>
          <w:sz w:val="18"/>
          <w:szCs w:val="18"/>
          <w:color w:val="auto"/>
        </w:rPr>
        <w:t>This combined Current Report on Form 8-K is being furnished separately by OGE Energy and OG&amp;E (Registrants). Information contained herein relating to any individual Registrant has been furnished by such Registrant on its own behalf. No Registrant makes any representation as to information relating to any other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OGE ENERGY CORP.</w:t>
      </w:r>
    </w:p>
    <w:p>
      <w:pPr>
        <w:spacing w:after="0" w:line="104"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OKLAHOMA GAS AND ELECTRIC COMPANY</w:t>
      </w:r>
    </w:p>
    <w:p>
      <w:pPr>
        <w:spacing w:after="0" w:line="9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6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26035</wp:posOffset>
            </wp:positionV>
            <wp:extent cx="401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7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Sarah R. Stafford</w:t>
      </w:r>
    </w:p>
    <w:p>
      <w:pPr>
        <w:spacing w:after="0" w:line="90"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OGE Energy Corp. reports second quarter 2025 results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OKLAHOMA CITY — OGE Energy Corp. (NYSE: OGE)</w:t>
      </w:r>
      <w:r>
        <w:rPr>
          <w:rFonts w:ascii="Arial" w:cs="Arial" w:eastAsia="Arial" w:hAnsi="Arial"/>
          <w:sz w:val="21"/>
          <w:szCs w:val="21"/>
          <w:color w:val="auto"/>
        </w:rPr>
        <w:t>,</w:t>
      </w:r>
      <w:r>
        <w:rPr>
          <w:rFonts w:ascii="Arial" w:cs="Arial" w:eastAsia="Arial" w:hAnsi="Arial"/>
          <w:sz w:val="18"/>
          <w:szCs w:val="18"/>
          <w:color w:val="auto"/>
        </w:rPr>
        <w:t xml:space="preserve"> the parent company of Oklahoma Gas and Electric Company ("OG&amp;E"), today reported earnings of $0.53 per diluted share during the three months that ended June 30, 2025, compared to $0.51 per diluted share in the second quarter 2024.</w:t>
      </w:r>
    </w:p>
    <w:p>
      <w:pPr>
        <w:spacing w:after="0" w:line="151" w:lineRule="exact"/>
        <w:rPr>
          <w:sz w:val="20"/>
          <w:szCs w:val="20"/>
          <w:color w:val="auto"/>
        </w:rPr>
      </w:pPr>
    </w:p>
    <w:p>
      <w:pPr>
        <w:ind w:left="1020" w:right="20" w:hanging="503"/>
        <w:spacing w:after="0" w:line="244"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OG&amp;E, a regulated electric company, contributed earnings of $0.53 per diluted share in the second quarter, compared to earnings of $0.54 per diluted share in the second quarter 2024.</w:t>
      </w:r>
    </w:p>
    <w:p>
      <w:pPr>
        <w:spacing w:after="0" w:line="1" w:lineRule="exact"/>
        <w:rPr>
          <w:rFonts w:ascii="Times New Roman" w:cs="Times New Roman" w:eastAsia="Times New Roman" w:hAnsi="Times New Roman"/>
          <w:sz w:val="18"/>
          <w:szCs w:val="18"/>
          <w:color w:val="auto"/>
        </w:rPr>
      </w:pPr>
    </w:p>
    <w:p>
      <w:pPr>
        <w:ind w:left="1020" w:hanging="503"/>
        <w:spacing w:after="0" w:line="249"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Other operations diluted earnings per share, which includes the holding company, was flat in the second quarter, compared to a loss of $0.03 per diluted share in the second quarter 2024.</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“Given the strong economies in Oklahoma and Arkansas, we are currently constructing approximately 550 MW of new natural gas combustion turbine generation projects which will be operational in 2026," stated Sean Trauschke, Chairman, President, and CEO of OGE Energy Corp. “We have proposed two additional natural gas combustion turbines, which are expected to be operational by the end of 2029. These projects are part of our broader strategy to ensure reliable and affordable service while addressing the increasing energy needs of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results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OG&amp;E </w:t>
      </w:r>
      <w:r>
        <w:rPr>
          <w:rFonts w:ascii="Arial" w:cs="Arial" w:eastAsia="Arial" w:hAnsi="Arial"/>
          <w:sz w:val="18"/>
          <w:szCs w:val="18"/>
          <w:color w:val="auto"/>
        </w:rPr>
        <w:t>contributed net income of $107.7 million, or $0.53 per diluted share, in the second quarter compared to $109.3 million, or $0.54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in the same period 2024. The decrease in net income was primarily due to milder weather compared to last year and higher interest and depreciation expense on a growing asset base, partially offset by increased recovery of capital investments, higher weather-normalized load, and lower operation and maintenance expense.</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Other Operations </w:t>
      </w:r>
      <w:r>
        <w:rPr>
          <w:rFonts w:ascii="Arial" w:cs="Arial" w:eastAsia="Arial" w:hAnsi="Arial"/>
          <w:sz w:val="18"/>
          <w:szCs w:val="18"/>
          <w:color w:val="auto"/>
        </w:rPr>
        <w:t>resulted in a loss of $0.2 million in the second quarter compared to a loss of $7.0 million, or $ 0.03 per diluted share,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2024. The decrease in net loss was primarily due to a one-time benefit related to legacy midstream operations.</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OGE Energy's </w:t>
      </w:r>
      <w:r>
        <w:rPr>
          <w:rFonts w:ascii="Arial" w:cs="Arial" w:eastAsia="Arial" w:hAnsi="Arial"/>
          <w:sz w:val="18"/>
          <w:szCs w:val="18"/>
          <w:color w:val="auto"/>
        </w:rPr>
        <w:t>net income was $107.5 million or $0.53 per diluted share in the second quarter, compared to earnings of $102.3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$0.51 per diluted share, in the same period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Outlook</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OGE Energy's 2025 consolidated earnings guidance remains projected to be within a range of $2.21 to $2.33 per average diluted share. Due to year-to-date performance and continued strong economic growth in Oklahoma and Arkansas, OGE Energy’s consolidated earnings are expected to be in the top half of its 2025 earnings guidance range. This guidance assumes, among other things, normal weather for the remainder of the year. OG&amp;E has significant seasonality in its earnings due to weather on a year-over-year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OGE Energy’s 2024 Form 10-K for other key factors and assumptions underlying its 2025 guidance.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Webcast</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OGE Energy Corp. will host an earnings and business update conference call on Wednesday, July 30, 2025, at 8 a.m. CDT. The conference will be available through the Investor Center at www.oge.com.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18"/>
          <w:szCs w:val="18"/>
          <w:color w:val="auto"/>
        </w:rPr>
        <w:t>Some of the matters discussed in this news release may contain forward-looking statements that are subject to certain risks, uncertainties, and assumptions. Such forward-looking statements are intended to be identified in this document by the words "anticipate," "believe," "estimate," "expect," "forecast," "intend," "objective," "plan," "possible," "potential," "project," "target" and similar expressions. Actual results may vary materially. Factors that could cause actual results to differ materially from the forward-looking statements include, but are not limited to: general economic conditions, including the availability of credit, access to existing lines of credit, access to the commercial paper markets, actions of rating agencies and inflation rates, and their impact on capital expenditures; the ability of the Company to access the capital markets and obtain financing on favorable terms, as well as inflation rates and monetary fluctuations; the ability to obtain timely and sufficient rate relief to allow for recovery of items such as capital expenditures, fuel and purchased power costs, operating costs, transmission costs and deferred expenditures; prices and availability of electricity, coal and natural gas; competitive factors, including the extent and timing of the entry of additional competition in the markets served by the Company, potentially through deregulation; the impact on demand for the Company's services resulting from cost competitive advances in technology, such as distributed electricity generation and customer energy efficiency programs; technological developments, changing markets and other factors that result in competitive disadvantages and create the potential for impairment of existing assets; 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availability and prices of raw materials and equipment for current and future construction projects; the effect of retroactive pricing of transactions in the SPP markets or adjustments in market pricing mechanisms by the SPP; federal or state legislation and regulatory decisions and initiatives that affect cost and investment recovery, have an impact on rate structures or affect the speed and degree to which competition enters the Company's markets; environmental laws, safety laws or other regulations that may impact the cost of operations, restrict or change the way the Company's facilities are operated or result in stranded assets; the ability of the Company to meet future capacity requirements mandated by the SPP, which could be impacted by future load growth, environmental regulations recently finalized by the EPA, and the availability of resources; changes in accounting standards, rules or guidelines; the discontinuance of accounting principles for certain types of rate-regulated activities; the cost of protecting assets against, or damage due to, terrorism or cyberattacks, including the Company losing control of their assets and potential ransoms, and other catastrophic events; the availability, cost, coverage and terms of insurance; changes in the use, perception or regulation of generative artificial intelligence technologies, which could limit the Company's ability to utilize such technology, create risk of enhanced regulatory scrutiny, generate uncertainty around intellectual property ownership, licensing or use, or which could otherwise result in risk of damage to the Company's business, reputation or financial results; creditworthiness of suppliers, customers and other contractual parties, including large, new customers from emerging industries such as cryptocurrency; social attitudes regarding the electric utility and power industries; identification of suitable investment opportunities to enhance shareholder returns and achieve long-term financial objectives through business acquisitions and divestitures; increased pension and healthcare costs; 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 costs and other effects of legal and administrative proceedings, settlements, investigations, claims and matters, including, but not limited to those described in the Company's Form 10-Q for the quarter ended June 30, 2025; and other risk factors listed in the reports filed by the Company with the Securities and Exchange Commission, including those listed within the Company's most recent Form 10-K for the year ended December 31, 2024.</w:t>
      </w:r>
    </w:p>
    <w:p>
      <w:pPr>
        <w:spacing w:after="0" w:line="399" w:lineRule="exact"/>
        <w:rPr>
          <w:sz w:val="20"/>
          <w:szCs w:val="20"/>
          <w:color w:val="auto"/>
        </w:rPr>
      </w:pPr>
    </w:p>
    <w:p>
      <w:pPr>
        <w:ind w:right="640"/>
        <w:spacing w:after="0" w:line="301" w:lineRule="auto"/>
        <w:rPr>
          <w:sz w:val="20"/>
          <w:szCs w:val="20"/>
          <w:color w:val="auto"/>
        </w:rPr>
      </w:pPr>
      <w:r>
        <w:rPr>
          <w:rFonts w:ascii="Arial" w:cs="Arial" w:eastAsia="Arial" w:hAnsi="Arial"/>
          <w:sz w:val="17"/>
          <w:szCs w:val="17"/>
          <w:color w:val="auto"/>
        </w:rPr>
        <w:t>Note: Condensed Consolidated Statements of Income for OGE Energy Corp., Condensed Statements of Income and Comprehensive Income for Oklahoma Gas &amp; Electric Company, and Financial and Statistical Data for Oklahoma Gas &amp; Electric Company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3"/>
          </w:tcPr>
          <w:p>
            <w:pPr>
              <w:jc w:val="right"/>
              <w:ind w:right="450"/>
              <w:spacing w:after="0" w:line="177"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3"/>
          </w:tcPr>
          <w:p>
            <w:pPr>
              <w:jc w:val="right"/>
              <w:ind w:right="510"/>
              <w:spacing w:after="0" w:line="177"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REVENUES</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Revenues from contracts with customers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719.7</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644.1</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1,460.8</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21.9</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18.5</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28.5</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96"/>
        </w:trPr>
        <w:tc>
          <w:tcPr>
            <w:tcW w:w="5820" w:type="dxa"/>
            <w:vAlign w:val="bottom"/>
          </w:tcPr>
          <w:p>
            <w:pPr>
              <w:ind w:left="220"/>
              <w:spacing w:after="0" w:line="196" w:lineRule="exact"/>
              <w:rPr>
                <w:sz w:val="20"/>
                <w:szCs w:val="20"/>
                <w:color w:val="auto"/>
              </w:rPr>
            </w:pPr>
            <w:r>
              <w:rPr>
                <w:rFonts w:ascii="Arial" w:cs="Arial" w:eastAsia="Arial" w:hAnsi="Arial"/>
                <w:sz w:val="18"/>
                <w:szCs w:val="18"/>
                <w:color w:val="auto"/>
              </w:rPr>
              <w:t>Operating revenues</w:t>
            </w:r>
          </w:p>
        </w:tc>
        <w:tc>
          <w:tcPr>
            <w:tcW w:w="220" w:type="dxa"/>
            <w:vAlign w:val="bottom"/>
          </w:tcPr>
          <w:p>
            <w:pPr>
              <w:spacing w:after="0"/>
              <w:rPr>
                <w:sz w:val="17"/>
                <w:szCs w:val="17"/>
                <w:color w:val="auto"/>
              </w:rPr>
            </w:pPr>
          </w:p>
        </w:tc>
        <w:tc>
          <w:tcPr>
            <w:tcW w:w="10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741.6</w:t>
            </w:r>
          </w:p>
        </w:tc>
        <w:tc>
          <w:tcPr>
            <w:tcW w:w="380" w:type="dxa"/>
            <w:vAlign w:val="bottom"/>
          </w:tcPr>
          <w:p>
            <w:pPr>
              <w:spacing w:after="0"/>
              <w:rPr>
                <w:sz w:val="17"/>
                <w:szCs w:val="17"/>
                <w:color w:val="auto"/>
              </w:rPr>
            </w:pPr>
          </w:p>
        </w:tc>
        <w:tc>
          <w:tcPr>
            <w:tcW w:w="10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662.6</w:t>
            </w:r>
          </w:p>
        </w:tc>
        <w:tc>
          <w:tcPr>
            <w:tcW w:w="320" w:type="dxa"/>
            <w:vAlign w:val="bottom"/>
          </w:tcPr>
          <w:p>
            <w:pPr>
              <w:spacing w:after="0"/>
              <w:rPr>
                <w:sz w:val="17"/>
                <w:szCs w:val="17"/>
                <w:color w:val="auto"/>
              </w:rPr>
            </w:pPr>
          </w:p>
        </w:tc>
        <w:tc>
          <w:tcPr>
            <w:tcW w:w="10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1,489.3</w:t>
            </w:r>
          </w:p>
        </w:tc>
        <w:tc>
          <w:tcPr>
            <w:tcW w:w="380" w:type="dxa"/>
            <w:vAlign w:val="bottom"/>
          </w:tcPr>
          <w:p>
            <w:pPr>
              <w:spacing w:after="0"/>
              <w:rPr>
                <w:sz w:val="17"/>
                <w:szCs w:val="17"/>
                <w:color w:val="auto"/>
              </w:rPr>
            </w:pPr>
          </w:p>
        </w:tc>
        <w:tc>
          <w:tcPr>
            <w:tcW w:w="9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184"/>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FUEL, PURCHASED POWER AND DIRECT TRANSMISSION</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261.1</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193.9</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585.1</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operation and maintenance</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127.1</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130.4</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248.9</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140.6</w:t>
            </w:r>
          </w:p>
        </w:tc>
        <w:tc>
          <w:tcPr>
            <w:tcW w:w="3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135.5</w:t>
            </w:r>
          </w:p>
        </w:tc>
        <w:tc>
          <w:tcPr>
            <w:tcW w:w="32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278.0</w:t>
            </w:r>
          </w:p>
        </w:tc>
        <w:tc>
          <w:tcPr>
            <w:tcW w:w="3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2"/>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Taxes other than income</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26.2</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26.9</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57.4</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293.9</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292.8</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584.3</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186.6</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175.9</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319.9</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Allowance for equity funds used during construction</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6.0</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6.6</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13.0</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Other net periodic benefit income (expense)</w:t>
            </w:r>
          </w:p>
        </w:tc>
        <w:tc>
          <w:tcPr>
            <w:tcW w:w="2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(2.9)</w:t>
            </w:r>
          </w:p>
        </w:tc>
        <w:tc>
          <w:tcPr>
            <w:tcW w:w="3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w:t>
            </w:r>
          </w:p>
        </w:tc>
        <w:tc>
          <w:tcPr>
            <w:tcW w:w="3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(5.5)</w:t>
            </w:r>
          </w:p>
        </w:tc>
        <w:tc>
          <w:tcPr>
            <w:tcW w:w="3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17.2</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24.2</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(5.2)</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(9.7)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Net other income</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15.1</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10.5</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22.0</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on long-term debt</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66.6</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54.9</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128.0</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Allowance for borrowed funds used during construction</w:t>
            </w:r>
          </w:p>
        </w:tc>
        <w:tc>
          <w:tcPr>
            <w:tcW w:w="2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(3.7)</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3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(8.2)</w:t>
            </w: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on short-term debt and other interest charges</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9.3</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13.4</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19.7</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72.2</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64.9</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139.5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TAXES</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129.5</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121.5</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22.0</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19.2</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32.2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107.5</w:t>
            </w:r>
          </w:p>
        </w:tc>
        <w:tc>
          <w:tcPr>
            <w:tcW w:w="3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102.3</w:t>
            </w:r>
          </w:p>
        </w:tc>
        <w:tc>
          <w:tcPr>
            <w:tcW w:w="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170.2</w:t>
            </w:r>
          </w:p>
        </w:tc>
        <w:tc>
          <w:tcPr>
            <w:tcW w:w="3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183"/>
        </w:trPr>
        <w:tc>
          <w:tcPr>
            <w:tcW w:w="5820" w:type="dxa"/>
            <w:vAlign w:val="bottom"/>
          </w:tcPr>
          <w:p>
            <w:pPr>
              <w:spacing w:after="0" w:line="183" w:lineRule="exact"/>
              <w:rPr>
                <w:sz w:val="20"/>
                <w:szCs w:val="20"/>
                <w:color w:val="auto"/>
              </w:rPr>
            </w:pPr>
            <w:r>
              <w:rPr>
                <w:rFonts w:ascii="Arial" w:cs="Arial" w:eastAsia="Arial" w:hAnsi="Arial"/>
                <w:sz w:val="18"/>
                <w:szCs w:val="18"/>
                <w:color w:val="auto"/>
              </w:rPr>
              <w:t>BASIC AVERAGE COMMON SHARES OUTSTANDING</w:t>
            </w:r>
          </w:p>
        </w:tc>
        <w:tc>
          <w:tcPr>
            <w:tcW w:w="220" w:type="dxa"/>
            <w:vAlign w:val="bottom"/>
          </w:tcPr>
          <w:p>
            <w:pPr>
              <w:spacing w:after="0"/>
              <w:rPr>
                <w:sz w:val="15"/>
                <w:szCs w:val="15"/>
                <w:color w:val="auto"/>
              </w:rPr>
            </w:pPr>
          </w:p>
        </w:tc>
        <w:tc>
          <w:tcPr>
            <w:tcW w:w="1080" w:type="dxa"/>
            <w:vAlign w:val="bottom"/>
          </w:tcPr>
          <w:p>
            <w:pPr>
              <w:jc w:val="right"/>
              <w:ind w:right="90"/>
              <w:spacing w:after="0" w:line="183" w:lineRule="exact"/>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5"/>
                <w:szCs w:val="15"/>
                <w:color w:val="auto"/>
              </w:rPr>
            </w:pPr>
          </w:p>
        </w:tc>
        <w:tc>
          <w:tcPr>
            <w:tcW w:w="1000" w:type="dxa"/>
            <w:vAlign w:val="bottom"/>
          </w:tcPr>
          <w:p>
            <w:pPr>
              <w:jc w:val="right"/>
              <w:ind w:right="70"/>
              <w:spacing w:after="0" w:line="183" w:lineRule="exact"/>
              <w:rPr>
                <w:sz w:val="20"/>
                <w:szCs w:val="20"/>
                <w:color w:val="auto"/>
              </w:rPr>
            </w:pPr>
            <w:r>
              <w:rPr>
                <w:rFonts w:ascii="Arial" w:cs="Arial" w:eastAsia="Arial" w:hAnsi="Arial"/>
                <w:sz w:val="18"/>
                <w:szCs w:val="18"/>
                <w:color w:val="auto"/>
              </w:rPr>
              <w:t>200.8</w:t>
            </w:r>
          </w:p>
        </w:tc>
        <w:tc>
          <w:tcPr>
            <w:tcW w:w="320" w:type="dxa"/>
            <w:vAlign w:val="bottom"/>
          </w:tcPr>
          <w:p>
            <w:pPr>
              <w:spacing w:after="0"/>
              <w:rPr>
                <w:sz w:val="15"/>
                <w:szCs w:val="15"/>
                <w:color w:val="auto"/>
              </w:rPr>
            </w:pPr>
          </w:p>
        </w:tc>
        <w:tc>
          <w:tcPr>
            <w:tcW w:w="1080" w:type="dxa"/>
            <w:vAlign w:val="bottom"/>
          </w:tcPr>
          <w:p>
            <w:pPr>
              <w:jc w:val="right"/>
              <w:ind w:right="90"/>
              <w:spacing w:after="0" w:line="183" w:lineRule="exact"/>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5"/>
                <w:szCs w:val="15"/>
                <w:color w:val="auto"/>
              </w:rPr>
            </w:pPr>
          </w:p>
        </w:tc>
        <w:tc>
          <w:tcPr>
            <w:tcW w:w="9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 AVERAGE COMMON SHARES OUTSTANDING</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202.1</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201.4</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202.0</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BASIC EARNINGS PER AVERAGE COMMON SHARE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0.53</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0.51</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0.85</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DILUTED EARNINGS PER AVERAGE COMMON SHARE</w:t>
            </w: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0.53</w:t>
            </w:r>
          </w:p>
        </w:tc>
        <w:tc>
          <w:tcPr>
            <w:tcW w:w="38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0.51</w:t>
            </w: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0.84</w:t>
            </w:r>
          </w:p>
        </w:tc>
        <w:tc>
          <w:tcPr>
            <w:tcW w:w="38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00"/>
        </w:trPr>
        <w:tc>
          <w:tcPr>
            <w:tcW w:w="5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line="244" w:lineRule="auto"/>
        <w:rPr>
          <w:sz w:val="20"/>
          <w:szCs w:val="20"/>
          <w:color w:val="auto"/>
        </w:rPr>
      </w:pPr>
      <w:r>
        <w:rPr>
          <w:rFonts w:ascii="Arial" w:cs="Arial" w:eastAsia="Arial" w:hAnsi="Arial"/>
          <w:sz w:val="18"/>
          <w:szCs w:val="18"/>
          <w:b w:val="1"/>
          <w:bCs w:val="1"/>
          <w:color w:val="auto"/>
        </w:rPr>
        <w:t>OKLAHOMA GAS AND ELECTRIC COMPANY CONDENSED STATEMENTS OF INCOME AND COMPREHENSIVE INCOME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3"/>
          </w:tcPr>
          <w:p>
            <w:pPr>
              <w:jc w:val="right"/>
              <w:ind w:right="450"/>
              <w:spacing w:after="0" w:line="177"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3"/>
          </w:tcPr>
          <w:p>
            <w:pPr>
              <w:jc w:val="right"/>
              <w:ind w:right="510"/>
              <w:spacing w:after="0" w:line="177"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REVENUES</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Revenues from contracts with customers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719.7</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644.1</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1,460.8</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21.9</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18.5</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28.5</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96"/>
        </w:trPr>
        <w:tc>
          <w:tcPr>
            <w:tcW w:w="5820" w:type="dxa"/>
            <w:vAlign w:val="bottom"/>
          </w:tcPr>
          <w:p>
            <w:pPr>
              <w:ind w:left="220"/>
              <w:spacing w:after="0" w:line="196" w:lineRule="exact"/>
              <w:rPr>
                <w:sz w:val="20"/>
                <w:szCs w:val="20"/>
                <w:color w:val="auto"/>
              </w:rPr>
            </w:pPr>
            <w:r>
              <w:rPr>
                <w:rFonts w:ascii="Arial" w:cs="Arial" w:eastAsia="Arial" w:hAnsi="Arial"/>
                <w:sz w:val="18"/>
                <w:szCs w:val="18"/>
                <w:color w:val="auto"/>
              </w:rPr>
              <w:t>Operating revenues</w:t>
            </w:r>
          </w:p>
        </w:tc>
        <w:tc>
          <w:tcPr>
            <w:tcW w:w="220" w:type="dxa"/>
            <w:vAlign w:val="bottom"/>
          </w:tcPr>
          <w:p>
            <w:pPr>
              <w:spacing w:after="0"/>
              <w:rPr>
                <w:sz w:val="17"/>
                <w:szCs w:val="17"/>
                <w:color w:val="auto"/>
              </w:rPr>
            </w:pPr>
          </w:p>
        </w:tc>
        <w:tc>
          <w:tcPr>
            <w:tcW w:w="10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741.6</w:t>
            </w:r>
          </w:p>
        </w:tc>
        <w:tc>
          <w:tcPr>
            <w:tcW w:w="380" w:type="dxa"/>
            <w:vAlign w:val="bottom"/>
          </w:tcPr>
          <w:p>
            <w:pPr>
              <w:spacing w:after="0"/>
              <w:rPr>
                <w:sz w:val="17"/>
                <w:szCs w:val="17"/>
                <w:color w:val="auto"/>
              </w:rPr>
            </w:pPr>
          </w:p>
        </w:tc>
        <w:tc>
          <w:tcPr>
            <w:tcW w:w="10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662.6</w:t>
            </w:r>
          </w:p>
        </w:tc>
        <w:tc>
          <w:tcPr>
            <w:tcW w:w="320" w:type="dxa"/>
            <w:vAlign w:val="bottom"/>
          </w:tcPr>
          <w:p>
            <w:pPr>
              <w:spacing w:after="0"/>
              <w:rPr>
                <w:sz w:val="17"/>
                <w:szCs w:val="17"/>
                <w:color w:val="auto"/>
              </w:rPr>
            </w:pPr>
          </w:p>
        </w:tc>
        <w:tc>
          <w:tcPr>
            <w:tcW w:w="10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1,489.3</w:t>
            </w:r>
          </w:p>
        </w:tc>
        <w:tc>
          <w:tcPr>
            <w:tcW w:w="380" w:type="dxa"/>
            <w:vAlign w:val="bottom"/>
          </w:tcPr>
          <w:p>
            <w:pPr>
              <w:spacing w:after="0"/>
              <w:rPr>
                <w:sz w:val="17"/>
                <w:szCs w:val="17"/>
                <w:color w:val="auto"/>
              </w:rPr>
            </w:pPr>
          </w:p>
        </w:tc>
        <w:tc>
          <w:tcPr>
            <w:tcW w:w="9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184"/>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FUEL, PURCHASED POWER AND DIRECT TRANSMISSION</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261.1</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193.9</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585.1</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operation and maintenance</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126.3</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130.2</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248.1</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140.6</w:t>
            </w:r>
          </w:p>
        </w:tc>
        <w:tc>
          <w:tcPr>
            <w:tcW w:w="3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135.5</w:t>
            </w:r>
          </w:p>
        </w:tc>
        <w:tc>
          <w:tcPr>
            <w:tcW w:w="32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278.0</w:t>
            </w:r>
          </w:p>
        </w:tc>
        <w:tc>
          <w:tcPr>
            <w:tcW w:w="3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Taxes other than income</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26.2</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26.9</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57.4</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293.1</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292.6</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583.5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187.4</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176.1</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320.7</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Allowance for equity funds used during construction</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6.0</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6.6</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13.0</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Other net periodic benefit income (expense)</w:t>
            </w:r>
          </w:p>
        </w:tc>
        <w:tc>
          <w:tcPr>
            <w:tcW w:w="2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w:t>
            </w:r>
          </w:p>
        </w:tc>
        <w:tc>
          <w:tcPr>
            <w:tcW w:w="3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w:t>
            </w:r>
          </w:p>
        </w:tc>
        <w:tc>
          <w:tcPr>
            <w:tcW w:w="3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(5.1)</w:t>
            </w:r>
          </w:p>
        </w:tc>
        <w:tc>
          <w:tcPr>
            <w:tcW w:w="3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4.1</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9.4</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(0.5)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Net other income</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7.0</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10.2</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15.9</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on long-term debt</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60.8</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51.3</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116.4</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Allowance for borrowed funds used during construction</w:t>
            </w:r>
          </w:p>
        </w:tc>
        <w:tc>
          <w:tcPr>
            <w:tcW w:w="2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(3.7)</w:t>
            </w: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3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(8.2)</w:t>
            </w: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on short-term debt and other interest charges</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6.3</w:t>
            </w: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7.0</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12.0</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63.4</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54.9</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120.2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TAXES</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131.0</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131.4</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216.4</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23.3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37.7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107.7</w:t>
            </w:r>
          </w:p>
        </w:tc>
        <w:tc>
          <w:tcPr>
            <w:tcW w:w="3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109.3</w:t>
            </w:r>
          </w:p>
        </w:tc>
        <w:tc>
          <w:tcPr>
            <w:tcW w:w="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178.7</w:t>
            </w:r>
          </w:p>
        </w:tc>
        <w:tc>
          <w:tcPr>
            <w:tcW w:w="3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107.7</w:t>
            </w:r>
          </w:p>
        </w:tc>
        <w:tc>
          <w:tcPr>
            <w:tcW w:w="3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109.3</w:t>
            </w:r>
          </w:p>
        </w:tc>
        <w:tc>
          <w:tcPr>
            <w:tcW w:w="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178.7</w:t>
            </w:r>
          </w:p>
        </w:tc>
        <w:tc>
          <w:tcPr>
            <w:tcW w:w="3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OKLAHOMA GAS AND ELECTRIC COMPANY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AND STATISTICAL DATA</w:t>
      </w:r>
    </w:p>
    <w:tbl>
      <w:tblPr>
        <w:tblLayout w:type="fixed"/>
        <w:tblInd w:w="0" w:type="dxa"/>
        <w:tblCellMar>
          <w:top w:w="0" w:type="dxa"/>
          <w:left w:w="0" w:type="dxa"/>
          <w:bottom w:w="0" w:type="dxa"/>
          <w:right w:w="0" w:type="dxa"/>
        </w:tblCellMar>
      </w:tblPr>
      <w:tr>
        <w:trPr>
          <w:trHeight w:val="177"/>
        </w:trPr>
        <w:tc>
          <w:tcPr>
            <w:tcW w:w="5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3"/>
          </w:tcPr>
          <w:p>
            <w:pPr>
              <w:jc w:val="right"/>
              <w:ind w:right="410"/>
              <w:spacing w:after="0" w:line="177"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3"/>
          </w:tcPr>
          <w:p>
            <w:pPr>
              <w:jc w:val="right"/>
              <w:ind w:right="510"/>
              <w:spacing w:after="0" w:line="177"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2024</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revenues by classification:</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Residential</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261.0</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247.2</w:t>
            </w:r>
          </w:p>
        </w:tc>
        <w:tc>
          <w:tcPr>
            <w:tcW w:w="3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548.3</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225.9</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183.9</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434.7</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60.2</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56.8</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122.4</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Oilfield</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53.2</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48.2</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112.4</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Public authorities and street light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64.5</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59.5</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125.3</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System sales revenues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664.8</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595.6</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1,343.1</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Provision for rate refund</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Integrated market</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26.3</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17.1</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47.6</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Transmission</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42.1</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42.5</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81.9</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8.4</w:t>
            </w: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13.7</w:t>
            </w: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741.6</w:t>
            </w:r>
          </w:p>
        </w:tc>
        <w:tc>
          <w:tcPr>
            <w:tcW w:w="4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662.6</w:t>
            </w:r>
          </w:p>
        </w:tc>
        <w:tc>
          <w:tcPr>
            <w:tcW w:w="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1,489.3</w:t>
            </w:r>
          </w:p>
        </w:tc>
        <w:tc>
          <w:tcPr>
            <w:tcW w:w="4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 xml:space="preserve">MWh sales by classification </w:t>
            </w:r>
            <w:r>
              <w:rPr>
                <w:rFonts w:ascii="Arial" w:cs="Arial" w:eastAsia="Arial" w:hAnsi="Arial"/>
                <w:sz w:val="18"/>
                <w:szCs w:val="18"/>
                <w:i w:val="1"/>
                <w:iCs w:val="1"/>
                <w:color w:val="auto"/>
              </w:rPr>
              <w:t>(In millions)</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4.6</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3.1</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5.8</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Oilfield</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1.0</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2.1</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Public authorities and street light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0.7</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0.8</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1.4</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System sales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7.9</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7.8</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15.9</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Integrated market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0.2</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0.4</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auto"/>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sales</w:t>
            </w: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8.1</w:t>
            </w: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16.3</w:t>
            </w: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Number of customers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b w:val="1"/>
                <w:bCs w:val="1"/>
                <w:color w:val="auto"/>
              </w:rPr>
              <w:t>909,131</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902,303</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b w:val="1"/>
                <w:bCs w:val="1"/>
                <w:color w:val="auto"/>
              </w:rPr>
              <w:t>909,131</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 xml:space="preserve">Weighted-average cost of energy per kilowatt-hour </w:t>
            </w:r>
            <w:r>
              <w:rPr>
                <w:rFonts w:ascii="Arial" w:cs="Arial" w:eastAsia="Arial" w:hAnsi="Arial"/>
                <w:sz w:val="18"/>
                <w:szCs w:val="18"/>
                <w:i w:val="1"/>
                <w:iCs w:val="1"/>
                <w:color w:val="auto"/>
              </w:rPr>
              <w:t>(In cents)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3.498</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2.205</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4.265</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Coal</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2.761</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3.247</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2.751</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Total fuel</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3.120</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2.260</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3.508</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Total fuel and purchased power</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3.076</w:t>
            </w: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2.321</w:t>
            </w:r>
          </w:p>
        </w:tc>
        <w:tc>
          <w:tcPr>
            <w:tcW w:w="3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3.437</w:t>
            </w: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Degree days (A)</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Heating - Actual</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156</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117</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2,056</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Heating - Normal</w:t>
            </w:r>
          </w:p>
        </w:tc>
        <w:tc>
          <w:tcPr>
            <w:tcW w:w="2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250</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249</w:t>
            </w:r>
          </w:p>
        </w:tc>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2,139</w:t>
            </w: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Cooling - Actual</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579</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740</w:t>
            </w: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598</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8"/>
                <w:szCs w:val="18"/>
                <w:color w:val="auto"/>
              </w:rPr>
              <w:t>Cooling - Normal</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553</w:t>
            </w:r>
          </w:p>
        </w:tc>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563</w:t>
            </w:r>
          </w:p>
        </w:tc>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80" w:hanging="372"/>
        <w:spacing w:after="0" w:line="235" w:lineRule="auto"/>
        <w:tabs>
          <w:tab w:leader="none" w:pos="38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 The calculation of heating and cooling degree normal days is based on a 30-year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2025-07-30T05:15:15Z</dcterms:created>
  <dcterms:modified xsi:type="dcterms:W3CDTF">2025-07-30T05:15:15Z</dcterms:modified>
</cp:coreProperties>
</file>