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2"/>
          <w:szCs w:val="2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jc w:val="center"/>
        <w:spacing w:after="0" w:line="230" w:lineRule="auto"/>
        <w:rPr>
          <w:sz w:val="20"/>
          <w:szCs w:val="20"/>
          <w:color w:val="auto"/>
        </w:rPr>
      </w:pPr>
      <w:r>
        <w:rPr>
          <w:rFonts w:ascii="Calibri" w:cs="Calibri" w:eastAsia="Calibri" w:hAnsi="Calibri"/>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340" w:type="dxa"/>
            <w:vAlign w:val="bottom"/>
            <w:gridSpan w:val="3"/>
          </w:tcPr>
          <w:p>
            <w:pPr>
              <w:ind w:left="1400"/>
              <w:spacing w:after="0"/>
              <w:rPr>
                <w:sz w:val="20"/>
                <w:szCs w:val="20"/>
                <w:color w:val="auto"/>
              </w:rPr>
            </w:pPr>
            <w:r>
              <w:rPr>
                <w:rFonts w:ascii="Calibri" w:cs="Calibri" w:eastAsia="Calibri" w:hAnsi="Calibri"/>
                <w:sz w:val="18"/>
                <w:szCs w:val="18"/>
                <w:color w:val="auto"/>
              </w:rPr>
              <w:t>Date of report (Date of earliest event reported)</w:t>
            </w:r>
          </w:p>
        </w:tc>
        <w:tc>
          <w:tcPr>
            <w:tcW w:w="1460" w:type="dxa"/>
            <w:vAlign w:val="bottom"/>
          </w:tcPr>
          <w:p>
            <w:pPr>
              <w:spacing w:after="0"/>
              <w:rPr>
                <w:sz w:val="19"/>
                <w:szCs w:val="19"/>
                <w:color w:val="auto"/>
              </w:rPr>
            </w:pPr>
          </w:p>
        </w:tc>
        <w:tc>
          <w:tcPr>
            <w:tcW w:w="3440" w:type="dxa"/>
            <w:vAlign w:val="bottom"/>
          </w:tcPr>
          <w:p>
            <w:pPr>
              <w:ind w:left="400"/>
              <w:spacing w:after="0"/>
              <w:rPr>
                <w:sz w:val="20"/>
                <w:szCs w:val="20"/>
                <w:color w:val="auto"/>
              </w:rPr>
            </w:pPr>
            <w:r>
              <w:rPr>
                <w:rFonts w:ascii="Calibri" w:cs="Calibri" w:eastAsia="Calibri" w:hAnsi="Calibri"/>
                <w:sz w:val="18"/>
                <w:szCs w:val="18"/>
                <w:color w:val="auto"/>
              </w:rPr>
              <w:t>June 12, 2024</w:t>
            </w:r>
          </w:p>
        </w:tc>
      </w:tr>
      <w:tr>
        <w:trPr>
          <w:trHeight w:val="64"/>
        </w:trPr>
        <w:tc>
          <w:tcPr>
            <w:tcW w:w="242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gridSpan w:val="3"/>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r>
      <w:tr>
        <w:trPr>
          <w:trHeight w:val="564"/>
        </w:trPr>
        <w:tc>
          <w:tcPr>
            <w:tcW w:w="2420" w:type="dxa"/>
            <w:vAlign w:val="bottom"/>
          </w:tcPr>
          <w:p>
            <w:pPr>
              <w:jc w:val="center"/>
              <w:ind w:left="110"/>
              <w:spacing w:after="0"/>
              <w:rPr>
                <w:sz w:val="20"/>
                <w:szCs w:val="20"/>
                <w:color w:val="auto"/>
              </w:rPr>
            </w:pPr>
            <w:r>
              <w:rPr>
                <w:rFonts w:ascii="Calibri" w:cs="Calibri" w:eastAsia="Calibri" w:hAnsi="Calibri"/>
                <w:sz w:val="18"/>
                <w:szCs w:val="18"/>
                <w:color w:val="auto"/>
                <w:w w:val="98"/>
              </w:rPr>
              <w:t>(Commission File Number)</w:t>
            </w:r>
          </w:p>
        </w:tc>
        <w:tc>
          <w:tcPr>
            <w:tcW w:w="5380" w:type="dxa"/>
            <w:vAlign w:val="bottom"/>
            <w:gridSpan w:val="3"/>
          </w:tcPr>
          <w:p>
            <w:pPr>
              <w:jc w:val="center"/>
              <w:ind w:left="230"/>
              <w:spacing w:after="0"/>
              <w:rPr>
                <w:sz w:val="20"/>
                <w:szCs w:val="20"/>
                <w:color w:val="auto"/>
              </w:rPr>
            </w:pPr>
            <w:r>
              <w:rPr>
                <w:rFonts w:ascii="Calibri" w:cs="Calibri" w:eastAsia="Calibri" w:hAnsi="Calibri"/>
                <w:sz w:val="18"/>
                <w:szCs w:val="18"/>
                <w:color w:val="auto"/>
                <w:w w:val="98"/>
              </w:rPr>
              <w:t>(Exact Name of Registrants as Specifed in Their Charters)</w:t>
            </w:r>
          </w:p>
        </w:tc>
        <w:tc>
          <w:tcPr>
            <w:tcW w:w="3440" w:type="dxa"/>
            <w:vAlign w:val="bottom"/>
          </w:tcPr>
          <w:p>
            <w:pPr>
              <w:jc w:val="center"/>
              <w:ind w:left="30"/>
              <w:spacing w:after="0"/>
              <w:rPr>
                <w:sz w:val="20"/>
                <w:szCs w:val="20"/>
                <w:color w:val="auto"/>
              </w:rPr>
            </w:pPr>
            <w:r>
              <w:rPr>
                <w:rFonts w:ascii="Calibri" w:cs="Calibri" w:eastAsia="Calibri" w:hAnsi="Calibri"/>
                <w:sz w:val="18"/>
                <w:szCs w:val="18"/>
                <w:color w:val="auto"/>
              </w:rPr>
              <w:t>(I.R.S. Employer Identfcaton No.)</w:t>
            </w:r>
          </w:p>
        </w:tc>
      </w:tr>
      <w:tr>
        <w:trPr>
          <w:trHeight w:val="64"/>
        </w:trPr>
        <w:tc>
          <w:tcPr>
            <w:tcW w:w="24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r>
      <w:tr>
        <w:trPr>
          <w:trHeight w:val="254"/>
        </w:trPr>
        <w:tc>
          <w:tcPr>
            <w:tcW w:w="2420" w:type="dxa"/>
            <w:vAlign w:val="bottom"/>
          </w:tcPr>
          <w:p>
            <w:pPr>
              <w:jc w:val="right"/>
              <w:ind w:right="730"/>
              <w:spacing w:after="0"/>
              <w:rPr>
                <w:sz w:val="20"/>
                <w:szCs w:val="20"/>
                <w:color w:val="auto"/>
              </w:rPr>
            </w:pPr>
            <w:r>
              <w:rPr>
                <w:rFonts w:ascii="Calibri" w:cs="Calibri" w:eastAsia="Calibri" w:hAnsi="Calibri"/>
                <w:sz w:val="18"/>
                <w:szCs w:val="18"/>
                <w:color w:val="auto"/>
              </w:rPr>
              <w:t>1-12579</w:t>
            </w:r>
          </w:p>
        </w:tc>
        <w:tc>
          <w:tcPr>
            <w:tcW w:w="1560" w:type="dxa"/>
            <w:vAlign w:val="bottom"/>
          </w:tcPr>
          <w:p>
            <w:pPr>
              <w:spacing w:after="0"/>
              <w:rPr>
                <w:sz w:val="22"/>
                <w:szCs w:val="22"/>
                <w:color w:val="auto"/>
              </w:rPr>
            </w:pPr>
          </w:p>
        </w:tc>
        <w:tc>
          <w:tcPr>
            <w:tcW w:w="2360" w:type="dxa"/>
            <w:vAlign w:val="bottom"/>
          </w:tcPr>
          <w:p>
            <w:pPr>
              <w:jc w:val="center"/>
              <w:ind w:left="110"/>
              <w:spacing w:after="0"/>
              <w:rPr>
                <w:sz w:val="20"/>
                <w:szCs w:val="20"/>
                <w:color w:val="auto"/>
              </w:rPr>
            </w:pPr>
            <w:r>
              <w:rPr>
                <w:rFonts w:ascii="Calibri" w:cs="Calibri" w:eastAsia="Calibri" w:hAnsi="Calibri"/>
                <w:sz w:val="18"/>
                <w:szCs w:val="18"/>
                <w:color w:val="auto"/>
                <w:w w:val="96"/>
              </w:rPr>
              <w:t>OGE ENERGY CORP.</w:t>
            </w:r>
          </w:p>
        </w:tc>
        <w:tc>
          <w:tcPr>
            <w:tcW w:w="1460" w:type="dxa"/>
            <w:vAlign w:val="bottom"/>
          </w:tcPr>
          <w:p>
            <w:pPr>
              <w:spacing w:after="0"/>
              <w:rPr>
                <w:sz w:val="22"/>
                <w:szCs w:val="22"/>
                <w:color w:val="auto"/>
              </w:rPr>
            </w:pPr>
          </w:p>
        </w:tc>
        <w:tc>
          <w:tcPr>
            <w:tcW w:w="3440" w:type="dxa"/>
            <w:vAlign w:val="bottom"/>
          </w:tcPr>
          <w:p>
            <w:pPr>
              <w:jc w:val="center"/>
              <w:ind w:left="30"/>
              <w:spacing w:after="0"/>
              <w:rPr>
                <w:sz w:val="20"/>
                <w:szCs w:val="20"/>
                <w:color w:val="auto"/>
              </w:rPr>
            </w:pPr>
            <w:r>
              <w:rPr>
                <w:rFonts w:ascii="Calibri" w:cs="Calibri" w:eastAsia="Calibri" w:hAnsi="Calibri"/>
                <w:sz w:val="18"/>
                <w:szCs w:val="18"/>
                <w:color w:val="auto"/>
                <w:w w:val="95"/>
              </w:rPr>
              <w:t>73-1481638</w:t>
            </w:r>
          </w:p>
        </w:tc>
      </w:tr>
      <w:tr>
        <w:trPr>
          <w:trHeight w:val="338"/>
        </w:trPr>
        <w:tc>
          <w:tcPr>
            <w:tcW w:w="2420" w:type="dxa"/>
            <w:vAlign w:val="bottom"/>
          </w:tcPr>
          <w:p>
            <w:pPr>
              <w:jc w:val="right"/>
              <w:ind w:right="770"/>
              <w:spacing w:after="0"/>
              <w:rPr>
                <w:sz w:val="20"/>
                <w:szCs w:val="20"/>
                <w:color w:val="auto"/>
              </w:rPr>
            </w:pPr>
            <w:r>
              <w:rPr>
                <w:rFonts w:ascii="Calibri" w:cs="Calibri" w:eastAsia="Calibri" w:hAnsi="Calibri"/>
                <w:sz w:val="18"/>
                <w:szCs w:val="18"/>
                <w:color w:val="auto"/>
              </w:rPr>
              <w:t>1-1097</w:t>
            </w:r>
          </w:p>
        </w:tc>
        <w:tc>
          <w:tcPr>
            <w:tcW w:w="5380" w:type="dxa"/>
            <w:vAlign w:val="bottom"/>
            <w:gridSpan w:val="3"/>
          </w:tcPr>
          <w:p>
            <w:pPr>
              <w:jc w:val="center"/>
              <w:ind w:left="210"/>
              <w:spacing w:after="0"/>
              <w:rPr>
                <w:sz w:val="20"/>
                <w:szCs w:val="20"/>
                <w:color w:val="auto"/>
              </w:rPr>
            </w:pPr>
            <w:r>
              <w:rPr>
                <w:rFonts w:ascii="Calibri" w:cs="Calibri" w:eastAsia="Calibri" w:hAnsi="Calibri"/>
                <w:sz w:val="18"/>
                <w:szCs w:val="18"/>
                <w:color w:val="auto"/>
                <w:w w:val="97"/>
              </w:rPr>
              <w:t>OKLAHOMA GAS AND ELECTRIC COMPANY</w:t>
            </w:r>
          </w:p>
        </w:tc>
        <w:tc>
          <w:tcPr>
            <w:tcW w:w="3440" w:type="dxa"/>
            <w:vAlign w:val="bottom"/>
          </w:tcPr>
          <w:p>
            <w:pPr>
              <w:jc w:val="center"/>
              <w:ind w:left="30"/>
              <w:spacing w:after="0"/>
              <w:rPr>
                <w:sz w:val="20"/>
                <w:szCs w:val="20"/>
                <w:color w:val="auto"/>
              </w:rPr>
            </w:pPr>
            <w:r>
              <w:rPr>
                <w:rFonts w:ascii="Calibri" w:cs="Calibri" w:eastAsia="Calibri" w:hAnsi="Calibri"/>
                <w:sz w:val="18"/>
                <w:szCs w:val="18"/>
                <w:color w:val="auto"/>
                <w:w w:val="95"/>
              </w:rPr>
              <w:t>73-0382390</w:t>
            </w:r>
          </w:p>
        </w:tc>
      </w:tr>
      <w:tr>
        <w:trPr>
          <w:trHeight w:val="634"/>
        </w:trPr>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60" w:type="dxa"/>
            <w:vAlign w:val="bottom"/>
          </w:tcPr>
          <w:p>
            <w:pPr>
              <w:jc w:val="center"/>
              <w:ind w:left="850"/>
              <w:spacing w:after="0"/>
              <w:rPr>
                <w:sz w:val="20"/>
                <w:szCs w:val="20"/>
                <w:color w:val="auto"/>
              </w:rPr>
            </w:pPr>
            <w:r>
              <w:rPr>
                <w:rFonts w:ascii="Calibri" w:cs="Calibri" w:eastAsia="Calibri" w:hAnsi="Calibri"/>
                <w:sz w:val="18"/>
                <w:szCs w:val="18"/>
                <w:color w:val="auto"/>
                <w:w w:val="98"/>
              </w:rPr>
              <w:t>Oklahoma</w:t>
            </w:r>
          </w:p>
        </w:tc>
        <w:tc>
          <w:tcPr>
            <w:tcW w:w="14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4"/>
        </w:trPr>
        <w:tc>
          <w:tcPr>
            <w:tcW w:w="24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gridSpan w:val="2"/>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r>
      <w:tr>
        <w:trPr>
          <w:trHeight w:val="253"/>
        </w:trPr>
        <w:tc>
          <w:tcPr>
            <w:tcW w:w="24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820" w:type="dxa"/>
            <w:vAlign w:val="bottom"/>
            <w:gridSpan w:val="2"/>
          </w:tcPr>
          <w:p>
            <w:pPr>
              <w:jc w:val="center"/>
              <w:ind w:right="450"/>
              <w:spacing w:after="0"/>
              <w:rPr>
                <w:sz w:val="20"/>
                <w:szCs w:val="20"/>
                <w:color w:val="auto"/>
              </w:rPr>
            </w:pPr>
            <w:r>
              <w:rPr>
                <w:rFonts w:ascii="Calibri" w:cs="Calibri" w:eastAsia="Calibri" w:hAnsi="Calibri"/>
                <w:sz w:val="18"/>
                <w:szCs w:val="18"/>
                <w:color w:val="auto"/>
                <w:w w:val="99"/>
              </w:rPr>
              <w:t>(State or Other Jurisdicton of Incorporaton)</w:t>
            </w:r>
          </w:p>
        </w:tc>
        <w:tc>
          <w:tcPr>
            <w:tcW w:w="3440" w:type="dxa"/>
            <w:vAlign w:val="bottom"/>
          </w:tcPr>
          <w:p>
            <w:pPr>
              <w:spacing w:after="0"/>
              <w:rPr>
                <w:sz w:val="22"/>
                <w:szCs w:val="22"/>
                <w:color w:val="auto"/>
              </w:rPr>
            </w:pPr>
          </w:p>
        </w:tc>
      </w:tr>
      <w:tr>
        <w:trPr>
          <w:trHeight w:val="634"/>
        </w:trPr>
        <w:tc>
          <w:tcPr>
            <w:tcW w:w="2420" w:type="dxa"/>
            <w:vAlign w:val="bottom"/>
          </w:tcPr>
          <w:p>
            <w:pPr>
              <w:jc w:val="center"/>
              <w:ind w:left="110"/>
              <w:spacing w:after="0"/>
              <w:rPr>
                <w:sz w:val="20"/>
                <w:szCs w:val="20"/>
                <w:color w:val="auto"/>
              </w:rPr>
            </w:pPr>
            <w:r>
              <w:rPr>
                <w:rFonts w:ascii="Calibri" w:cs="Calibri" w:eastAsia="Calibri" w:hAnsi="Calibri"/>
                <w:sz w:val="18"/>
                <w:szCs w:val="18"/>
                <w:color w:val="auto"/>
                <w:w w:val="97"/>
              </w:rPr>
              <w:t>321 North Harvey</w:t>
            </w:r>
          </w:p>
        </w:tc>
        <w:tc>
          <w:tcPr>
            <w:tcW w:w="1560" w:type="dxa"/>
            <w:vAlign w:val="bottom"/>
          </w:tcPr>
          <w:p>
            <w:pPr>
              <w:ind w:left="640"/>
              <w:spacing w:after="0"/>
              <w:rPr>
                <w:sz w:val="20"/>
                <w:szCs w:val="20"/>
                <w:color w:val="auto"/>
              </w:rPr>
            </w:pPr>
            <w:r>
              <w:rPr>
                <w:rFonts w:ascii="Calibri" w:cs="Calibri" w:eastAsia="Calibri" w:hAnsi="Calibri"/>
                <w:sz w:val="18"/>
                <w:szCs w:val="18"/>
                <w:color w:val="auto"/>
                <w:w w:val="96"/>
              </w:rPr>
              <w:t>P.O. Box 321</w:t>
            </w:r>
          </w:p>
        </w:tc>
        <w:tc>
          <w:tcPr>
            <w:tcW w:w="2360" w:type="dxa"/>
            <w:vAlign w:val="bottom"/>
          </w:tcPr>
          <w:p>
            <w:pPr>
              <w:jc w:val="center"/>
              <w:ind w:left="110"/>
              <w:spacing w:after="0"/>
              <w:rPr>
                <w:sz w:val="20"/>
                <w:szCs w:val="20"/>
                <w:color w:val="auto"/>
              </w:rPr>
            </w:pPr>
            <w:r>
              <w:rPr>
                <w:rFonts w:ascii="Calibri" w:cs="Calibri" w:eastAsia="Calibri" w:hAnsi="Calibri"/>
                <w:sz w:val="18"/>
                <w:szCs w:val="18"/>
                <w:color w:val="auto"/>
                <w:w w:val="97"/>
              </w:rPr>
              <w:t>Oklahoma City</w:t>
            </w:r>
          </w:p>
        </w:tc>
        <w:tc>
          <w:tcPr>
            <w:tcW w:w="1460" w:type="dxa"/>
            <w:vAlign w:val="bottom"/>
          </w:tcPr>
          <w:p>
            <w:pPr>
              <w:ind w:left="340"/>
              <w:spacing w:after="0"/>
              <w:rPr>
                <w:sz w:val="20"/>
                <w:szCs w:val="20"/>
                <w:color w:val="auto"/>
              </w:rPr>
            </w:pPr>
            <w:r>
              <w:rPr>
                <w:rFonts w:ascii="Calibri" w:cs="Calibri" w:eastAsia="Calibri" w:hAnsi="Calibri"/>
                <w:sz w:val="18"/>
                <w:szCs w:val="18"/>
                <w:color w:val="auto"/>
              </w:rPr>
              <w:t>Oklahoma</w:t>
            </w:r>
          </w:p>
        </w:tc>
        <w:tc>
          <w:tcPr>
            <w:tcW w:w="3440" w:type="dxa"/>
            <w:vAlign w:val="bottom"/>
          </w:tcPr>
          <w:p>
            <w:pPr>
              <w:jc w:val="center"/>
              <w:ind w:left="30"/>
              <w:spacing w:after="0"/>
              <w:rPr>
                <w:sz w:val="20"/>
                <w:szCs w:val="20"/>
                <w:color w:val="auto"/>
              </w:rPr>
            </w:pPr>
            <w:r>
              <w:rPr>
                <w:rFonts w:ascii="Calibri" w:cs="Calibri" w:eastAsia="Calibri" w:hAnsi="Calibri"/>
                <w:sz w:val="18"/>
                <w:szCs w:val="18"/>
                <w:color w:val="auto"/>
                <w:w w:val="95"/>
              </w:rPr>
              <w:t>73101-0321</w:t>
            </w:r>
          </w:p>
        </w:tc>
      </w:tr>
      <w:tr>
        <w:trPr>
          <w:trHeight w:val="64"/>
        </w:trPr>
        <w:tc>
          <w:tcPr>
            <w:tcW w:w="242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gridSpan w:val="2"/>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r>
      <w:tr>
        <w:trPr>
          <w:trHeight w:val="253"/>
        </w:trPr>
        <w:tc>
          <w:tcPr>
            <w:tcW w:w="2420" w:type="dxa"/>
            <w:vAlign w:val="bottom"/>
          </w:tcPr>
          <w:p>
            <w:pPr>
              <w:spacing w:after="0"/>
              <w:rPr>
                <w:sz w:val="22"/>
                <w:szCs w:val="22"/>
                <w:color w:val="auto"/>
              </w:rPr>
            </w:pPr>
          </w:p>
        </w:tc>
        <w:tc>
          <w:tcPr>
            <w:tcW w:w="3920" w:type="dxa"/>
            <w:vAlign w:val="bottom"/>
            <w:gridSpan w:val="2"/>
          </w:tcPr>
          <w:p>
            <w:pPr>
              <w:ind w:left="160"/>
              <w:spacing w:after="0"/>
              <w:rPr>
                <w:sz w:val="20"/>
                <w:szCs w:val="20"/>
                <w:color w:val="auto"/>
              </w:rPr>
            </w:pPr>
            <w:r>
              <w:rPr>
                <w:rFonts w:ascii="Calibri" w:cs="Calibri" w:eastAsia="Calibri" w:hAnsi="Calibri"/>
                <w:sz w:val="18"/>
                <w:szCs w:val="18"/>
                <w:color w:val="auto"/>
              </w:rPr>
              <w:t>(Address of Principal Executve Ofces)</w:t>
            </w:r>
          </w:p>
        </w:tc>
        <w:tc>
          <w:tcPr>
            <w:tcW w:w="1460" w:type="dxa"/>
            <w:vAlign w:val="bottom"/>
          </w:tcPr>
          <w:p>
            <w:pPr>
              <w:spacing w:after="0"/>
              <w:rPr>
                <w:sz w:val="22"/>
                <w:szCs w:val="22"/>
                <w:color w:val="auto"/>
              </w:rPr>
            </w:pPr>
          </w:p>
        </w:tc>
        <w:tc>
          <w:tcPr>
            <w:tcW w:w="3440" w:type="dxa"/>
            <w:vAlign w:val="bottom"/>
          </w:tcPr>
          <w:p>
            <w:pPr>
              <w:jc w:val="center"/>
              <w:ind w:left="30"/>
              <w:spacing w:after="0"/>
              <w:rPr>
                <w:sz w:val="20"/>
                <w:szCs w:val="20"/>
                <w:color w:val="auto"/>
              </w:rPr>
            </w:pPr>
            <w:r>
              <w:rPr>
                <w:rFonts w:ascii="Calibri" w:cs="Calibri" w:eastAsia="Calibri" w:hAnsi="Calibri"/>
                <w:sz w:val="18"/>
                <w:szCs w:val="18"/>
                <w:color w:val="auto"/>
                <w:w w:val="96"/>
              </w:rPr>
              <w:t>(Zip Code)</w:t>
            </w:r>
          </w:p>
        </w:tc>
      </w:tr>
    </w:tbl>
    <w:p>
      <w:pPr>
        <w:spacing w:after="0" w:line="253" w:lineRule="exact"/>
        <w:rPr>
          <w:sz w:val="24"/>
          <w:szCs w:val="24"/>
          <w:color w:val="auto"/>
        </w:rPr>
      </w:pPr>
    </w:p>
    <w:p>
      <w:pPr>
        <w:jc w:val="center"/>
        <w:ind w:right="-339"/>
        <w:spacing w:after="0"/>
        <w:rPr>
          <w:sz w:val="20"/>
          <w:szCs w:val="20"/>
          <w:color w:val="auto"/>
        </w:rPr>
      </w:pPr>
      <w:r>
        <w:rPr>
          <w:rFonts w:ascii="Calibri" w:cs="Calibri" w:eastAsia="Calibri" w:hAnsi="Calibri"/>
          <w:sz w:val="18"/>
          <w:szCs w:val="18"/>
          <w:color w:val="auto"/>
        </w:rPr>
        <w:t>(405) 553-3000</w:t>
      </w:r>
    </w:p>
    <w:p>
      <w:pPr>
        <w:ind w:left="3920"/>
        <w:spacing w:after="0" w:line="235" w:lineRule="auto"/>
        <w:rPr>
          <w:sz w:val="20"/>
          <w:szCs w:val="20"/>
          <w:color w:val="auto"/>
        </w:rPr>
      </w:pPr>
      <w:r>
        <w:rPr>
          <w:rFonts w:ascii="Calibri" w:cs="Calibri" w:eastAsia="Calibri" w:hAnsi="Calibri"/>
          <w:sz w:val="18"/>
          <w:szCs w:val="18"/>
          <w:color w:val="auto"/>
        </w:rPr>
        <w:t>(Registrant's telephone number, including area code)</w:t>
      </w:r>
    </w:p>
    <w:p>
      <w:pPr>
        <w:spacing w:after="0" w:line="78" w:lineRule="exact"/>
        <w:rPr>
          <w:sz w:val="24"/>
          <w:szCs w:val="24"/>
          <w:color w:val="auto"/>
        </w:rPr>
      </w:pPr>
    </w:p>
    <w:p>
      <w:pPr>
        <w:ind w:left="5100"/>
        <w:spacing w:after="0"/>
        <w:rPr>
          <w:sz w:val="20"/>
          <w:szCs w:val="20"/>
          <w:color w:val="auto"/>
        </w:rPr>
      </w:pPr>
      <w:r>
        <w:rPr>
          <w:rFonts w:ascii="Calibri" w:cs="Calibri" w:eastAsia="Calibri" w:hAnsi="Calibri"/>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(Former Name or Former Address, if Changed Since Last Report)</w:t>
      </w:r>
    </w:p>
    <w:p>
      <w:pPr>
        <w:spacing w:after="0" w:line="258" w:lineRule="exact"/>
        <w:rPr>
          <w:sz w:val="24"/>
          <w:szCs w:val="24"/>
          <w:color w:val="auto"/>
        </w:rPr>
      </w:pPr>
    </w:p>
    <w:p>
      <w:pPr>
        <w:ind w:right="560" w:firstLine="374"/>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i w:val="1"/>
          <w:iCs w:val="1"/>
          <w:color w:val="auto"/>
        </w:rPr>
        <w:t>see</w:t>
      </w:r>
      <w:r>
        <w:rPr>
          <w:rFonts w:ascii="Calibri" w:cs="Calibri" w:eastAsia="Calibri" w:hAnsi="Calibri"/>
          <w:sz w:val="18"/>
          <w:szCs w:val="18"/>
          <w:color w:val="auto"/>
        </w:rPr>
        <w:t xml:space="preserve"> General Instructon A.2. below):</w:t>
      </w:r>
    </w:p>
    <w:p>
      <w:pPr>
        <w:spacing w:after="0" w:line="78" w:lineRule="exact"/>
        <w:rPr>
          <w:sz w:val="24"/>
          <w:szCs w:val="24"/>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17"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17"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260" w:type="dxa"/>
            <w:vAlign w:val="bottom"/>
            <w:gridSpan w:val="2"/>
          </w:tcPr>
          <w:p>
            <w:pPr>
              <w:ind w:left="380"/>
              <w:spacing w:after="0"/>
              <w:rPr>
                <w:sz w:val="20"/>
                <w:szCs w:val="20"/>
                <w:color w:val="auto"/>
              </w:rPr>
            </w:pPr>
            <w:r>
              <w:rPr>
                <w:rFonts w:ascii="Calibri" w:cs="Calibri" w:eastAsia="Calibri" w:hAnsi="Calibri"/>
                <w:sz w:val="18"/>
                <w:szCs w:val="18"/>
                <w:color w:val="auto"/>
              </w:rPr>
              <w:t>Securites registered pursuant to Secton 12(b) of the Act:</w:t>
            </w:r>
          </w:p>
        </w:tc>
        <w:tc>
          <w:tcPr>
            <w:tcW w:w="19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97"/>
        </w:trPr>
        <w:tc>
          <w:tcPr>
            <w:tcW w:w="3400" w:type="dxa"/>
            <w:vAlign w:val="bottom"/>
          </w:tcPr>
          <w:p>
            <w:pPr>
              <w:jc w:val="center"/>
              <w:ind w:left="30"/>
              <w:spacing w:after="0"/>
              <w:rPr>
                <w:sz w:val="20"/>
                <w:szCs w:val="20"/>
                <w:color w:val="auto"/>
              </w:rPr>
            </w:pPr>
            <w:r>
              <w:rPr>
                <w:rFonts w:ascii="Calibri" w:cs="Calibri" w:eastAsia="Calibri" w:hAnsi="Calibri"/>
                <w:sz w:val="18"/>
                <w:szCs w:val="18"/>
                <w:color w:val="auto"/>
                <w:w w:val="96"/>
              </w:rPr>
              <w:t>Registrant</w:t>
            </w: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8"/>
              </w:rPr>
              <w:t>Title of each class</w:t>
            </w:r>
          </w:p>
        </w:tc>
        <w:tc>
          <w:tcPr>
            <w:tcW w:w="1980" w:type="dxa"/>
            <w:vAlign w:val="bottom"/>
          </w:tcPr>
          <w:p>
            <w:pPr>
              <w:jc w:val="center"/>
              <w:ind w:right="30"/>
              <w:spacing w:after="0"/>
              <w:rPr>
                <w:sz w:val="20"/>
                <w:szCs w:val="20"/>
                <w:color w:val="auto"/>
              </w:rPr>
            </w:pPr>
            <w:r>
              <w:rPr>
                <w:rFonts w:ascii="Calibri" w:cs="Calibri" w:eastAsia="Calibri" w:hAnsi="Calibri"/>
                <w:sz w:val="18"/>
                <w:szCs w:val="18"/>
                <w:color w:val="auto"/>
                <w:w w:val="96"/>
              </w:rPr>
              <w:t>Trading Symbol(s)</w:t>
            </w:r>
          </w:p>
        </w:tc>
        <w:tc>
          <w:tcPr>
            <w:tcW w:w="4000" w:type="dxa"/>
            <w:vAlign w:val="bottom"/>
          </w:tcPr>
          <w:p>
            <w:pPr>
              <w:jc w:val="center"/>
              <w:spacing w:after="0"/>
              <w:rPr>
                <w:sz w:val="20"/>
                <w:szCs w:val="20"/>
                <w:color w:val="auto"/>
              </w:rPr>
            </w:pPr>
            <w:r>
              <w:rPr>
                <w:rFonts w:ascii="Calibri" w:cs="Calibri" w:eastAsia="Calibri" w:hAnsi="Calibri"/>
                <w:sz w:val="18"/>
                <w:szCs w:val="18"/>
                <w:color w:val="auto"/>
                <w:w w:val="96"/>
              </w:rPr>
              <w:t>Name of each exchange on which registered</w:t>
            </w:r>
          </w:p>
        </w:tc>
      </w:tr>
      <w:tr>
        <w:trPr>
          <w:trHeight w:val="64"/>
        </w:trPr>
        <w:tc>
          <w:tcPr>
            <w:tcW w:w="340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4000" w:type="dxa"/>
            <w:vAlign w:val="bottom"/>
            <w:tcBorders>
              <w:bottom w:val="single" w:sz="8" w:color="auto"/>
            </w:tcBorders>
          </w:tcPr>
          <w:p>
            <w:pPr>
              <w:spacing w:after="0"/>
              <w:rPr>
                <w:sz w:val="5"/>
                <w:szCs w:val="5"/>
                <w:color w:val="auto"/>
              </w:rPr>
            </w:pPr>
          </w:p>
        </w:tc>
      </w:tr>
      <w:tr>
        <w:trPr>
          <w:trHeight w:val="253"/>
        </w:trPr>
        <w:tc>
          <w:tcPr>
            <w:tcW w:w="3400" w:type="dxa"/>
            <w:vAlign w:val="bottom"/>
          </w:tcPr>
          <w:p>
            <w:pPr>
              <w:jc w:val="center"/>
              <w:ind w:left="10"/>
              <w:spacing w:after="0"/>
              <w:rPr>
                <w:sz w:val="20"/>
                <w:szCs w:val="20"/>
                <w:color w:val="auto"/>
              </w:rPr>
            </w:pPr>
            <w:r>
              <w:rPr>
                <w:rFonts w:ascii="Calibri" w:cs="Calibri" w:eastAsia="Calibri" w:hAnsi="Calibri"/>
                <w:sz w:val="18"/>
                <w:szCs w:val="18"/>
                <w:color w:val="auto"/>
                <w:w w:val="97"/>
              </w:rPr>
              <w:t>OGE Energy Corp.</w:t>
            </w: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5"/>
              </w:rPr>
              <w:t>Common Stock</w:t>
            </w:r>
          </w:p>
        </w:tc>
        <w:tc>
          <w:tcPr>
            <w:tcW w:w="1980" w:type="dxa"/>
            <w:vAlign w:val="bottom"/>
          </w:tcPr>
          <w:p>
            <w:pPr>
              <w:jc w:val="center"/>
              <w:ind w:right="30"/>
              <w:spacing w:after="0"/>
              <w:rPr>
                <w:sz w:val="20"/>
                <w:szCs w:val="20"/>
                <w:color w:val="auto"/>
              </w:rPr>
            </w:pPr>
            <w:r>
              <w:rPr>
                <w:rFonts w:ascii="Calibri" w:cs="Calibri" w:eastAsia="Calibri" w:hAnsi="Calibri"/>
                <w:sz w:val="18"/>
                <w:szCs w:val="18"/>
                <w:color w:val="auto"/>
                <w:w w:val="93"/>
              </w:rPr>
              <w:t>OGE</w:t>
            </w:r>
          </w:p>
        </w:tc>
        <w:tc>
          <w:tcPr>
            <w:tcW w:w="4000" w:type="dxa"/>
            <w:vAlign w:val="bottom"/>
          </w:tcPr>
          <w:p>
            <w:pPr>
              <w:jc w:val="center"/>
              <w:spacing w:after="0"/>
              <w:rPr>
                <w:sz w:val="20"/>
                <w:szCs w:val="20"/>
                <w:color w:val="auto"/>
              </w:rPr>
            </w:pPr>
            <w:r>
              <w:rPr>
                <w:rFonts w:ascii="Calibri" w:cs="Calibri" w:eastAsia="Calibri" w:hAnsi="Calibri"/>
                <w:sz w:val="18"/>
                <w:szCs w:val="18"/>
                <w:color w:val="auto"/>
                <w:w w:val="97"/>
              </w:rPr>
              <w:t>New York Stock Exchange</w:t>
            </w:r>
          </w:p>
        </w:tc>
      </w:tr>
      <w:tr>
        <w:trPr>
          <w:trHeight w:val="338"/>
        </w:trPr>
        <w:tc>
          <w:tcPr>
            <w:tcW w:w="3400" w:type="dxa"/>
            <w:vAlign w:val="bottom"/>
          </w:tcPr>
          <w:p>
            <w:pPr>
              <w:jc w:val="center"/>
              <w:ind w:left="10"/>
              <w:spacing w:after="0"/>
              <w:rPr>
                <w:sz w:val="20"/>
                <w:szCs w:val="20"/>
                <w:color w:val="auto"/>
              </w:rPr>
            </w:pPr>
            <w:r>
              <w:rPr>
                <w:rFonts w:ascii="Calibri" w:cs="Calibri" w:eastAsia="Calibri" w:hAnsi="Calibri"/>
                <w:sz w:val="18"/>
                <w:szCs w:val="18"/>
                <w:color w:val="auto"/>
                <w:w w:val="97"/>
              </w:rPr>
              <w:t>Oklahoma Gas and Electric Company</w:t>
            </w: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6"/>
              </w:rPr>
              <w:t>None</w:t>
            </w:r>
          </w:p>
        </w:tc>
        <w:tc>
          <w:tcPr>
            <w:tcW w:w="1980" w:type="dxa"/>
            <w:vAlign w:val="bottom"/>
          </w:tcPr>
          <w:p>
            <w:pPr>
              <w:jc w:val="center"/>
              <w:ind w:right="10"/>
              <w:spacing w:after="0"/>
              <w:rPr>
                <w:sz w:val="20"/>
                <w:szCs w:val="20"/>
                <w:color w:val="auto"/>
              </w:rPr>
            </w:pPr>
            <w:r>
              <w:rPr>
                <w:rFonts w:ascii="Calibri" w:cs="Calibri" w:eastAsia="Calibri" w:hAnsi="Calibri"/>
                <w:sz w:val="18"/>
                <w:szCs w:val="18"/>
                <w:color w:val="auto"/>
                <w:w w:val="96"/>
              </w:rPr>
              <w:t>N/A</w:t>
            </w:r>
          </w:p>
        </w:tc>
        <w:tc>
          <w:tcPr>
            <w:tcW w:w="4000" w:type="dxa"/>
            <w:vAlign w:val="bottom"/>
          </w:tcPr>
          <w:p>
            <w:pPr>
              <w:jc w:val="center"/>
              <w:spacing w:after="0"/>
              <w:rPr>
                <w:sz w:val="20"/>
                <w:szCs w:val="20"/>
                <w:color w:val="auto"/>
              </w:rPr>
            </w:pPr>
            <w:r>
              <w:rPr>
                <w:rFonts w:ascii="Calibri" w:cs="Calibri" w:eastAsia="Calibri" w:hAnsi="Calibri"/>
                <w:sz w:val="18"/>
                <w:szCs w:val="18"/>
                <w:color w:val="auto"/>
                <w:w w:val="89"/>
              </w:rPr>
              <w:t>N/A</w:t>
            </w:r>
          </w:p>
        </w:tc>
      </w:tr>
    </w:tbl>
    <w:p>
      <w:pPr>
        <w:spacing w:after="0" w:line="258" w:lineRule="exact"/>
        <w:rPr>
          <w:sz w:val="24"/>
          <w:szCs w:val="24"/>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or Rule 12b-2 of the Securites Exchange Act of 1934 (§240.12b-2).</w:t>
      </w:r>
    </w:p>
    <w:p>
      <w:pPr>
        <w:spacing w:after="0" w:line="1" w:lineRule="exact"/>
        <w:rPr>
          <w:sz w:val="24"/>
          <w:szCs w:val="24"/>
          <w:color w:val="auto"/>
        </w:rPr>
      </w:pPr>
    </w:p>
    <w:p>
      <w:pPr>
        <w:ind w:left="9100"/>
        <w:spacing w:after="0" w:line="208" w:lineRule="exact"/>
        <w:rPr>
          <w:sz w:val="20"/>
          <w:szCs w:val="20"/>
          <w:color w:val="auto"/>
        </w:rPr>
      </w:pPr>
      <w:r>
        <w:rPr>
          <w:rFonts w:ascii="Calibri" w:cs="Calibri" w:eastAsia="Calibri" w:hAnsi="Calibri"/>
          <w:sz w:val="17"/>
          <w:szCs w:val="17"/>
          <w:color w:val="auto"/>
        </w:rPr>
        <w:t xml:space="preserve">Emerging growth company </w:t>
      </w:r>
      <w:r>
        <w:rPr>
          <w:rFonts w:ascii="MS PGothic" w:cs="MS PGothic" w:eastAsia="MS PGothic" w:hAnsi="MS PGothic"/>
          <w:sz w:val="17"/>
          <w:szCs w:val="17"/>
          <w:color w:val="auto"/>
        </w:rPr>
        <w:t>☐</w:t>
      </w:r>
    </w:p>
    <w:p>
      <w:pPr>
        <w:spacing w:after="0" w:line="239" w:lineRule="exact"/>
        <w:rPr>
          <w:sz w:val="24"/>
          <w:szCs w:val="24"/>
          <w:color w:val="auto"/>
        </w:rPr>
      </w:pPr>
    </w:p>
    <w:p>
      <w:pPr>
        <w:ind w:right="260" w:firstLine="374"/>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1281430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Item 8.01. Other Events</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OGE Energy Corp. ("OGE Energy") is the parent company of Oklahoma Gas and Electric Company ("OG&amp;E"), a regulated electric company with approximately 900,000 customers in Oklahoma and western Arkansas.</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As previously reported, on December 29, 2023, OG&amp;E fled a general rate review in Oklahoma. On June 12, 2024, OG&amp;E entered into an uncontested joint stpulaton and setlement agreement (the "Setlement Agreement") with the Oklahoma Corporaton Commission ("OCC") Staf, the Atorney General's Ofce of Oklahoma, the Oklahoma Industrial Energy Consumers and certain other partes associated with its general rate review. The only non-signatory to the Setlement Agreement has agreed not to oppose the setlement. The Setlement Agreement is subject to OCC approval, and a hearing on the merits is currently scheduled to begin the week of June 17, 2024.</w:t>
      </w:r>
    </w:p>
    <w:p>
      <w:pPr>
        <w:spacing w:after="0" w:line="215"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The Setlement Agreement is atached as Exhibit 99.01 and incorporated herein by reference.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gridSpan w:val="3"/>
          </w:tcPr>
          <w:p>
            <w:pPr>
              <w:spacing w:after="0"/>
              <w:rPr>
                <w:sz w:val="20"/>
                <w:szCs w:val="20"/>
                <w:color w:val="auto"/>
              </w:rPr>
            </w:pPr>
            <w:r>
              <w:rPr>
                <w:rFonts w:ascii="Calibri" w:cs="Calibri" w:eastAsia="Calibri" w:hAnsi="Calibri"/>
                <w:sz w:val="18"/>
                <w:szCs w:val="18"/>
                <w:b w:val="1"/>
                <w:bCs w:val="1"/>
                <w:color w:val="auto"/>
              </w:rPr>
              <w:t>Item 9.01. Financial Statements and Exhibits</w:t>
            </w:r>
          </w:p>
        </w:tc>
        <w:tc>
          <w:tcPr>
            <w:tcW w:w="8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46"/>
        </w:trPr>
        <w:tc>
          <w:tcPr>
            <w:tcW w:w="840" w:type="dxa"/>
            <w:vAlign w:val="bottom"/>
          </w:tcPr>
          <w:p>
            <w:pPr>
              <w:spacing w:after="0"/>
              <w:rPr>
                <w:sz w:val="24"/>
                <w:szCs w:val="24"/>
                <w:color w:val="auto"/>
              </w:rPr>
            </w:pPr>
          </w:p>
        </w:tc>
        <w:tc>
          <w:tcPr>
            <w:tcW w:w="2580" w:type="dxa"/>
            <w:vAlign w:val="bottom"/>
            <w:gridSpan w:val="2"/>
          </w:tcPr>
          <w:p>
            <w:pPr>
              <w:jc w:val="center"/>
              <w:ind w:right="1440"/>
              <w:spacing w:after="0"/>
              <w:rPr>
                <w:sz w:val="20"/>
                <w:szCs w:val="20"/>
                <w:color w:val="auto"/>
              </w:rPr>
            </w:pPr>
            <w:r>
              <w:rPr>
                <w:rFonts w:ascii="Calibri" w:cs="Calibri" w:eastAsia="Calibri" w:hAnsi="Calibri"/>
                <w:sz w:val="18"/>
                <w:szCs w:val="18"/>
                <w:b w:val="1"/>
                <w:bCs w:val="1"/>
                <w:color w:val="auto"/>
                <w:w w:val="97"/>
              </w:rPr>
              <w:t>(d) Exhibits</w:t>
            </w:r>
          </w:p>
        </w:tc>
        <w:tc>
          <w:tcPr>
            <w:tcW w:w="8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55"/>
        </w:trPr>
        <w:tc>
          <w:tcPr>
            <w:tcW w:w="840" w:type="dxa"/>
            <w:vAlign w:val="bottom"/>
          </w:tcPr>
          <w:p>
            <w:pPr>
              <w:spacing w:after="0"/>
              <w:rPr>
                <w:sz w:val="24"/>
                <w:szCs w:val="24"/>
                <w:color w:val="auto"/>
              </w:rPr>
            </w:pPr>
          </w:p>
        </w:tc>
        <w:tc>
          <w:tcPr>
            <w:tcW w:w="2580" w:type="dxa"/>
            <w:vAlign w:val="bottom"/>
            <w:gridSpan w:val="2"/>
          </w:tcPr>
          <w:p>
            <w:pPr>
              <w:jc w:val="center"/>
              <w:ind w:right="1440"/>
              <w:spacing w:after="0"/>
              <w:rPr>
                <w:sz w:val="20"/>
                <w:szCs w:val="20"/>
                <w:color w:val="auto"/>
              </w:rPr>
            </w:pPr>
            <w:r>
              <w:rPr>
                <w:rFonts w:ascii="Calibri" w:cs="Calibri" w:eastAsia="Calibri" w:hAnsi="Calibri"/>
                <w:sz w:val="18"/>
                <w:szCs w:val="18"/>
                <w:b w:val="1"/>
                <w:bCs w:val="1"/>
                <w:color w:val="auto"/>
                <w:w w:val="97"/>
              </w:rPr>
              <w:t>Exhibit Number</w:t>
            </w:r>
          </w:p>
        </w:tc>
        <w:tc>
          <w:tcPr>
            <w:tcW w:w="7620" w:type="dxa"/>
            <w:vAlign w:val="bottom"/>
            <w:gridSpan w:val="3"/>
          </w:tcPr>
          <w:p>
            <w:pPr>
              <w:spacing w:after="0"/>
              <w:rPr>
                <w:sz w:val="20"/>
                <w:szCs w:val="20"/>
                <w:color w:val="auto"/>
              </w:rPr>
            </w:pPr>
            <w:r>
              <w:rPr>
                <w:rFonts w:ascii="Calibri" w:cs="Calibri" w:eastAsia="Calibri" w:hAnsi="Calibri"/>
                <w:sz w:val="18"/>
                <w:szCs w:val="18"/>
                <w:b w:val="1"/>
                <w:bCs w:val="1"/>
                <w:color w:val="auto"/>
              </w:rPr>
              <w:t>Descripton</w:t>
            </w:r>
          </w:p>
        </w:tc>
      </w:tr>
      <w:tr>
        <w:trPr>
          <w:trHeight w:val="20"/>
        </w:trPr>
        <w:tc>
          <w:tcPr>
            <w:tcW w:w="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66"/>
        </w:trPr>
        <w:tc>
          <w:tcPr>
            <w:tcW w:w="84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Calibri" w:cs="Calibri" w:eastAsia="Calibri" w:hAnsi="Calibri"/>
                <w:sz w:val="18"/>
                <w:szCs w:val="18"/>
                <w:color w:val="auto"/>
              </w:rPr>
              <w:t>99.01</w:t>
            </w:r>
          </w:p>
        </w:tc>
        <w:tc>
          <w:tcPr>
            <w:tcW w:w="144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Calibri" w:cs="Calibri" w:eastAsia="Calibri" w:hAnsi="Calibri"/>
                <w:sz w:val="18"/>
                <w:szCs w:val="18"/>
                <w:color w:val="0000FF"/>
              </w:rPr>
              <w:t>Copy of the Setlement Agreement fled with the OCC on June 12, 2024.</w:t>
            </w:r>
          </w:p>
        </w:tc>
      </w:tr>
      <w:tr>
        <w:trPr>
          <w:trHeight w:val="20"/>
        </w:trPr>
        <w:tc>
          <w:tcPr>
            <w:tcW w:w="1980" w:type="dxa"/>
            <w:vAlign w:val="bottom"/>
            <w:gridSpan w:val="2"/>
          </w:tcPr>
          <w:p>
            <w:pPr>
              <w:spacing w:after="0" w:line="20" w:lineRule="exact"/>
              <w:rPr>
                <w:sz w:val="1"/>
                <w:szCs w:val="1"/>
                <w:color w:val="auto"/>
              </w:rPr>
            </w:pPr>
          </w:p>
        </w:tc>
        <w:tc>
          <w:tcPr>
            <w:tcW w:w="1440" w:type="dxa"/>
            <w:vAlign w:val="bottom"/>
            <w:tcBorders>
              <w:right w:val="single" w:sz="8" w:color="0000EE"/>
            </w:tcBorders>
          </w:tcPr>
          <w:p>
            <w:pPr>
              <w:spacing w:after="0" w:line="20" w:lineRule="exact"/>
              <w:rPr>
                <w:sz w:val="1"/>
                <w:szCs w:val="1"/>
                <w:color w:val="auto"/>
              </w:rPr>
            </w:pPr>
          </w:p>
        </w:tc>
        <w:tc>
          <w:tcPr>
            <w:tcW w:w="5100" w:type="dxa"/>
            <w:vAlign w:val="bottom"/>
            <w:tcBorders>
              <w:right w:val="single" w:sz="8" w:color="0000EE"/>
            </w:tcBorders>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3"/>
        </w:trPr>
        <w:tc>
          <w:tcPr>
            <w:tcW w:w="1980" w:type="dxa"/>
            <w:vAlign w:val="bottom"/>
            <w:gridSpan w:val="2"/>
          </w:tcPr>
          <w:p>
            <w:pPr>
              <w:jc w:val="right"/>
              <w:ind w:right="350"/>
              <w:spacing w:after="0"/>
              <w:rPr>
                <w:sz w:val="20"/>
                <w:szCs w:val="20"/>
                <w:color w:val="auto"/>
              </w:rPr>
            </w:pPr>
            <w:r>
              <w:rPr>
                <w:rFonts w:ascii="Calibri" w:cs="Calibri" w:eastAsia="Calibri" w:hAnsi="Calibri"/>
                <w:sz w:val="18"/>
                <w:szCs w:val="18"/>
                <w:color w:val="auto"/>
              </w:rPr>
              <w:t>104</w:t>
            </w:r>
          </w:p>
        </w:tc>
        <w:tc>
          <w:tcPr>
            <w:tcW w:w="1440" w:type="dxa"/>
            <w:vAlign w:val="bottom"/>
          </w:tcPr>
          <w:p>
            <w:pPr>
              <w:spacing w:after="0"/>
              <w:rPr>
                <w:sz w:val="22"/>
                <w:szCs w:val="22"/>
                <w:color w:val="auto"/>
              </w:rPr>
            </w:pPr>
          </w:p>
        </w:tc>
        <w:tc>
          <w:tcPr>
            <w:tcW w:w="7620" w:type="dxa"/>
            <w:vAlign w:val="bottom"/>
            <w:gridSpan w:val="3"/>
          </w:tcPr>
          <w:p>
            <w:pPr>
              <w:spacing w:after="0"/>
              <w:rPr>
                <w:sz w:val="20"/>
                <w:szCs w:val="20"/>
                <w:color w:val="auto"/>
              </w:rPr>
            </w:pPr>
            <w:r>
              <w:rPr>
                <w:rFonts w:ascii="Calibri" w:cs="Calibri" w:eastAsia="Calibri" w:hAnsi="Calibri"/>
                <w:sz w:val="18"/>
                <w:szCs w:val="18"/>
                <w:color w:val="auto"/>
                <w:w w:val="96"/>
              </w:rPr>
              <w:t>Cover Page Interactve Data File - the cover page XBRL tags are embedded within the Inline XBRL document.</w:t>
            </w:r>
          </w:p>
        </w:tc>
      </w:tr>
    </w:tbl>
    <w:p>
      <w:pPr>
        <w:spacing w:after="0" w:line="23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This combined Current Report on Form 8-K is being fled separately by OGE Energy and OG&amp;E (Registrants). Informaton contained herein relatng to any individual Registrant has been fled by such Registrant on its own behalf. No Registrant makes any representaton as to informaton relatng to any other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8"/>
          <w:szCs w:val="18"/>
          <w:b w:val="1"/>
          <w:bCs w:val="1"/>
          <w:color w:val="auto"/>
        </w:rPr>
        <w:t>SIGNATURE</w:t>
      </w:r>
    </w:p>
    <w:p>
      <w:pPr>
        <w:spacing w:after="0" w:line="217" w:lineRule="exact"/>
        <w:rPr>
          <w:sz w:val="20"/>
          <w:szCs w:val="20"/>
          <w:color w:val="auto"/>
        </w:rPr>
      </w:pPr>
    </w:p>
    <w:p>
      <w:pPr>
        <w:ind w:firstLine="374"/>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each registrant has duly caused this report to be signed on its behalf by the undersigned thereunto duly authorized.</w:t>
      </w:r>
    </w:p>
    <w:p>
      <w:pPr>
        <w:spacing w:after="0" w:line="213" w:lineRule="exact"/>
        <w:rPr>
          <w:sz w:val="20"/>
          <w:szCs w:val="20"/>
          <w:color w:val="auto"/>
        </w:rPr>
      </w:pPr>
    </w:p>
    <w:tbl>
      <w:tblPr>
        <w:tblLayout w:type="fixed"/>
        <w:tblInd w:w="5400" w:type="dxa"/>
        <w:tblCellMar>
          <w:top w:w="0" w:type="dxa"/>
          <w:left w:w="0" w:type="dxa"/>
          <w:bottom w:w="0" w:type="dxa"/>
          <w:right w:w="0" w:type="dxa"/>
        </w:tblCellMar>
      </w:tblPr>
      <w:tr>
        <w:trPr>
          <w:trHeight w:val="220"/>
        </w:trPr>
        <w:tc>
          <w:tcPr>
            <w:tcW w:w="22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OGE ENERGY CORP.</w:t>
            </w:r>
          </w:p>
        </w:tc>
      </w:tr>
      <w:tr>
        <w:trPr>
          <w:trHeight w:val="230"/>
        </w:trPr>
        <w:tc>
          <w:tcPr>
            <w:tcW w:w="22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OKLAHOMA GAS AND ELECTRIC COMPANY</w:t>
            </w:r>
          </w:p>
        </w:tc>
      </w:tr>
      <w:tr>
        <w:trPr>
          <w:trHeight w:val="229"/>
        </w:trPr>
        <w:tc>
          <w:tcPr>
            <w:tcW w:w="22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Calibri" w:cs="Calibri" w:eastAsia="Calibri" w:hAnsi="Calibri"/>
                <w:sz w:val="18"/>
                <w:szCs w:val="18"/>
                <w:color w:val="auto"/>
                <w:w w:val="95"/>
              </w:rPr>
              <w:t>(Registrant)</w:t>
            </w:r>
          </w:p>
        </w:tc>
      </w:tr>
      <w:tr>
        <w:trPr>
          <w:trHeight w:val="459"/>
        </w:trPr>
        <w:tc>
          <w:tcPr>
            <w:tcW w:w="220" w:type="dxa"/>
            <w:vAlign w:val="bottom"/>
          </w:tcPr>
          <w:p>
            <w:pPr>
              <w:spacing w:after="0"/>
              <w:rPr>
                <w:sz w:val="20"/>
                <w:szCs w:val="20"/>
                <w:color w:val="auto"/>
              </w:rPr>
            </w:pPr>
            <w:r>
              <w:rPr>
                <w:rFonts w:ascii="Calibri" w:cs="Calibri" w:eastAsia="Calibri" w:hAnsi="Calibri"/>
                <w:sz w:val="18"/>
                <w:szCs w:val="18"/>
                <w:color w:val="auto"/>
                <w:w w:val="87"/>
              </w:rPr>
              <w:t>By:</w:t>
            </w:r>
          </w:p>
        </w:tc>
        <w:tc>
          <w:tcPr>
            <w:tcW w:w="5620" w:type="dxa"/>
            <w:vAlign w:val="bottom"/>
          </w:tcPr>
          <w:p>
            <w:pPr>
              <w:jc w:val="center"/>
              <w:spacing w:after="0"/>
              <w:rPr>
                <w:sz w:val="20"/>
                <w:szCs w:val="20"/>
                <w:color w:val="auto"/>
              </w:rPr>
            </w:pPr>
            <w:r>
              <w:rPr>
                <w:rFonts w:ascii="Calibri" w:cs="Calibri" w:eastAsia="Calibri" w:hAnsi="Calibri"/>
                <w:sz w:val="18"/>
                <w:szCs w:val="18"/>
                <w:color w:val="auto"/>
                <w:w w:val="99"/>
              </w:rPr>
              <w:t>/s/ Sarah R. Staford</w:t>
            </w:r>
          </w:p>
        </w:tc>
      </w:tr>
      <w:tr>
        <w:trPr>
          <w:trHeight w:val="37"/>
        </w:trPr>
        <w:tc>
          <w:tcPr>
            <w:tcW w:w="220" w:type="dxa"/>
            <w:vAlign w:val="bottom"/>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r>
      <w:tr>
        <w:trPr>
          <w:trHeight w:val="201"/>
        </w:trPr>
        <w:tc>
          <w:tcPr>
            <w:tcW w:w="220" w:type="dxa"/>
            <w:vAlign w:val="bottom"/>
          </w:tcPr>
          <w:p>
            <w:pPr>
              <w:spacing w:after="0"/>
              <w:rPr>
                <w:sz w:val="17"/>
                <w:szCs w:val="17"/>
                <w:color w:val="auto"/>
              </w:rPr>
            </w:pPr>
          </w:p>
        </w:tc>
        <w:tc>
          <w:tcPr>
            <w:tcW w:w="5620" w:type="dxa"/>
            <w:vAlign w:val="bottom"/>
          </w:tcPr>
          <w:p>
            <w:pPr>
              <w:jc w:val="center"/>
              <w:spacing w:after="0" w:line="201" w:lineRule="exact"/>
              <w:rPr>
                <w:sz w:val="20"/>
                <w:szCs w:val="20"/>
                <w:color w:val="auto"/>
              </w:rPr>
            </w:pPr>
            <w:r>
              <w:rPr>
                <w:rFonts w:ascii="Calibri" w:cs="Calibri" w:eastAsia="Calibri" w:hAnsi="Calibri"/>
                <w:sz w:val="18"/>
                <w:szCs w:val="18"/>
                <w:color w:val="auto"/>
              </w:rPr>
              <w:t>Sarah R. Staford</w:t>
            </w:r>
          </w:p>
        </w:tc>
      </w:tr>
      <w:tr>
        <w:trPr>
          <w:trHeight w:val="215"/>
        </w:trPr>
        <w:tc>
          <w:tcPr>
            <w:tcW w:w="220" w:type="dxa"/>
            <w:vAlign w:val="bottom"/>
          </w:tcPr>
          <w:p>
            <w:pPr>
              <w:spacing w:after="0"/>
              <w:rPr>
                <w:sz w:val="18"/>
                <w:szCs w:val="18"/>
                <w:color w:val="auto"/>
              </w:rPr>
            </w:pPr>
          </w:p>
        </w:tc>
        <w:tc>
          <w:tcPr>
            <w:tcW w:w="5620" w:type="dxa"/>
            <w:vAlign w:val="bottom"/>
          </w:tcPr>
          <w:p>
            <w:pPr>
              <w:jc w:val="center"/>
              <w:spacing w:after="0" w:line="215" w:lineRule="exact"/>
              <w:rPr>
                <w:sz w:val="20"/>
                <w:szCs w:val="20"/>
                <w:color w:val="auto"/>
              </w:rPr>
            </w:pPr>
            <w:r>
              <w:rPr>
                <w:rFonts w:ascii="Calibri" w:cs="Calibri" w:eastAsia="Calibri" w:hAnsi="Calibri"/>
                <w:sz w:val="18"/>
                <w:szCs w:val="18"/>
                <w:color w:val="auto"/>
              </w:rPr>
              <w:t>Controller and Chief Accountng Ofcer</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99.01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BEFORE THE CORPORATION COMMISSION OF THE STATE OF OKLAHOMA</w:t>
      </w:r>
    </w:p>
    <w:p>
      <w:pPr>
        <w:spacing w:after="0" w:line="285" w:lineRule="exact"/>
        <w:rPr>
          <w:sz w:val="20"/>
          <w:szCs w:val="20"/>
          <w:color w:val="auto"/>
        </w:rPr>
      </w:pPr>
    </w:p>
    <w:tbl>
      <w:tblPr>
        <w:tblLayout w:type="fixed"/>
        <w:tblInd w:w="1240" w:type="dxa"/>
        <w:tblCellMar>
          <w:top w:w="0" w:type="dxa"/>
          <w:left w:w="0" w:type="dxa"/>
          <w:bottom w:w="0" w:type="dxa"/>
          <w:right w:w="0" w:type="dxa"/>
        </w:tblCellMar>
      </w:tblPr>
      <w:tr>
        <w:trPr>
          <w:trHeight w:val="269"/>
        </w:trPr>
        <w:tc>
          <w:tcPr>
            <w:tcW w:w="4780" w:type="dxa"/>
            <w:vAlign w:val="bottom"/>
          </w:tcPr>
          <w:p>
            <w:pPr>
              <w:spacing w:after="0"/>
              <w:rPr>
                <w:sz w:val="20"/>
                <w:szCs w:val="20"/>
                <w:color w:val="auto"/>
              </w:rPr>
            </w:pPr>
            <w:r>
              <w:rPr>
                <w:rFonts w:ascii="Calibri" w:cs="Calibri" w:eastAsia="Calibri" w:hAnsi="Calibri"/>
                <w:sz w:val="22"/>
                <w:szCs w:val="22"/>
                <w:color w:val="auto"/>
              </w:rPr>
              <w:t>IN THE MATTER OF THE APPLICATION OF</w:t>
            </w:r>
          </w:p>
        </w:tc>
        <w:tc>
          <w:tcPr>
            <w:tcW w:w="1400" w:type="dxa"/>
            <w:vAlign w:val="bottom"/>
          </w:tcPr>
          <w:p>
            <w:pPr>
              <w:jc w:val="right"/>
              <w:ind w:right="172"/>
              <w:spacing w:after="0"/>
              <w:rPr>
                <w:sz w:val="20"/>
                <w:szCs w:val="20"/>
                <w:color w:val="auto"/>
              </w:rPr>
            </w:pPr>
            <w:r>
              <w:rPr>
                <w:rFonts w:ascii="Calibri" w:cs="Calibri" w:eastAsia="Calibri" w:hAnsi="Calibri"/>
                <w:sz w:val="22"/>
                <w:szCs w:val="22"/>
                <w:color w:val="auto"/>
              </w:rPr>
              <w:t>)</w:t>
            </w:r>
          </w:p>
        </w:tc>
        <w:tc>
          <w:tcPr>
            <w:tcW w:w="2740" w:type="dxa"/>
            <w:vAlign w:val="bottom"/>
          </w:tcPr>
          <w:p>
            <w:pPr>
              <w:spacing w:after="0"/>
              <w:rPr>
                <w:sz w:val="23"/>
                <w:szCs w:val="23"/>
                <w:color w:val="auto"/>
              </w:rPr>
            </w:pPr>
          </w:p>
        </w:tc>
      </w:tr>
      <w:tr>
        <w:trPr>
          <w:trHeight w:val="297"/>
        </w:trPr>
        <w:tc>
          <w:tcPr>
            <w:tcW w:w="4780" w:type="dxa"/>
            <w:vAlign w:val="bottom"/>
          </w:tcPr>
          <w:p>
            <w:pPr>
              <w:spacing w:after="0"/>
              <w:rPr>
                <w:sz w:val="20"/>
                <w:szCs w:val="20"/>
                <w:color w:val="auto"/>
              </w:rPr>
            </w:pPr>
            <w:r>
              <w:rPr>
                <w:rFonts w:ascii="Calibri" w:cs="Calibri" w:eastAsia="Calibri" w:hAnsi="Calibri"/>
                <w:sz w:val="22"/>
                <w:szCs w:val="22"/>
                <w:color w:val="auto"/>
              </w:rPr>
              <w:t>OKLAHOMA GAS AND ELECTRIC COMPANY</w:t>
            </w:r>
          </w:p>
        </w:tc>
        <w:tc>
          <w:tcPr>
            <w:tcW w:w="1400" w:type="dxa"/>
            <w:vAlign w:val="bottom"/>
          </w:tcPr>
          <w:p>
            <w:pPr>
              <w:jc w:val="right"/>
              <w:ind w:right="172"/>
              <w:spacing w:after="0"/>
              <w:rPr>
                <w:sz w:val="20"/>
                <w:szCs w:val="20"/>
                <w:color w:val="auto"/>
              </w:rPr>
            </w:pPr>
            <w:r>
              <w:rPr>
                <w:rFonts w:ascii="Calibri" w:cs="Calibri" w:eastAsia="Calibri" w:hAnsi="Calibri"/>
                <w:sz w:val="22"/>
                <w:szCs w:val="22"/>
                <w:color w:val="auto"/>
              </w:rPr>
              <w:t>)</w:t>
            </w:r>
          </w:p>
        </w:tc>
        <w:tc>
          <w:tcPr>
            <w:tcW w:w="2740" w:type="dxa"/>
            <w:vAlign w:val="bottom"/>
          </w:tcPr>
          <w:p>
            <w:pPr>
              <w:spacing w:after="0"/>
              <w:rPr>
                <w:sz w:val="24"/>
                <w:szCs w:val="24"/>
                <w:color w:val="auto"/>
              </w:rPr>
            </w:pPr>
          </w:p>
        </w:tc>
      </w:tr>
      <w:tr>
        <w:trPr>
          <w:trHeight w:val="297"/>
        </w:trPr>
        <w:tc>
          <w:tcPr>
            <w:tcW w:w="4780" w:type="dxa"/>
            <w:vAlign w:val="bottom"/>
          </w:tcPr>
          <w:p>
            <w:pPr>
              <w:spacing w:after="0"/>
              <w:rPr>
                <w:sz w:val="20"/>
                <w:szCs w:val="20"/>
                <w:color w:val="auto"/>
              </w:rPr>
            </w:pPr>
            <w:r>
              <w:rPr>
                <w:rFonts w:ascii="Calibri" w:cs="Calibri" w:eastAsia="Calibri" w:hAnsi="Calibri"/>
                <w:sz w:val="22"/>
                <w:szCs w:val="22"/>
                <w:color w:val="auto"/>
              </w:rPr>
              <w:t>FOR AN ORDER OF THE COMMISSION</w:t>
            </w:r>
          </w:p>
        </w:tc>
        <w:tc>
          <w:tcPr>
            <w:tcW w:w="1400" w:type="dxa"/>
            <w:vAlign w:val="bottom"/>
          </w:tcPr>
          <w:p>
            <w:pPr>
              <w:jc w:val="right"/>
              <w:ind w:right="172"/>
              <w:spacing w:after="0"/>
              <w:rPr>
                <w:sz w:val="20"/>
                <w:szCs w:val="20"/>
                <w:color w:val="auto"/>
              </w:rPr>
            </w:pPr>
            <w:r>
              <w:rPr>
                <w:rFonts w:ascii="Calibri" w:cs="Calibri" w:eastAsia="Calibri" w:hAnsi="Calibri"/>
                <w:sz w:val="22"/>
                <w:szCs w:val="22"/>
                <w:color w:val="auto"/>
              </w:rPr>
              <w:t>)</w:t>
            </w:r>
          </w:p>
        </w:tc>
        <w:tc>
          <w:tcPr>
            <w:tcW w:w="2740" w:type="dxa"/>
            <w:vAlign w:val="bottom"/>
          </w:tcPr>
          <w:p>
            <w:pPr>
              <w:spacing w:after="0"/>
              <w:rPr>
                <w:sz w:val="24"/>
                <w:szCs w:val="24"/>
                <w:color w:val="auto"/>
              </w:rPr>
            </w:pPr>
          </w:p>
        </w:tc>
      </w:tr>
      <w:tr>
        <w:trPr>
          <w:trHeight w:val="297"/>
        </w:trPr>
        <w:tc>
          <w:tcPr>
            <w:tcW w:w="4780" w:type="dxa"/>
            <w:vAlign w:val="bottom"/>
          </w:tcPr>
          <w:p>
            <w:pPr>
              <w:spacing w:after="0"/>
              <w:rPr>
                <w:sz w:val="20"/>
                <w:szCs w:val="20"/>
                <w:color w:val="auto"/>
              </w:rPr>
            </w:pPr>
            <w:r>
              <w:rPr>
                <w:rFonts w:ascii="Calibri" w:cs="Calibri" w:eastAsia="Calibri" w:hAnsi="Calibri"/>
                <w:sz w:val="22"/>
                <w:szCs w:val="22"/>
                <w:color w:val="auto"/>
              </w:rPr>
              <w:t>AUTHORIZING APPLICANT TO MODIFY ITS</w:t>
            </w:r>
          </w:p>
        </w:tc>
        <w:tc>
          <w:tcPr>
            <w:tcW w:w="1400" w:type="dxa"/>
            <w:vAlign w:val="bottom"/>
          </w:tcPr>
          <w:p>
            <w:pPr>
              <w:jc w:val="right"/>
              <w:ind w:right="172"/>
              <w:spacing w:after="0"/>
              <w:rPr>
                <w:sz w:val="20"/>
                <w:szCs w:val="20"/>
                <w:color w:val="auto"/>
              </w:rPr>
            </w:pPr>
            <w:r>
              <w:rPr>
                <w:rFonts w:ascii="Calibri" w:cs="Calibri" w:eastAsia="Calibri" w:hAnsi="Calibri"/>
                <w:sz w:val="22"/>
                <w:szCs w:val="22"/>
                <w:color w:val="auto"/>
              </w:rPr>
              <w:t>)</w:t>
            </w:r>
          </w:p>
        </w:tc>
        <w:tc>
          <w:tcPr>
            <w:tcW w:w="2740" w:type="dxa"/>
            <w:vAlign w:val="bottom"/>
          </w:tcPr>
          <w:p>
            <w:pPr>
              <w:ind w:left="280"/>
              <w:spacing w:after="0"/>
              <w:rPr>
                <w:sz w:val="20"/>
                <w:szCs w:val="20"/>
                <w:color w:val="auto"/>
              </w:rPr>
            </w:pPr>
            <w:r>
              <w:rPr>
                <w:rFonts w:ascii="Calibri" w:cs="Calibri" w:eastAsia="Calibri" w:hAnsi="Calibri"/>
                <w:sz w:val="22"/>
                <w:szCs w:val="22"/>
                <w:color w:val="auto"/>
                <w:w w:val="96"/>
              </w:rPr>
              <w:t>CASE NO. PUD 2023-000087</w:t>
            </w:r>
          </w:p>
        </w:tc>
      </w:tr>
      <w:tr>
        <w:trPr>
          <w:trHeight w:val="297"/>
        </w:trPr>
        <w:tc>
          <w:tcPr>
            <w:tcW w:w="4780" w:type="dxa"/>
            <w:vAlign w:val="bottom"/>
          </w:tcPr>
          <w:p>
            <w:pPr>
              <w:spacing w:after="0"/>
              <w:rPr>
                <w:sz w:val="20"/>
                <w:szCs w:val="20"/>
                <w:color w:val="auto"/>
              </w:rPr>
            </w:pPr>
            <w:r>
              <w:rPr>
                <w:rFonts w:ascii="Calibri" w:cs="Calibri" w:eastAsia="Calibri" w:hAnsi="Calibri"/>
                <w:sz w:val="22"/>
                <w:szCs w:val="22"/>
                <w:color w:val="auto"/>
              </w:rPr>
              <w:t>RATES, CHARGES, AND TARIFFS FOR RETAIL</w:t>
            </w:r>
          </w:p>
        </w:tc>
        <w:tc>
          <w:tcPr>
            <w:tcW w:w="1400" w:type="dxa"/>
            <w:vAlign w:val="bottom"/>
          </w:tcPr>
          <w:p>
            <w:pPr>
              <w:jc w:val="right"/>
              <w:ind w:right="172"/>
              <w:spacing w:after="0"/>
              <w:rPr>
                <w:sz w:val="20"/>
                <w:szCs w:val="20"/>
                <w:color w:val="auto"/>
              </w:rPr>
            </w:pPr>
            <w:r>
              <w:rPr>
                <w:rFonts w:ascii="Calibri" w:cs="Calibri" w:eastAsia="Calibri" w:hAnsi="Calibri"/>
                <w:sz w:val="22"/>
                <w:szCs w:val="22"/>
                <w:color w:val="auto"/>
              </w:rPr>
              <w:t>)</w:t>
            </w:r>
          </w:p>
        </w:tc>
        <w:tc>
          <w:tcPr>
            <w:tcW w:w="2740" w:type="dxa"/>
            <w:vAlign w:val="bottom"/>
          </w:tcPr>
          <w:p>
            <w:pPr>
              <w:spacing w:after="0"/>
              <w:rPr>
                <w:sz w:val="24"/>
                <w:szCs w:val="24"/>
                <w:color w:val="auto"/>
              </w:rPr>
            </w:pPr>
          </w:p>
        </w:tc>
      </w:tr>
      <w:tr>
        <w:trPr>
          <w:trHeight w:val="297"/>
        </w:trPr>
        <w:tc>
          <w:tcPr>
            <w:tcW w:w="4780" w:type="dxa"/>
            <w:vAlign w:val="bottom"/>
          </w:tcPr>
          <w:p>
            <w:pPr>
              <w:spacing w:after="0"/>
              <w:rPr>
                <w:sz w:val="20"/>
                <w:szCs w:val="20"/>
                <w:color w:val="auto"/>
              </w:rPr>
            </w:pPr>
            <w:r>
              <w:rPr>
                <w:rFonts w:ascii="Calibri" w:cs="Calibri" w:eastAsia="Calibri" w:hAnsi="Calibri"/>
                <w:sz w:val="22"/>
                <w:szCs w:val="22"/>
                <w:color w:val="auto"/>
              </w:rPr>
              <w:t>ELECTRIC SERVICE IN OKLAHOMA</w:t>
            </w:r>
          </w:p>
        </w:tc>
        <w:tc>
          <w:tcPr>
            <w:tcW w:w="1400" w:type="dxa"/>
            <w:vAlign w:val="bottom"/>
          </w:tcPr>
          <w:p>
            <w:pPr>
              <w:jc w:val="right"/>
              <w:ind w:right="172"/>
              <w:spacing w:after="0"/>
              <w:rPr>
                <w:sz w:val="20"/>
                <w:szCs w:val="20"/>
                <w:color w:val="auto"/>
              </w:rPr>
            </w:pPr>
            <w:r>
              <w:rPr>
                <w:rFonts w:ascii="Calibri" w:cs="Calibri" w:eastAsia="Calibri" w:hAnsi="Calibri"/>
                <w:sz w:val="22"/>
                <w:szCs w:val="22"/>
                <w:color w:val="auto"/>
              </w:rPr>
              <w:t>)</w:t>
            </w:r>
          </w:p>
        </w:tc>
        <w:tc>
          <w:tcPr>
            <w:tcW w:w="2740" w:type="dxa"/>
            <w:vAlign w:val="bottom"/>
          </w:tcPr>
          <w:p>
            <w:pPr>
              <w:spacing w:after="0"/>
              <w:rPr>
                <w:sz w:val="24"/>
                <w:szCs w:val="24"/>
                <w:color w:val="auto"/>
              </w:rPr>
            </w:pPr>
          </w:p>
        </w:tc>
      </w:tr>
    </w:tbl>
    <w:p>
      <w:pPr>
        <w:spacing w:after="0" w:line="28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u w:val="single" w:color="auto"/>
          <w:color w:val="auto"/>
        </w:rPr>
        <w:t>UNCONTESTED JOINT STIPULATION AND SETTLEMENT AGREEMENT</w:t>
      </w:r>
    </w:p>
    <w:p>
      <w:pPr>
        <w:spacing w:after="0" w:line="282"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COME NOW the undersigned partes to the above-enttled case (“Stpulatng Partes”) and present the following Joint Stpulaton and Setlement Agreement (“Joint Stpulaton”) for the Oklahoma Corporaton Commission's (“Commission”) review and approval as their compromise and setlement of the issues in this proceeding. The Stpulatng Partes represent to the Commission that this Joint Stpulaton represents a fair, just and reasonable setlement of all issues (except the 1 MW Compettve Load Issue described in Paragraph II.13 below), that they believe the terms and conditons of the Joint Stpulaton are in the public interest, and the Stpulatng Partes request the Commission issue an order in this case adoptng and approving this Joint Stpulaton.</w:t>
      </w:r>
    </w:p>
    <w:p>
      <w:pPr>
        <w:spacing w:after="0" w:line="27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 Jurisdicton of the Commission</w:t>
      </w:r>
    </w:p>
    <w:p>
      <w:pPr>
        <w:spacing w:after="0" w:line="14"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 xml:space="preserve">The Stpulatng Partes agree that the Commission has jurisdicton with respect to the issues presented in this proceeding by virtue of Artcle IX, §18 </w:t>
      </w:r>
      <w:r>
        <w:rPr>
          <w:rFonts w:ascii="Calibri" w:cs="Calibri" w:eastAsia="Calibri" w:hAnsi="Calibri"/>
          <w:sz w:val="22"/>
          <w:szCs w:val="22"/>
          <w:i w:val="1"/>
          <w:iCs w:val="1"/>
          <w:color w:val="auto"/>
        </w:rPr>
        <w:t>et seq</w:t>
      </w:r>
      <w:r>
        <w:rPr>
          <w:rFonts w:ascii="Calibri" w:cs="Calibri" w:eastAsia="Calibri" w:hAnsi="Calibri"/>
          <w:sz w:val="22"/>
          <w:szCs w:val="22"/>
          <w:color w:val="auto"/>
        </w:rPr>
        <w:t xml:space="preserve">. of the Oklahoma Consttuton, 17 O.S. §152 </w:t>
      </w:r>
      <w:r>
        <w:rPr>
          <w:rFonts w:ascii="Calibri" w:cs="Calibri" w:eastAsia="Calibri" w:hAnsi="Calibri"/>
          <w:sz w:val="22"/>
          <w:szCs w:val="22"/>
          <w:i w:val="1"/>
          <w:iCs w:val="1"/>
          <w:color w:val="auto"/>
        </w:rPr>
        <w:t>et seq</w:t>
      </w:r>
      <w:r>
        <w:rPr>
          <w:rFonts w:ascii="Calibri" w:cs="Calibri" w:eastAsia="Calibri" w:hAnsi="Calibri"/>
          <w:sz w:val="22"/>
          <w:szCs w:val="22"/>
          <w:color w:val="auto"/>
        </w:rPr>
        <w:t xml:space="preserve">., 17 O.S. §251 </w:t>
      </w:r>
      <w:r>
        <w:rPr>
          <w:rFonts w:ascii="Calibri" w:cs="Calibri" w:eastAsia="Calibri" w:hAnsi="Calibri"/>
          <w:sz w:val="22"/>
          <w:szCs w:val="22"/>
          <w:i w:val="1"/>
          <w:iCs w:val="1"/>
          <w:color w:val="auto"/>
        </w:rPr>
        <w:t>et seq</w:t>
      </w:r>
      <w:r>
        <w:rPr>
          <w:rFonts w:ascii="Calibri" w:cs="Calibri" w:eastAsia="Calibri" w:hAnsi="Calibri"/>
          <w:sz w:val="22"/>
          <w:szCs w:val="22"/>
          <w:color w:val="auto"/>
        </w:rPr>
        <w:t>., the Commission’s Rules of Practce (OAC 165:5), and the Commission’s Electric Utlity Rules (OAC 165:35).</w:t>
      </w:r>
    </w:p>
    <w:p>
      <w:pPr>
        <w:spacing w:after="0" w:line="274"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II. Recommendatons of the Stpulatng Partes</w:t>
      </w:r>
    </w:p>
    <w:p>
      <w:pPr>
        <w:spacing w:after="0" w:line="12"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2"/>
          <w:szCs w:val="22"/>
          <w:color w:val="auto"/>
        </w:rPr>
        <w:t>This Joint Stpulaton represents a setlement to become efectve with the issuance of a Commission order approving this Joint Stpulaton. The Stpulatng Partes agree to the following terms for setng rates in this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jc w:val="both"/>
        <w:ind w:left="740" w:right="160" w:hanging="369"/>
        <w:spacing w:after="0" w:line="254" w:lineRule="auto"/>
        <w:tabs>
          <w:tab w:leader="none" w:pos="740" w:val="left"/>
        </w:tabs>
        <w:numPr>
          <w:ilvl w:val="0"/>
          <w:numId w:val="2"/>
        </w:numPr>
        <w:rPr>
          <w:rFonts w:ascii="Calibri" w:cs="Calibri" w:eastAsia="Calibri" w:hAnsi="Calibri"/>
          <w:sz w:val="21"/>
          <w:szCs w:val="21"/>
          <w:color w:val="auto"/>
        </w:rPr>
      </w:pPr>
      <w:r>
        <w:rPr>
          <w:rFonts w:ascii="Calibri" w:cs="Calibri" w:eastAsia="Calibri" w:hAnsi="Calibri"/>
          <w:sz w:val="21"/>
          <w:szCs w:val="21"/>
          <w:b w:val="1"/>
          <w:bCs w:val="1"/>
          <w:color w:val="auto"/>
        </w:rPr>
        <w:t>Revenue Requirement</w:t>
      </w:r>
      <w:r>
        <w:rPr>
          <w:rFonts w:ascii="Calibri" w:cs="Calibri" w:eastAsia="Calibri" w:hAnsi="Calibri"/>
          <w:sz w:val="21"/>
          <w:szCs w:val="21"/>
          <w:color w:val="auto"/>
        </w:rPr>
        <w:t>: The Stpulatng Partes agree that OG&amp;E’s inital fled request of $332.54 million</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shall be reduced by the following adjustments, resultng in a total base rate increase of $126.66 million:</w:t>
      </w:r>
    </w:p>
    <w:tbl>
      <w:tblPr>
        <w:tblLayout w:type="fixed"/>
        <w:tblInd w:w="730" w:type="dxa"/>
        <w:tblCellMar>
          <w:top w:w="0" w:type="dxa"/>
          <w:left w:w="0" w:type="dxa"/>
          <w:bottom w:w="0" w:type="dxa"/>
          <w:right w:w="0" w:type="dxa"/>
        </w:tblCellMar>
      </w:tblPr>
      <w:tr>
        <w:trPr>
          <w:trHeight w:val="265"/>
        </w:trPr>
        <w:tc>
          <w:tcPr>
            <w:tcW w:w="6680" w:type="dxa"/>
            <w:vAlign w:val="bottom"/>
            <w:tcBorders>
              <w:top w:val="single" w:sz="8" w:color="auto"/>
              <w:left w:val="single" w:sz="8" w:color="auto"/>
              <w:right w:val="single" w:sz="8" w:color="auto"/>
            </w:tcBorders>
            <w:shd w:val="clear" w:color="auto" w:fill="D9D9D9"/>
          </w:tcPr>
          <w:p>
            <w:pPr>
              <w:ind w:left="120"/>
              <w:spacing w:after="0" w:line="265" w:lineRule="exact"/>
              <w:rPr>
                <w:sz w:val="20"/>
                <w:szCs w:val="20"/>
                <w:color w:val="auto"/>
              </w:rPr>
            </w:pPr>
            <w:r>
              <w:rPr>
                <w:rFonts w:ascii="Calibri" w:cs="Calibri" w:eastAsia="Calibri" w:hAnsi="Calibri"/>
                <w:sz w:val="22"/>
                <w:szCs w:val="22"/>
                <w:b w:val="1"/>
                <w:bCs w:val="1"/>
                <w:color w:val="auto"/>
              </w:rPr>
              <w:t>Issue</w:t>
            </w:r>
          </w:p>
        </w:tc>
        <w:tc>
          <w:tcPr>
            <w:tcW w:w="1760" w:type="dxa"/>
            <w:vAlign w:val="bottom"/>
            <w:tcBorders>
              <w:top w:val="single" w:sz="8" w:color="auto"/>
              <w:right w:val="single" w:sz="8" w:color="auto"/>
            </w:tcBorders>
            <w:shd w:val="clear" w:color="auto" w:fill="D9D9D9"/>
          </w:tcPr>
          <w:p>
            <w:pPr>
              <w:ind w:left="80"/>
              <w:spacing w:after="0" w:line="265" w:lineRule="exact"/>
              <w:rPr>
                <w:sz w:val="20"/>
                <w:szCs w:val="20"/>
                <w:color w:val="auto"/>
              </w:rPr>
            </w:pPr>
            <w:r>
              <w:rPr>
                <w:rFonts w:ascii="Calibri" w:cs="Calibri" w:eastAsia="Calibri" w:hAnsi="Calibri"/>
                <w:sz w:val="22"/>
                <w:szCs w:val="22"/>
                <w:b w:val="1"/>
                <w:bCs w:val="1"/>
                <w:color w:val="auto"/>
              </w:rPr>
              <w:t>Reducton</w:t>
            </w:r>
          </w:p>
        </w:tc>
      </w:tr>
      <w:tr>
        <w:trPr>
          <w:trHeight w:val="108"/>
        </w:trPr>
        <w:tc>
          <w:tcPr>
            <w:tcW w:w="668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760" w:type="dxa"/>
            <w:vAlign w:val="bottom"/>
            <w:tcBorders>
              <w:bottom w:val="single" w:sz="8" w:color="auto"/>
              <w:right w:val="single" w:sz="8" w:color="auto"/>
            </w:tcBorders>
            <w:shd w:val="clear" w:color="auto" w:fill="D9D9D9"/>
          </w:tcPr>
          <w:p>
            <w:pPr>
              <w:spacing w:after="0"/>
              <w:rPr>
                <w:sz w:val="9"/>
                <w:szCs w:val="9"/>
                <w:color w:val="auto"/>
              </w:rPr>
            </w:pPr>
          </w:p>
        </w:tc>
      </w:tr>
      <w:tr>
        <w:trPr>
          <w:trHeight w:val="238"/>
        </w:trPr>
        <w:tc>
          <w:tcPr>
            <w:tcW w:w="6680" w:type="dxa"/>
            <w:vAlign w:val="bottom"/>
            <w:tcBorders>
              <w:left w:val="single" w:sz="8" w:color="auto"/>
              <w:right w:val="single" w:sz="8" w:color="auto"/>
            </w:tcBorders>
          </w:tcPr>
          <w:p>
            <w:pPr>
              <w:ind w:left="120"/>
              <w:spacing w:after="0" w:line="238" w:lineRule="exact"/>
              <w:rPr>
                <w:sz w:val="20"/>
                <w:szCs w:val="20"/>
                <w:color w:val="auto"/>
              </w:rPr>
            </w:pPr>
            <w:r>
              <w:rPr>
                <w:rFonts w:ascii="Calibri" w:cs="Calibri" w:eastAsia="Calibri" w:hAnsi="Calibri"/>
                <w:sz w:val="22"/>
                <w:szCs w:val="22"/>
                <w:color w:val="auto"/>
              </w:rPr>
              <w:t>Update revenue requirement to refect known and measurable changes</w:t>
            </w:r>
          </w:p>
        </w:tc>
        <w:tc>
          <w:tcPr>
            <w:tcW w:w="1760" w:type="dxa"/>
            <w:vAlign w:val="bottom"/>
            <w:tcBorders>
              <w:right w:val="single" w:sz="8" w:color="auto"/>
            </w:tcBorders>
          </w:tcPr>
          <w:p>
            <w:pPr>
              <w:ind w:left="80"/>
              <w:spacing w:after="0" w:line="238" w:lineRule="exact"/>
              <w:rPr>
                <w:sz w:val="20"/>
                <w:szCs w:val="20"/>
                <w:color w:val="auto"/>
              </w:rPr>
            </w:pPr>
            <w:r>
              <w:rPr>
                <w:rFonts w:ascii="Calibri" w:cs="Calibri" w:eastAsia="Calibri" w:hAnsi="Calibri"/>
                <w:sz w:val="22"/>
                <w:szCs w:val="22"/>
                <w:color w:val="auto"/>
              </w:rPr>
              <w:t>$19.35 million</w:t>
            </w:r>
          </w:p>
        </w:tc>
      </w:tr>
      <w:tr>
        <w:trPr>
          <w:trHeight w:val="265"/>
        </w:trPr>
        <w:tc>
          <w:tcPr>
            <w:tcW w:w="6680" w:type="dxa"/>
            <w:vAlign w:val="bottom"/>
            <w:tcBorders>
              <w:left w:val="single" w:sz="8" w:color="auto"/>
              <w:right w:val="single" w:sz="8" w:color="auto"/>
            </w:tcBorders>
          </w:tcPr>
          <w:p>
            <w:pPr>
              <w:ind w:left="120"/>
              <w:spacing w:after="0" w:line="266" w:lineRule="exact"/>
              <w:rPr>
                <w:sz w:val="20"/>
                <w:szCs w:val="20"/>
                <w:color w:val="auto"/>
              </w:rPr>
            </w:pPr>
            <w:r>
              <w:rPr>
                <w:rFonts w:ascii="Calibri" w:cs="Calibri" w:eastAsia="Calibri" w:hAnsi="Calibri"/>
                <w:sz w:val="22"/>
                <w:szCs w:val="22"/>
                <w:color w:val="auto"/>
              </w:rPr>
              <w:t>as of March 31, 2024</w:t>
            </w:r>
          </w:p>
        </w:tc>
        <w:tc>
          <w:tcPr>
            <w:tcW w:w="1760" w:type="dxa"/>
            <w:vAlign w:val="bottom"/>
            <w:tcBorders>
              <w:right w:val="single" w:sz="8" w:color="auto"/>
            </w:tcBorders>
          </w:tcPr>
          <w:p>
            <w:pPr>
              <w:spacing w:after="0"/>
              <w:rPr>
                <w:sz w:val="23"/>
                <w:szCs w:val="23"/>
                <w:color w:val="auto"/>
              </w:rPr>
            </w:pPr>
          </w:p>
        </w:tc>
      </w:tr>
      <w:tr>
        <w:trPr>
          <w:trHeight w:val="40"/>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0"/>
        </w:trPr>
        <w:tc>
          <w:tcPr>
            <w:tcW w:w="6680" w:type="dxa"/>
            <w:vAlign w:val="bottom"/>
            <w:tcBorders>
              <w:left w:val="single" w:sz="8" w:color="auto"/>
              <w:right w:val="single" w:sz="8" w:color="auto"/>
            </w:tcBorders>
          </w:tcPr>
          <w:p>
            <w:pPr>
              <w:ind w:left="120"/>
              <w:spacing w:after="0" w:line="249" w:lineRule="exact"/>
              <w:rPr>
                <w:sz w:val="20"/>
                <w:szCs w:val="20"/>
                <w:color w:val="auto"/>
              </w:rPr>
            </w:pPr>
            <w:r>
              <w:rPr>
                <w:rFonts w:ascii="Calibri" w:cs="Calibri" w:eastAsia="Calibri" w:hAnsi="Calibri"/>
                <w:sz w:val="22"/>
                <w:szCs w:val="22"/>
                <w:color w:val="auto"/>
              </w:rPr>
              <w:t>Return on equity – No increase (9.50%)</w:t>
            </w:r>
          </w:p>
        </w:tc>
        <w:tc>
          <w:tcPr>
            <w:tcW w:w="1760" w:type="dxa"/>
            <w:vAlign w:val="bottom"/>
            <w:tcBorders>
              <w:right w:val="single" w:sz="8" w:color="auto"/>
            </w:tcBorders>
          </w:tcPr>
          <w:p>
            <w:pPr>
              <w:ind w:left="80"/>
              <w:spacing w:after="0" w:line="249" w:lineRule="exact"/>
              <w:rPr>
                <w:sz w:val="20"/>
                <w:szCs w:val="20"/>
                <w:color w:val="auto"/>
              </w:rPr>
            </w:pPr>
            <w:r>
              <w:rPr>
                <w:rFonts w:ascii="Calibri" w:cs="Calibri" w:eastAsia="Calibri" w:hAnsi="Calibri"/>
                <w:sz w:val="22"/>
                <w:szCs w:val="22"/>
                <w:color w:val="auto"/>
              </w:rPr>
              <w:t>$51.13 million</w:t>
            </w:r>
          </w:p>
        </w:tc>
      </w:tr>
      <w:tr>
        <w:trPr>
          <w:trHeight w:val="41"/>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1"/>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Depreciaton expense – FEA Producton, PUD Transmission, OIEC</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$74.19 million</w:t>
            </w:r>
          </w:p>
        </w:tc>
      </w:tr>
      <w:tr>
        <w:trPr>
          <w:trHeight w:val="269"/>
        </w:trPr>
        <w:tc>
          <w:tcPr>
            <w:tcW w:w="668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22"/>
                <w:szCs w:val="22"/>
                <w:color w:val="auto"/>
              </w:rPr>
              <w:t>Intangible, No change for Distributon and General plant</w:t>
            </w:r>
          </w:p>
        </w:tc>
        <w:tc>
          <w:tcPr>
            <w:tcW w:w="1760" w:type="dxa"/>
            <w:vAlign w:val="bottom"/>
            <w:tcBorders>
              <w:right w:val="single" w:sz="8" w:color="auto"/>
            </w:tcBorders>
          </w:tcPr>
          <w:p>
            <w:pPr>
              <w:spacing w:after="0"/>
              <w:rPr>
                <w:sz w:val="23"/>
                <w:szCs w:val="23"/>
                <w:color w:val="auto"/>
              </w:rPr>
            </w:pPr>
          </w:p>
        </w:tc>
      </w:tr>
      <w:tr>
        <w:trPr>
          <w:trHeight w:val="41"/>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49"/>
        </w:trPr>
        <w:tc>
          <w:tcPr>
            <w:tcW w:w="6680" w:type="dxa"/>
            <w:vAlign w:val="bottom"/>
            <w:tcBorders>
              <w:left w:val="single" w:sz="8" w:color="auto"/>
              <w:right w:val="single" w:sz="8" w:color="auto"/>
            </w:tcBorders>
          </w:tcPr>
          <w:p>
            <w:pPr>
              <w:ind w:left="120"/>
              <w:spacing w:after="0" w:line="249" w:lineRule="exact"/>
              <w:rPr>
                <w:sz w:val="20"/>
                <w:szCs w:val="20"/>
                <w:color w:val="auto"/>
              </w:rPr>
            </w:pPr>
            <w:r>
              <w:rPr>
                <w:rFonts w:ascii="Calibri" w:cs="Calibri" w:eastAsia="Calibri" w:hAnsi="Calibri"/>
                <w:sz w:val="22"/>
                <w:szCs w:val="22"/>
                <w:color w:val="auto"/>
              </w:rPr>
              <w:t>Pension Regulatory Asset Amortzaton – 15 years</w:t>
            </w:r>
          </w:p>
        </w:tc>
        <w:tc>
          <w:tcPr>
            <w:tcW w:w="1760" w:type="dxa"/>
            <w:vAlign w:val="bottom"/>
            <w:tcBorders>
              <w:right w:val="single" w:sz="8" w:color="auto"/>
            </w:tcBorders>
          </w:tcPr>
          <w:p>
            <w:pPr>
              <w:ind w:left="80"/>
              <w:spacing w:after="0" w:line="249" w:lineRule="exact"/>
              <w:rPr>
                <w:sz w:val="20"/>
                <w:szCs w:val="20"/>
                <w:color w:val="auto"/>
              </w:rPr>
            </w:pPr>
            <w:r>
              <w:rPr>
                <w:rFonts w:ascii="Calibri" w:cs="Calibri" w:eastAsia="Calibri" w:hAnsi="Calibri"/>
                <w:sz w:val="22"/>
                <w:szCs w:val="22"/>
                <w:color w:val="auto"/>
              </w:rPr>
              <w:t>$6.81 million</w:t>
            </w:r>
          </w:p>
        </w:tc>
      </w:tr>
      <w:tr>
        <w:trPr>
          <w:trHeight w:val="41"/>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1"/>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Coal Inventory</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$6.73 million</w:t>
            </w:r>
          </w:p>
        </w:tc>
      </w:tr>
      <w:tr>
        <w:trPr>
          <w:trHeight w:val="39"/>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2"/>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Insurance Expense</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$0.07 million</w:t>
            </w:r>
          </w:p>
        </w:tc>
      </w:tr>
      <w:tr>
        <w:trPr>
          <w:trHeight w:val="39"/>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1"/>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Dues and Memberships</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$0.63 million</w:t>
            </w:r>
          </w:p>
        </w:tc>
      </w:tr>
      <w:tr>
        <w:trPr>
          <w:trHeight w:val="39"/>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1"/>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Short Term Incentves – 50% Recovery</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$7.64 million</w:t>
            </w:r>
          </w:p>
        </w:tc>
      </w:tr>
      <w:tr>
        <w:trPr>
          <w:trHeight w:val="39"/>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0"/>
        </w:trPr>
        <w:tc>
          <w:tcPr>
            <w:tcW w:w="6680" w:type="dxa"/>
            <w:vAlign w:val="bottom"/>
            <w:tcBorders>
              <w:left w:val="single" w:sz="8" w:color="auto"/>
              <w:right w:val="single" w:sz="8" w:color="auto"/>
            </w:tcBorders>
          </w:tcPr>
          <w:p>
            <w:pPr>
              <w:ind w:left="120"/>
              <w:spacing w:after="0" w:line="249" w:lineRule="exact"/>
              <w:rPr>
                <w:sz w:val="20"/>
                <w:szCs w:val="20"/>
                <w:color w:val="auto"/>
              </w:rPr>
            </w:pPr>
            <w:r>
              <w:rPr>
                <w:rFonts w:ascii="Calibri" w:cs="Calibri" w:eastAsia="Calibri" w:hAnsi="Calibri"/>
                <w:sz w:val="22"/>
                <w:szCs w:val="22"/>
                <w:color w:val="auto"/>
              </w:rPr>
              <w:t>Long Term Incentves – 0% Recovery</w:t>
            </w:r>
          </w:p>
        </w:tc>
        <w:tc>
          <w:tcPr>
            <w:tcW w:w="1760" w:type="dxa"/>
            <w:vAlign w:val="bottom"/>
            <w:tcBorders>
              <w:right w:val="single" w:sz="8" w:color="auto"/>
            </w:tcBorders>
          </w:tcPr>
          <w:p>
            <w:pPr>
              <w:ind w:left="80"/>
              <w:spacing w:after="0" w:line="249" w:lineRule="exact"/>
              <w:rPr>
                <w:sz w:val="20"/>
                <w:szCs w:val="20"/>
                <w:color w:val="auto"/>
              </w:rPr>
            </w:pPr>
            <w:r>
              <w:rPr>
                <w:rFonts w:ascii="Calibri" w:cs="Calibri" w:eastAsia="Calibri" w:hAnsi="Calibri"/>
                <w:sz w:val="22"/>
                <w:szCs w:val="22"/>
                <w:color w:val="auto"/>
              </w:rPr>
              <w:t>$8.96 million</w:t>
            </w:r>
          </w:p>
        </w:tc>
      </w:tr>
      <w:tr>
        <w:trPr>
          <w:trHeight w:val="41"/>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1"/>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Vegetaton Management – $4 million increase to base rates</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$20.00 million</w:t>
            </w:r>
          </w:p>
        </w:tc>
      </w:tr>
      <w:tr>
        <w:trPr>
          <w:trHeight w:val="39"/>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49"/>
        </w:trPr>
        <w:tc>
          <w:tcPr>
            <w:tcW w:w="6680" w:type="dxa"/>
            <w:vAlign w:val="bottom"/>
            <w:tcBorders>
              <w:left w:val="single" w:sz="8" w:color="auto"/>
              <w:right w:val="single" w:sz="8" w:color="auto"/>
            </w:tcBorders>
          </w:tcPr>
          <w:p>
            <w:pPr>
              <w:ind w:left="120"/>
              <w:spacing w:after="0" w:line="249" w:lineRule="exact"/>
              <w:rPr>
                <w:sz w:val="20"/>
                <w:szCs w:val="20"/>
                <w:color w:val="auto"/>
              </w:rPr>
            </w:pPr>
            <w:r>
              <w:rPr>
                <w:rFonts w:ascii="Calibri" w:cs="Calibri" w:eastAsia="Calibri" w:hAnsi="Calibri"/>
                <w:sz w:val="22"/>
                <w:szCs w:val="22"/>
                <w:color w:val="auto"/>
              </w:rPr>
              <w:t>Payroll Capitalizaton Rato</w:t>
            </w:r>
          </w:p>
        </w:tc>
        <w:tc>
          <w:tcPr>
            <w:tcW w:w="1760" w:type="dxa"/>
            <w:vAlign w:val="bottom"/>
            <w:tcBorders>
              <w:right w:val="single" w:sz="8" w:color="auto"/>
            </w:tcBorders>
          </w:tcPr>
          <w:p>
            <w:pPr>
              <w:ind w:left="80"/>
              <w:spacing w:after="0" w:line="249" w:lineRule="exact"/>
              <w:rPr>
                <w:sz w:val="20"/>
                <w:szCs w:val="20"/>
                <w:color w:val="auto"/>
              </w:rPr>
            </w:pPr>
            <w:r>
              <w:rPr>
                <w:rFonts w:ascii="Calibri" w:cs="Calibri" w:eastAsia="Calibri" w:hAnsi="Calibri"/>
                <w:sz w:val="22"/>
                <w:szCs w:val="22"/>
                <w:color w:val="auto"/>
              </w:rPr>
              <w:t>$6.08 million</w:t>
            </w:r>
          </w:p>
        </w:tc>
      </w:tr>
      <w:tr>
        <w:trPr>
          <w:trHeight w:val="41"/>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1"/>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Directors and Ofcers Liability Insurance – 50% Recovery</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$0.61 million</w:t>
            </w:r>
          </w:p>
        </w:tc>
      </w:tr>
      <w:tr>
        <w:trPr>
          <w:trHeight w:val="39"/>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2"/>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Investors Relatons Expense – 50% Recovery</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$0.37 million</w:t>
            </w:r>
          </w:p>
        </w:tc>
      </w:tr>
      <w:tr>
        <w:trPr>
          <w:trHeight w:val="39"/>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49"/>
        </w:trPr>
        <w:tc>
          <w:tcPr>
            <w:tcW w:w="6680" w:type="dxa"/>
            <w:vAlign w:val="bottom"/>
            <w:tcBorders>
              <w:left w:val="single" w:sz="8" w:color="auto"/>
              <w:right w:val="single" w:sz="8" w:color="auto"/>
            </w:tcBorders>
          </w:tcPr>
          <w:p>
            <w:pPr>
              <w:ind w:left="120"/>
              <w:spacing w:after="0" w:line="249" w:lineRule="exact"/>
              <w:rPr>
                <w:sz w:val="20"/>
                <w:szCs w:val="20"/>
                <w:color w:val="auto"/>
              </w:rPr>
            </w:pPr>
            <w:r>
              <w:rPr>
                <w:rFonts w:ascii="Calibri" w:cs="Calibri" w:eastAsia="Calibri" w:hAnsi="Calibri"/>
                <w:sz w:val="22"/>
                <w:szCs w:val="22"/>
                <w:color w:val="auto"/>
              </w:rPr>
              <w:t>Board of Directors Compensaton – 50% Recovery</w:t>
            </w:r>
          </w:p>
        </w:tc>
        <w:tc>
          <w:tcPr>
            <w:tcW w:w="1760" w:type="dxa"/>
            <w:vAlign w:val="bottom"/>
            <w:tcBorders>
              <w:right w:val="single" w:sz="8" w:color="auto"/>
            </w:tcBorders>
          </w:tcPr>
          <w:p>
            <w:pPr>
              <w:ind w:left="80"/>
              <w:spacing w:after="0" w:line="249" w:lineRule="exact"/>
              <w:rPr>
                <w:sz w:val="20"/>
                <w:szCs w:val="20"/>
                <w:color w:val="auto"/>
              </w:rPr>
            </w:pPr>
            <w:r>
              <w:rPr>
                <w:rFonts w:ascii="Calibri" w:cs="Calibri" w:eastAsia="Calibri" w:hAnsi="Calibri"/>
                <w:sz w:val="22"/>
                <w:szCs w:val="22"/>
                <w:color w:val="auto"/>
              </w:rPr>
              <w:t>$1.45 million</w:t>
            </w:r>
          </w:p>
        </w:tc>
      </w:tr>
      <w:tr>
        <w:trPr>
          <w:trHeight w:val="41"/>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2"/>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Severance Expense</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$0.53 million</w:t>
            </w:r>
          </w:p>
        </w:tc>
      </w:tr>
      <w:tr>
        <w:trPr>
          <w:trHeight w:val="39"/>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2"/>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Ad Valorem Tax Expense</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$0.88 million</w:t>
            </w:r>
          </w:p>
        </w:tc>
      </w:tr>
      <w:tr>
        <w:trPr>
          <w:trHeight w:val="39"/>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r>
        <w:trPr>
          <w:trHeight w:val="252"/>
        </w:trPr>
        <w:tc>
          <w:tcPr>
            <w:tcW w:w="6680" w:type="dxa"/>
            <w:vAlign w:val="bottom"/>
            <w:tcBorders>
              <w:left w:val="single" w:sz="8" w:color="auto"/>
              <w:right w:val="single" w:sz="8" w:color="auto"/>
            </w:tcBorders>
          </w:tcPr>
          <w:p>
            <w:pPr>
              <w:ind w:left="120"/>
              <w:spacing w:after="0" w:line="251" w:lineRule="exact"/>
              <w:rPr>
                <w:sz w:val="20"/>
                <w:szCs w:val="20"/>
                <w:color w:val="auto"/>
              </w:rPr>
            </w:pPr>
            <w:r>
              <w:rPr>
                <w:rFonts w:ascii="Calibri" w:cs="Calibri" w:eastAsia="Calibri" w:hAnsi="Calibri"/>
                <w:sz w:val="22"/>
                <w:szCs w:val="22"/>
                <w:color w:val="auto"/>
              </w:rPr>
              <w:t>Transmission/Wind Allocaton Impact on Rev. Req. &amp; Misc.</w:t>
            </w:r>
          </w:p>
        </w:tc>
        <w:tc>
          <w:tcPr>
            <w:tcW w:w="1760" w:type="dxa"/>
            <w:vAlign w:val="bottom"/>
            <w:tcBorders>
              <w:right w:val="single" w:sz="8" w:color="auto"/>
            </w:tcBorders>
          </w:tcPr>
          <w:p>
            <w:pPr>
              <w:ind w:left="80"/>
              <w:spacing w:after="0" w:line="251" w:lineRule="exact"/>
              <w:rPr>
                <w:sz w:val="20"/>
                <w:szCs w:val="20"/>
                <w:color w:val="auto"/>
              </w:rPr>
            </w:pPr>
            <w:r>
              <w:rPr>
                <w:rFonts w:ascii="Calibri" w:cs="Calibri" w:eastAsia="Calibri" w:hAnsi="Calibri"/>
                <w:sz w:val="22"/>
                <w:szCs w:val="22"/>
                <w:color w:val="auto"/>
              </w:rPr>
              <w:t>$0.45 million</w:t>
            </w:r>
          </w:p>
        </w:tc>
      </w:tr>
      <w:tr>
        <w:trPr>
          <w:trHeight w:val="39"/>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r>
    </w:tbl>
    <w:p>
      <w:pPr>
        <w:spacing w:after="0" w:line="255" w:lineRule="exact"/>
        <w:rPr>
          <w:sz w:val="20"/>
          <w:szCs w:val="20"/>
          <w:color w:val="auto"/>
        </w:rPr>
      </w:pPr>
    </w:p>
    <w:p>
      <w:pPr>
        <w:ind w:left="740" w:right="20" w:hanging="369"/>
        <w:spacing w:after="0" w:line="235" w:lineRule="auto"/>
        <w:tabs>
          <w:tab w:leader="none" w:pos="740" w:val="left"/>
        </w:tabs>
        <w:numPr>
          <w:ilvl w:val="0"/>
          <w:numId w:val="3"/>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Plant-in-Service: </w:t>
      </w:r>
      <w:r>
        <w:rPr>
          <w:rFonts w:ascii="Calibri" w:cs="Calibri" w:eastAsia="Calibri" w:hAnsi="Calibri"/>
          <w:sz w:val="22"/>
          <w:szCs w:val="22"/>
          <w:color w:val="auto"/>
        </w:rPr>
        <w:t>The Stpulatng Partes agree OG&amp;E’s recorded plant-in-service as of March 31, 2024, is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prudent and should be included in OG&amp;E’s rate base.</w:t>
      </w:r>
    </w:p>
    <w:p>
      <w:pPr>
        <w:spacing w:after="0" w:line="284" w:lineRule="exact"/>
        <w:rPr>
          <w:rFonts w:ascii="Calibri" w:cs="Calibri" w:eastAsia="Calibri" w:hAnsi="Calibri"/>
          <w:sz w:val="22"/>
          <w:szCs w:val="22"/>
          <w:color w:val="auto"/>
        </w:rPr>
      </w:pPr>
    </w:p>
    <w:p>
      <w:pPr>
        <w:ind w:left="740" w:right="20" w:hanging="369"/>
        <w:spacing w:after="0" w:line="235" w:lineRule="auto"/>
        <w:tabs>
          <w:tab w:leader="none" w:pos="740" w:val="left"/>
        </w:tabs>
        <w:numPr>
          <w:ilvl w:val="0"/>
          <w:numId w:val="3"/>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Silver Energy Program: </w:t>
      </w:r>
      <w:r>
        <w:rPr>
          <w:rFonts w:ascii="Calibri" w:cs="Calibri" w:eastAsia="Calibri" w:hAnsi="Calibri"/>
          <w:sz w:val="22"/>
          <w:szCs w:val="22"/>
          <w:color w:val="auto"/>
        </w:rPr>
        <w:t>The Stpulatng Partes agree to increase OG&amp;E’s existng senior citzen discount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program by $60 annually consistent with OG&amp;E’s proposal in its Direct Testmony.</w:t>
      </w:r>
    </w:p>
    <w:p>
      <w:pPr>
        <w:spacing w:after="0" w:line="284" w:lineRule="exact"/>
        <w:rPr>
          <w:rFonts w:ascii="Calibri" w:cs="Calibri" w:eastAsia="Calibri" w:hAnsi="Calibri"/>
          <w:sz w:val="22"/>
          <w:szCs w:val="22"/>
          <w:color w:val="auto"/>
        </w:rPr>
      </w:pPr>
    </w:p>
    <w:p>
      <w:pPr>
        <w:ind w:left="740" w:right="20" w:hanging="369"/>
        <w:spacing w:after="0" w:line="235" w:lineRule="auto"/>
        <w:tabs>
          <w:tab w:leader="none" w:pos="740" w:val="left"/>
        </w:tabs>
        <w:numPr>
          <w:ilvl w:val="0"/>
          <w:numId w:val="3"/>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Residental Customer Charge: </w:t>
      </w:r>
      <w:r>
        <w:rPr>
          <w:rFonts w:ascii="Calibri" w:cs="Calibri" w:eastAsia="Calibri" w:hAnsi="Calibri"/>
          <w:sz w:val="22"/>
          <w:szCs w:val="22"/>
          <w:color w:val="auto"/>
        </w:rPr>
        <w:t>The Stpulatng Partes agree OG&amp;E’s residental customer charge shall</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remain at $13.00 per month.</w:t>
      </w:r>
    </w:p>
    <w:p>
      <w:pPr>
        <w:spacing w:after="0" w:line="284" w:lineRule="exact"/>
        <w:rPr>
          <w:rFonts w:ascii="Calibri" w:cs="Calibri" w:eastAsia="Calibri" w:hAnsi="Calibri"/>
          <w:sz w:val="22"/>
          <w:szCs w:val="22"/>
          <w:color w:val="auto"/>
        </w:rPr>
      </w:pPr>
    </w:p>
    <w:p>
      <w:pPr>
        <w:ind w:left="740" w:right="20" w:hanging="369"/>
        <w:spacing w:after="0" w:line="235" w:lineRule="auto"/>
        <w:tabs>
          <w:tab w:leader="none" w:pos="740" w:val="left"/>
        </w:tabs>
        <w:numPr>
          <w:ilvl w:val="0"/>
          <w:numId w:val="3"/>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Return on Equity: </w:t>
      </w:r>
      <w:r>
        <w:rPr>
          <w:rFonts w:ascii="Calibri" w:cs="Calibri" w:eastAsia="Calibri" w:hAnsi="Calibri"/>
          <w:sz w:val="22"/>
          <w:szCs w:val="22"/>
          <w:color w:val="auto"/>
        </w:rPr>
        <w:t>The Stpulatng Partes agree there shall be no change in the Company’s currently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authorized return on equity.</w:t>
      </w:r>
    </w:p>
    <w:p>
      <w:pPr>
        <w:spacing w:after="0" w:line="284" w:lineRule="exact"/>
        <w:rPr>
          <w:rFonts w:ascii="Calibri" w:cs="Calibri" w:eastAsia="Calibri" w:hAnsi="Calibri"/>
          <w:sz w:val="22"/>
          <w:szCs w:val="22"/>
          <w:color w:val="auto"/>
        </w:rPr>
      </w:pPr>
    </w:p>
    <w:p>
      <w:pPr>
        <w:ind w:left="740" w:right="20" w:hanging="369"/>
        <w:spacing w:after="0" w:line="235" w:lineRule="auto"/>
        <w:tabs>
          <w:tab w:leader="none" w:pos="740" w:val="left"/>
        </w:tabs>
        <w:numPr>
          <w:ilvl w:val="0"/>
          <w:numId w:val="3"/>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Capital Structure: </w:t>
      </w:r>
      <w:r>
        <w:rPr>
          <w:rFonts w:ascii="Calibri" w:cs="Calibri" w:eastAsia="Calibri" w:hAnsi="Calibri"/>
          <w:sz w:val="22"/>
          <w:szCs w:val="22"/>
          <w:color w:val="auto"/>
        </w:rPr>
        <w:t>The Stpulatng Partes agree to utlize OG&amp;E’s actual capital structure as refected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 Company’s Applicaton.</w:t>
      </w:r>
    </w:p>
    <w:p>
      <w:pPr>
        <w:spacing w:after="0" w:line="284" w:lineRule="exact"/>
        <w:rPr>
          <w:rFonts w:ascii="Calibri" w:cs="Calibri" w:eastAsia="Calibri" w:hAnsi="Calibri"/>
          <w:sz w:val="22"/>
          <w:szCs w:val="22"/>
          <w:color w:val="auto"/>
        </w:rPr>
      </w:pPr>
    </w:p>
    <w:p>
      <w:pPr>
        <w:jc w:val="both"/>
        <w:ind w:left="740" w:hanging="369"/>
        <w:spacing w:after="0" w:line="238" w:lineRule="auto"/>
        <w:tabs>
          <w:tab w:leader="none" w:pos="740" w:val="left"/>
        </w:tabs>
        <w:numPr>
          <w:ilvl w:val="0"/>
          <w:numId w:val="3"/>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Depreciaton Rates: </w:t>
      </w:r>
      <w:r>
        <w:rPr>
          <w:rFonts w:ascii="Calibri" w:cs="Calibri" w:eastAsia="Calibri" w:hAnsi="Calibri"/>
          <w:sz w:val="22"/>
          <w:szCs w:val="22"/>
          <w:color w:val="auto"/>
        </w:rPr>
        <w:t>The Stpulatng Partes agree that OG&amp;E, in setng rates in this Case, shall utlize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depreciaton rates as recommended in Responsive Testmony by the Federal Executve Agencies for Producton plant accounts, the Public Utlity Division for Transmission plant accounts, Oklahoma Industrial Energy Consumers for Intangible plant accounts, and no change to existng rates for Distributon and General plant accounts.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60"/>
        <w:spacing w:after="0"/>
        <w:rPr>
          <w:sz w:val="20"/>
          <w:szCs w:val="20"/>
          <w:color w:val="auto"/>
        </w:rPr>
      </w:pPr>
      <w:r>
        <w:rPr>
          <w:rFonts w:ascii="Calibri" w:cs="Calibri" w:eastAsia="Calibri" w:hAnsi="Calibri"/>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313055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016" w:right="519" w:bottom="1440" w:gutter="0" w:footer="0" w:header="0"/>
        </w:sectPr>
      </w:pPr>
    </w:p>
    <w:bookmarkStart w:id="5" w:name="page6"/>
    <w:bookmarkEnd w:id="5"/>
    <w:p>
      <w:pPr>
        <w:ind w:left="740" w:right="180" w:hanging="369"/>
        <w:spacing w:after="0" w:line="235" w:lineRule="auto"/>
        <w:tabs>
          <w:tab w:leader="none" w:pos="740" w:val="left"/>
        </w:tabs>
        <w:numPr>
          <w:ilvl w:val="0"/>
          <w:numId w:val="4"/>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Vegetaton Management Expense and Tracker: </w:t>
      </w:r>
      <w:r>
        <w:rPr>
          <w:rFonts w:ascii="Calibri" w:cs="Calibri" w:eastAsia="Calibri" w:hAnsi="Calibri"/>
          <w:sz w:val="22"/>
          <w:szCs w:val="22"/>
          <w:color w:val="auto"/>
        </w:rPr>
        <w:t>The Stpulatng Partes agree to the following for OG&amp;E’s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Transmission and Distributon vegetaton management expense:</w:t>
      </w:r>
    </w:p>
    <w:p>
      <w:pPr>
        <w:spacing w:after="0" w:line="271" w:lineRule="exact"/>
        <w:rPr>
          <w:rFonts w:ascii="Calibri" w:cs="Calibri" w:eastAsia="Calibri" w:hAnsi="Calibri"/>
          <w:sz w:val="22"/>
          <w:szCs w:val="22"/>
          <w:color w:val="auto"/>
        </w:rPr>
      </w:pPr>
    </w:p>
    <w:p>
      <w:pPr>
        <w:ind w:left="1400" w:hanging="506"/>
        <w:spacing w:after="0"/>
        <w:tabs>
          <w:tab w:leader="none" w:pos="140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OG&amp;E’s base rate level of vegetaton management expense shall be $38.22 million annually.</w:t>
      </w:r>
    </w:p>
    <w:p>
      <w:pPr>
        <w:spacing w:after="0" w:line="14" w:lineRule="exact"/>
        <w:rPr>
          <w:rFonts w:ascii="Times New Roman" w:cs="Times New Roman" w:eastAsia="Times New Roman" w:hAnsi="Times New Roman"/>
          <w:sz w:val="22"/>
          <w:szCs w:val="22"/>
          <w:color w:val="auto"/>
        </w:rPr>
      </w:pPr>
    </w:p>
    <w:p>
      <w:pPr>
        <w:ind w:left="1400" w:hanging="506"/>
        <w:spacing w:after="0" w:line="235" w:lineRule="auto"/>
        <w:tabs>
          <w:tab w:leader="none" w:pos="140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OG&amp;E is authorized to establish a regulatory asset or liability to record the total level of expense less than or greater than the annual base level of expense.</w:t>
      </w:r>
    </w:p>
    <w:p>
      <w:pPr>
        <w:spacing w:after="0" w:line="14" w:lineRule="exact"/>
        <w:rPr>
          <w:rFonts w:ascii="Times New Roman" w:cs="Times New Roman" w:eastAsia="Times New Roman" w:hAnsi="Times New Roman"/>
          <w:sz w:val="22"/>
          <w:szCs w:val="22"/>
          <w:color w:val="auto"/>
        </w:rPr>
      </w:pPr>
    </w:p>
    <w:p>
      <w:pPr>
        <w:ind w:left="1400" w:hanging="506"/>
        <w:spacing w:after="0" w:line="235" w:lineRule="auto"/>
        <w:tabs>
          <w:tab w:leader="none" w:pos="140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OG&amp;E shall record no greater than $7.50 million in excess of the base rate level per year to the regulatory asset.</w:t>
      </w:r>
    </w:p>
    <w:p>
      <w:pPr>
        <w:spacing w:after="0" w:line="14" w:lineRule="exact"/>
        <w:rPr>
          <w:rFonts w:ascii="Times New Roman" w:cs="Times New Roman" w:eastAsia="Times New Roman" w:hAnsi="Times New Roman"/>
          <w:sz w:val="22"/>
          <w:szCs w:val="22"/>
          <w:color w:val="auto"/>
        </w:rPr>
      </w:pPr>
    </w:p>
    <w:p>
      <w:pPr>
        <w:jc w:val="both"/>
        <w:ind w:left="1400" w:hanging="506"/>
        <w:spacing w:after="0" w:line="237" w:lineRule="auto"/>
        <w:tabs>
          <w:tab w:leader="none" w:pos="140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OG&amp;E shall fle testmony to support the total amount of vegetaton management spend in its next general rate case, and it shall propose an amortzaton period for the net regulatory asset or liability.</w:t>
      </w:r>
    </w:p>
    <w:p>
      <w:pPr>
        <w:spacing w:after="0" w:line="14" w:lineRule="exact"/>
        <w:rPr>
          <w:rFonts w:ascii="Times New Roman" w:cs="Times New Roman" w:eastAsia="Times New Roman" w:hAnsi="Times New Roman"/>
          <w:sz w:val="22"/>
          <w:szCs w:val="22"/>
          <w:color w:val="auto"/>
        </w:rPr>
      </w:pPr>
    </w:p>
    <w:p>
      <w:pPr>
        <w:ind w:left="1400" w:hanging="506"/>
        <w:spacing w:after="0" w:line="235" w:lineRule="auto"/>
        <w:tabs>
          <w:tab w:leader="none" w:pos="140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OG&amp;E shall submit an annual report to the Public Utlity Division detailing the Company’s vegetaton management spending and actvites.</w:t>
      </w:r>
    </w:p>
    <w:p>
      <w:pPr>
        <w:spacing w:after="0" w:line="14" w:lineRule="exact"/>
        <w:rPr>
          <w:rFonts w:ascii="Times New Roman" w:cs="Times New Roman" w:eastAsia="Times New Roman" w:hAnsi="Times New Roman"/>
          <w:sz w:val="22"/>
          <w:szCs w:val="22"/>
          <w:color w:val="auto"/>
        </w:rPr>
      </w:pPr>
    </w:p>
    <w:p>
      <w:pPr>
        <w:ind w:left="1400" w:hanging="506"/>
        <w:spacing w:after="0" w:line="235" w:lineRule="auto"/>
        <w:tabs>
          <w:tab w:leader="none" w:pos="140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All costs booked to the regulatory asset or liability shall be subject to a full prudence review in OG&amp;E’s next general rate case.</w:t>
      </w:r>
    </w:p>
    <w:p>
      <w:pPr>
        <w:spacing w:after="0" w:line="3" w:lineRule="exact"/>
        <w:rPr>
          <w:rFonts w:ascii="Times New Roman" w:cs="Times New Roman" w:eastAsia="Times New Roman" w:hAnsi="Times New Roman"/>
          <w:sz w:val="22"/>
          <w:szCs w:val="22"/>
          <w:color w:val="auto"/>
        </w:rPr>
      </w:pPr>
    </w:p>
    <w:p>
      <w:pPr>
        <w:ind w:left="1400" w:hanging="506"/>
        <w:spacing w:after="0"/>
        <w:tabs>
          <w:tab w:leader="none" w:pos="140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 carrying charge shall accrue on the regulatory asset/liability.</w:t>
      </w:r>
    </w:p>
    <w:p>
      <w:pPr>
        <w:spacing w:after="0" w:line="282" w:lineRule="exact"/>
        <w:rPr>
          <w:rFonts w:ascii="Times New Roman" w:cs="Times New Roman" w:eastAsia="Times New Roman" w:hAnsi="Times New Roman"/>
          <w:sz w:val="22"/>
          <w:szCs w:val="22"/>
          <w:color w:val="auto"/>
        </w:rPr>
      </w:pPr>
    </w:p>
    <w:p>
      <w:pPr>
        <w:jc w:val="both"/>
        <w:ind w:left="740" w:right="180" w:hanging="369"/>
        <w:spacing w:after="0" w:line="237" w:lineRule="auto"/>
        <w:tabs>
          <w:tab w:leader="none" w:pos="740" w:val="left"/>
        </w:tabs>
        <w:numPr>
          <w:ilvl w:val="0"/>
          <w:numId w:val="4"/>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Day Ahead Pricing/Load Reducton Rider Co-subscripton: </w:t>
      </w:r>
      <w:r>
        <w:rPr>
          <w:rFonts w:ascii="Calibri" w:cs="Calibri" w:eastAsia="Calibri" w:hAnsi="Calibri"/>
          <w:sz w:val="22"/>
          <w:szCs w:val="22"/>
          <w:color w:val="auto"/>
        </w:rPr>
        <w:t>The Stpulatng Partes agree its customers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shall contnue to be allowed to co-subscribe to the Day Ahead Pricing tarif and Load Reducton Rider tarif.</w:t>
      </w:r>
    </w:p>
    <w:p>
      <w:pPr>
        <w:spacing w:after="0" w:line="284" w:lineRule="exact"/>
        <w:rPr>
          <w:rFonts w:ascii="Calibri" w:cs="Calibri" w:eastAsia="Calibri" w:hAnsi="Calibri"/>
          <w:sz w:val="22"/>
          <w:szCs w:val="22"/>
          <w:color w:val="auto"/>
        </w:rPr>
      </w:pPr>
    </w:p>
    <w:p>
      <w:pPr>
        <w:ind w:left="740" w:right="180" w:hanging="369"/>
        <w:spacing w:after="0" w:line="235" w:lineRule="auto"/>
        <w:tabs>
          <w:tab w:leader="none" w:pos="740" w:val="left"/>
        </w:tabs>
        <w:numPr>
          <w:ilvl w:val="0"/>
          <w:numId w:val="4"/>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Energizing Renewable Connectons Tarif: </w:t>
      </w:r>
      <w:r>
        <w:rPr>
          <w:rFonts w:ascii="Calibri" w:cs="Calibri" w:eastAsia="Calibri" w:hAnsi="Calibri"/>
          <w:sz w:val="22"/>
          <w:szCs w:val="22"/>
          <w:color w:val="auto"/>
        </w:rPr>
        <w:t>The Stpulatng Partes agree OG&amp;E shall reduce the Energizing</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Renewable Connectons tarif minimum commitment period from ten years to seven years.</w:t>
      </w:r>
    </w:p>
    <w:p>
      <w:pPr>
        <w:spacing w:after="0" w:line="284" w:lineRule="exact"/>
        <w:rPr>
          <w:rFonts w:ascii="Calibri" w:cs="Calibri" w:eastAsia="Calibri" w:hAnsi="Calibri"/>
          <w:sz w:val="22"/>
          <w:szCs w:val="22"/>
          <w:color w:val="auto"/>
        </w:rPr>
      </w:pPr>
    </w:p>
    <w:p>
      <w:pPr>
        <w:ind w:left="740" w:right="200" w:hanging="369"/>
        <w:spacing w:after="0" w:line="235" w:lineRule="auto"/>
        <w:tabs>
          <w:tab w:leader="none" w:pos="740" w:val="left"/>
        </w:tabs>
        <w:numPr>
          <w:ilvl w:val="0"/>
          <w:numId w:val="4"/>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Transmission Cost Allocaton: </w:t>
      </w:r>
      <w:r>
        <w:rPr>
          <w:rFonts w:ascii="Calibri" w:cs="Calibri" w:eastAsia="Calibri" w:hAnsi="Calibri"/>
          <w:sz w:val="22"/>
          <w:szCs w:val="22"/>
          <w:color w:val="auto"/>
        </w:rPr>
        <w:t>The Stpulatng Partes agree Transmission costs shall contnue to be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allocated based upon 4 Coincident Peak (“4-CP”) allocator.</w:t>
      </w:r>
    </w:p>
    <w:p>
      <w:pPr>
        <w:spacing w:after="0" w:line="284" w:lineRule="exact"/>
        <w:rPr>
          <w:rFonts w:ascii="Calibri" w:cs="Calibri" w:eastAsia="Calibri" w:hAnsi="Calibri"/>
          <w:sz w:val="22"/>
          <w:szCs w:val="22"/>
          <w:color w:val="auto"/>
        </w:rPr>
      </w:pPr>
    </w:p>
    <w:p>
      <w:pPr>
        <w:ind w:left="740" w:right="180" w:hanging="369"/>
        <w:spacing w:after="0" w:line="235" w:lineRule="auto"/>
        <w:tabs>
          <w:tab w:leader="none" w:pos="740" w:val="left"/>
        </w:tabs>
        <w:numPr>
          <w:ilvl w:val="0"/>
          <w:numId w:val="4"/>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Wind Producton Cost Allocaton: </w:t>
      </w:r>
      <w:r>
        <w:rPr>
          <w:rFonts w:ascii="Calibri" w:cs="Calibri" w:eastAsia="Calibri" w:hAnsi="Calibri"/>
          <w:sz w:val="22"/>
          <w:szCs w:val="22"/>
          <w:color w:val="auto"/>
        </w:rPr>
        <w:t>The Stpulatng Partes agree the existng wind producton cost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allocaton shall not change, and that it shall be allocated based upon 4-CP Average and Excess allocator.</w:t>
      </w:r>
    </w:p>
    <w:p>
      <w:pPr>
        <w:spacing w:after="0" w:line="284" w:lineRule="exact"/>
        <w:rPr>
          <w:rFonts w:ascii="Calibri" w:cs="Calibri" w:eastAsia="Calibri" w:hAnsi="Calibri"/>
          <w:sz w:val="22"/>
          <w:szCs w:val="22"/>
          <w:color w:val="auto"/>
        </w:rPr>
      </w:pPr>
    </w:p>
    <w:p>
      <w:pPr>
        <w:jc w:val="both"/>
        <w:ind w:left="740" w:right="180" w:hanging="369"/>
        <w:spacing w:after="0"/>
        <w:tabs>
          <w:tab w:leader="none" w:pos="740" w:val="left"/>
        </w:tabs>
        <w:numPr>
          <w:ilvl w:val="0"/>
          <w:numId w:val="4"/>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1MW Compettve Load Issues: </w:t>
      </w:r>
      <w:r>
        <w:rPr>
          <w:rFonts w:ascii="Calibri" w:cs="Calibri" w:eastAsia="Calibri" w:hAnsi="Calibri"/>
          <w:sz w:val="22"/>
          <w:szCs w:val="22"/>
          <w:color w:val="auto"/>
        </w:rPr>
        <w:t>The Stpulatng Partes agree to litgate 1MW compettve load issues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before the Commission at the hearing on the merits in this Case. The Stpulatng Partes agree that, other than the 1MW issue, the Stpulatng Partes shall not litgate any other issues or contest any provision of this Setlement Agreement in the hearing to litgate 1MW compettve load issues. The Stpulatng Partes have not abandoned their litgated positons with regard to 1MW compettve load issues raised in Direct, Responsive, or Rebutal Testmony fled in this case. The Stpulatng Partes acknowledge and agree that Commission resoluton of the 1 MW compettve load issue could impact the cost of service study, revenue allocaton and OG&amp;E’s tarifs and that any fnal order issued in this case may adjust the Company’s cost of service, revenue allocaton, and tarifs in accordance with the Commission’s 1 MW issue fndings.</w:t>
      </w:r>
    </w:p>
    <w:p>
      <w:pPr>
        <w:spacing w:after="0" w:line="271" w:lineRule="exact"/>
        <w:rPr>
          <w:rFonts w:ascii="Calibri" w:cs="Calibri" w:eastAsia="Calibri" w:hAnsi="Calibri"/>
          <w:sz w:val="22"/>
          <w:szCs w:val="22"/>
          <w:color w:val="auto"/>
        </w:rPr>
      </w:pPr>
    </w:p>
    <w:p>
      <w:pPr>
        <w:ind w:left="740" w:hanging="369"/>
        <w:spacing w:after="0"/>
        <w:tabs>
          <w:tab w:leader="none" w:pos="740" w:val="left"/>
        </w:tabs>
        <w:numPr>
          <w:ilvl w:val="0"/>
          <w:numId w:val="4"/>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Additonal Cost of Service/Rate Design Issues: </w:t>
      </w:r>
      <w:r>
        <w:rPr>
          <w:rFonts w:ascii="Calibri" w:cs="Calibri" w:eastAsia="Calibri" w:hAnsi="Calibri"/>
          <w:sz w:val="22"/>
          <w:szCs w:val="22"/>
          <w:color w:val="auto"/>
        </w:rPr>
        <w:t>The Stpulatng Partes agree to the following:</w:t>
      </w:r>
    </w:p>
    <w:p>
      <w:pPr>
        <w:spacing w:after="0" w:line="1" w:lineRule="exact"/>
        <w:rPr>
          <w:rFonts w:ascii="Calibri" w:cs="Calibri" w:eastAsia="Calibri" w:hAnsi="Calibri"/>
          <w:sz w:val="22"/>
          <w:szCs w:val="22"/>
          <w:color w:val="auto"/>
        </w:rPr>
      </w:pPr>
    </w:p>
    <w:p>
      <w:pPr>
        <w:ind w:left="1400" w:hanging="506"/>
        <w:spacing w:after="0"/>
        <w:tabs>
          <w:tab w:leader="none" w:pos="140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Revenue allocaton shall be applied to the customer classes consistent with OG&amp;E’s</w:t>
      </w:r>
    </w:p>
    <w:p>
      <w:pPr>
        <w:spacing w:after="0" w:line="258" w:lineRule="exact"/>
        <w:rPr>
          <w:sz w:val="20"/>
          <w:szCs w:val="20"/>
          <w:color w:val="auto"/>
        </w:rPr>
      </w:pPr>
    </w:p>
    <w:p>
      <w:pPr>
        <w:ind w:left="4460"/>
        <w:spacing w:after="0"/>
        <w:rPr>
          <w:sz w:val="20"/>
          <w:szCs w:val="20"/>
          <w:color w:val="auto"/>
        </w:rPr>
      </w:pPr>
      <w:r>
        <w:rPr>
          <w:rFonts w:ascii="Calibri" w:cs="Calibri" w:eastAsia="Calibri" w:hAnsi="Calibri"/>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314325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73" w:right="339" w:bottom="1440" w:gutter="0" w:footer="0" w:header="0"/>
        </w:sectPr>
      </w:pPr>
    </w:p>
    <w:bookmarkStart w:id="6" w:name="page7"/>
    <w:bookmarkEnd w:id="6"/>
    <w:p>
      <w:pPr>
        <w:jc w:val="both"/>
        <w:ind w:left="2520"/>
        <w:spacing w:after="0" w:line="237" w:lineRule="auto"/>
        <w:rPr>
          <w:sz w:val="20"/>
          <w:szCs w:val="20"/>
          <w:color w:val="auto"/>
        </w:rPr>
      </w:pPr>
      <w:r>
        <w:rPr>
          <w:rFonts w:ascii="Calibri" w:cs="Calibri" w:eastAsia="Calibri" w:hAnsi="Calibri"/>
          <w:sz w:val="22"/>
          <w:szCs w:val="22"/>
          <w:color w:val="auto"/>
        </w:rPr>
        <w:t>proposed revenue allocaton methodology included in its Direct Testmony, including the following criteria: no base rate decrease for any customer class and no more than a 12.8% base rate case increase for any customer class.</w:t>
      </w:r>
    </w:p>
    <w:p>
      <w:pPr>
        <w:spacing w:after="0" w:line="14" w:lineRule="exact"/>
        <w:rPr>
          <w:sz w:val="20"/>
          <w:szCs w:val="20"/>
          <w:color w:val="auto"/>
        </w:rPr>
      </w:pPr>
    </w:p>
    <w:p>
      <w:pPr>
        <w:jc w:val="both"/>
        <w:ind w:left="2520" w:hanging="506"/>
        <w:spacing w:after="0" w:line="238" w:lineRule="auto"/>
        <w:tabs>
          <w:tab w:leader="none" w:pos="2520" w:val="left"/>
        </w:tabs>
        <w:numPr>
          <w:ilvl w:val="1"/>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If the Commission approves an increase to the PL-TOU SL 2 rate as recommended by this Joint Stpulaton, the peak energy rate of TOU shall be increased more than the demand charge is increased, and the cost recovered through the on-peak energy charge shall be higher than the cost recovered through the PL Standard SL 2 energy charge.</w:t>
      </w:r>
    </w:p>
    <w:p>
      <w:pPr>
        <w:spacing w:after="0" w:line="14" w:lineRule="exact"/>
        <w:rPr>
          <w:rFonts w:ascii="Times New Roman" w:cs="Times New Roman" w:eastAsia="Times New Roman" w:hAnsi="Times New Roman"/>
          <w:sz w:val="22"/>
          <w:szCs w:val="22"/>
          <w:color w:val="auto"/>
        </w:rPr>
      </w:pPr>
    </w:p>
    <w:p>
      <w:pPr>
        <w:jc w:val="both"/>
        <w:ind w:left="2520" w:hanging="506"/>
        <w:spacing w:after="0" w:line="237" w:lineRule="auto"/>
        <w:tabs>
          <w:tab w:leader="none" w:pos="2520" w:val="left"/>
        </w:tabs>
        <w:numPr>
          <w:ilvl w:val="1"/>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If the Commission approves an increase to the PL-TOU Service Level 5 rate as recommended by this Joint Stpulaton, then any such increase shall only be applied to the demand charge. The energy charge shall remain unchanged.</w:t>
      </w:r>
    </w:p>
    <w:p>
      <w:pPr>
        <w:spacing w:after="0" w:line="14" w:lineRule="exact"/>
        <w:rPr>
          <w:rFonts w:ascii="Times New Roman" w:cs="Times New Roman" w:eastAsia="Times New Roman" w:hAnsi="Times New Roman"/>
          <w:sz w:val="22"/>
          <w:szCs w:val="22"/>
          <w:color w:val="auto"/>
        </w:rPr>
      </w:pPr>
    </w:p>
    <w:p>
      <w:pPr>
        <w:ind w:left="2520" w:hanging="506"/>
        <w:spacing w:after="0" w:line="235" w:lineRule="auto"/>
        <w:tabs>
          <w:tab w:leader="none" w:pos="2520" w:val="left"/>
        </w:tabs>
        <w:numPr>
          <w:ilvl w:val="1"/>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Modifcatons to OG&amp;E’s Terms and Conditons of Service and Tarifs proposed by OG&amp;E in its Direct Testmony shall be approved unless otherwise amended by this Setlement Agreement.</w:t>
      </w:r>
    </w:p>
    <w:p>
      <w:pPr>
        <w:spacing w:after="0" w:line="284" w:lineRule="exact"/>
        <w:rPr>
          <w:rFonts w:ascii="Times New Roman" w:cs="Times New Roman" w:eastAsia="Times New Roman" w:hAnsi="Times New Roman"/>
          <w:sz w:val="22"/>
          <w:szCs w:val="22"/>
          <w:color w:val="auto"/>
        </w:rPr>
      </w:pPr>
    </w:p>
    <w:p>
      <w:pPr>
        <w:ind w:left="1860" w:right="800" w:hanging="369"/>
        <w:spacing w:after="0" w:line="235" w:lineRule="auto"/>
        <w:tabs>
          <w:tab w:leader="none" w:pos="1860" w:val="left"/>
        </w:tabs>
        <w:numPr>
          <w:ilvl w:val="0"/>
          <w:numId w:val="5"/>
        </w:numPr>
        <w:rPr>
          <w:rFonts w:ascii="Calibri" w:cs="Calibri" w:eastAsia="Calibri" w:hAnsi="Calibri"/>
          <w:sz w:val="22"/>
          <w:szCs w:val="22"/>
          <w:color w:val="auto"/>
        </w:rPr>
      </w:pPr>
      <w:r>
        <w:rPr>
          <w:rFonts w:ascii="Calibri" w:cs="Calibri" w:eastAsia="Calibri" w:hAnsi="Calibri"/>
          <w:sz w:val="22"/>
          <w:szCs w:val="22"/>
          <w:b w:val="1"/>
          <w:bCs w:val="1"/>
          <w:color w:val="auto"/>
        </w:rPr>
        <w:t xml:space="preserve">Pension Tracker Amortzaton: </w:t>
      </w:r>
      <w:r>
        <w:rPr>
          <w:rFonts w:ascii="Calibri" w:cs="Calibri" w:eastAsia="Calibri" w:hAnsi="Calibri"/>
          <w:sz w:val="22"/>
          <w:szCs w:val="22"/>
          <w:color w:val="auto"/>
        </w:rPr>
        <w:t>The Stpulatng Partes agree OG&amp;E’s Pension Regulatory Asset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balance as of March 31, 2024, shall be amortzed over 15 years.</w:t>
      </w:r>
    </w:p>
    <w:p>
      <w:pPr>
        <w:spacing w:after="0" w:line="274" w:lineRule="exact"/>
        <w:rPr>
          <w:sz w:val="20"/>
          <w:szCs w:val="20"/>
          <w:color w:val="auto"/>
        </w:rPr>
      </w:pPr>
    </w:p>
    <w:p>
      <w:pPr>
        <w:ind w:left="4540"/>
        <w:spacing w:after="0"/>
        <w:rPr>
          <w:sz w:val="20"/>
          <w:szCs w:val="20"/>
          <w:color w:val="auto"/>
        </w:rPr>
      </w:pPr>
      <w:r>
        <w:rPr>
          <w:rFonts w:ascii="Calibri" w:cs="Calibri" w:eastAsia="Calibri" w:hAnsi="Calibri"/>
          <w:sz w:val="22"/>
          <w:szCs w:val="22"/>
          <w:b w:val="1"/>
          <w:bCs w:val="1"/>
          <w:color w:val="auto"/>
        </w:rPr>
        <w:t>III. General Reservatons</w:t>
      </w:r>
    </w:p>
    <w:p>
      <w:pPr>
        <w:spacing w:after="0" w:line="1"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The Stpulatng Partes represent and agree that, except as specifcally provided:</w:t>
      </w:r>
    </w:p>
    <w:p>
      <w:pPr>
        <w:spacing w:after="0" w:line="271"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 xml:space="preserve">A. </w:t>
      </w:r>
      <w:r>
        <w:rPr>
          <w:rFonts w:ascii="Calibri" w:cs="Calibri" w:eastAsia="Calibri" w:hAnsi="Calibri"/>
          <w:sz w:val="22"/>
          <w:szCs w:val="22"/>
          <w:u w:val="single" w:color="auto"/>
          <w:color w:val="auto"/>
        </w:rPr>
        <w:t>Negotated Setlement</w:t>
      </w:r>
    </w:p>
    <w:p>
      <w:pPr>
        <w:spacing w:after="0" w:line="12"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2"/>
          <w:szCs w:val="22"/>
          <w:color w:val="auto"/>
        </w:rPr>
        <w:t>This Joint Stpulaton represents a negotated setlement for the purpose of compromising and resolving the issues presented in this case.</w:t>
      </w:r>
    </w:p>
    <w:p>
      <w:pPr>
        <w:spacing w:after="0" w:line="274"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 xml:space="preserve">B. </w:t>
      </w:r>
      <w:r>
        <w:rPr>
          <w:rFonts w:ascii="Calibri" w:cs="Calibri" w:eastAsia="Calibri" w:hAnsi="Calibri"/>
          <w:sz w:val="22"/>
          <w:szCs w:val="22"/>
          <w:u w:val="single" w:color="auto"/>
          <w:color w:val="auto"/>
        </w:rPr>
        <w:t>Authority to Execute</w:t>
      </w:r>
    </w:p>
    <w:p>
      <w:pPr>
        <w:spacing w:after="0" w:line="12"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Each of the undersigned afrmatvely represents to the Commission that he or she has fully advised his or her respectve client(s) that the executon of this Joint Stpulaton consttutes a resoluton of issues which were raised in this proceeding; that no promise, inducement or agreement not herein expressed has been made to any Stpulatng Party; that this Joint Stpulaton consttutes the entre agreement between and among the Stpulatng Partes; and each of the undersigned afrmatvely represents that he or she has full authority to execute this Joint Stpulaton on behalf of his or her client(s).</w:t>
      </w:r>
    </w:p>
    <w:p>
      <w:pPr>
        <w:spacing w:after="0" w:line="272"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 xml:space="preserve">C. </w:t>
      </w:r>
      <w:r>
        <w:rPr>
          <w:rFonts w:ascii="Calibri" w:cs="Calibri" w:eastAsia="Calibri" w:hAnsi="Calibri"/>
          <w:sz w:val="22"/>
          <w:szCs w:val="22"/>
          <w:u w:val="single" w:color="auto"/>
          <w:color w:val="auto"/>
        </w:rPr>
        <w:t>Joint Stpulaton Represents a Balance and Compromise of Positons</w:t>
      </w:r>
    </w:p>
    <w:p>
      <w:pPr>
        <w:spacing w:after="0" w:line="12"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The Stpulatng Partes stpulate and agree that the agreements contained in this Joint Stpulaton have resulted from negotatons among the Stpulatng Partes. The Stpulatng Partes hereto specifcally state and recognize that this Joint Stpulaton represents a balancing of positons of each of the Stpulatng Partes in consideraton for the agreements and commitments made by the other Stpulatng Partes in connecton therewith. Therefore, in the event that the Commission does not approve and adopt all of the terms of this Joint Stpulaton, this Joint Stpulaton shall be void and of no force and efect, and no Stpulatng Party shall be bound by the agreements or provisions contained herein. The Stpulatng Partes agree that neither this Joint Stpulaton nor any of the provisions hereof shall become efectve unless and untl the Commission shall have entered an Order approving all of the terms and provisions as agreed to by the partes to this Joint Stpulaton.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7" w:name="page8"/>
    <w:bookmarkEnd w:id="7"/>
    <w:p>
      <w:pPr>
        <w:ind w:left="760"/>
        <w:spacing w:after="0"/>
        <w:rPr>
          <w:sz w:val="20"/>
          <w:szCs w:val="20"/>
          <w:color w:val="auto"/>
        </w:rPr>
      </w:pPr>
      <w:r>
        <w:rPr>
          <w:rFonts w:ascii="Calibri" w:cs="Calibri" w:eastAsia="Calibri" w:hAnsi="Calibri"/>
          <w:sz w:val="22"/>
          <w:szCs w:val="22"/>
          <w:color w:val="auto"/>
        </w:rPr>
        <w:t xml:space="preserve">D. </w:t>
      </w:r>
      <w:r>
        <w:rPr>
          <w:rFonts w:ascii="Calibri" w:cs="Calibri" w:eastAsia="Calibri" w:hAnsi="Calibri"/>
          <w:sz w:val="22"/>
          <w:szCs w:val="22"/>
          <w:u w:val="single" w:color="auto"/>
          <w:color w:val="auto"/>
        </w:rPr>
        <w:t>No Admissions Nor Waivers</w:t>
      </w:r>
    </w:p>
    <w:p>
      <w:pPr>
        <w:spacing w:after="0" w:line="12"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The Stpulatng Partes agree and represent that the provisions of this Joint Stpulaton are intended to relate only to the specifc maters referred to herein, and by agreeing to this setlement, no Stpulatng Party waives any claim or right which it may otherwise have with respect to any maters not expressly provided for herein. In additon, except as specifcally set forth in this Joint Stpulaton, none of the signatories hereto shall be deemed to have approved or acquiesced in any ratemaking principle, valuaton method, cost of service determinaton, depreciaton principle or cost allocaton method underlying or allegedly underlying any of the informaton submited by the partes to this case and except as specifcally provided in this Joint Stpulaton, nothing contained herein shall consttute an admission by any Stpulatng Party that any allegaton or contenton in this proceeding is true or valid or shall consttute a determinaton by the Commission as to the merits of any allegatons or contentons made in this proceeding.</w:t>
      </w:r>
    </w:p>
    <w:p>
      <w:pPr>
        <w:spacing w:after="0" w:line="281"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 xml:space="preserve">E. </w:t>
      </w:r>
      <w:r>
        <w:rPr>
          <w:rFonts w:ascii="Calibri" w:cs="Calibri" w:eastAsia="Calibri" w:hAnsi="Calibri"/>
          <w:sz w:val="22"/>
          <w:szCs w:val="22"/>
          <w:u w:val="single" w:color="auto"/>
          <w:color w:val="auto"/>
        </w:rPr>
        <w:t>No Precedental Value</w:t>
      </w:r>
    </w:p>
    <w:p>
      <w:pPr>
        <w:spacing w:after="0" w:line="14" w:lineRule="exact"/>
        <w:rPr>
          <w:sz w:val="20"/>
          <w:szCs w:val="20"/>
          <w:color w:val="auto"/>
        </w:rPr>
      </w:pPr>
    </w:p>
    <w:p>
      <w:pPr>
        <w:jc w:val="both"/>
        <w:ind w:firstLine="749"/>
        <w:spacing w:after="0"/>
        <w:rPr>
          <w:sz w:val="20"/>
          <w:szCs w:val="20"/>
          <w:color w:val="auto"/>
        </w:rPr>
      </w:pPr>
      <w:r>
        <w:rPr>
          <w:rFonts w:ascii="Calibri" w:cs="Calibri" w:eastAsia="Calibri" w:hAnsi="Calibri"/>
          <w:sz w:val="22"/>
          <w:szCs w:val="22"/>
          <w:color w:val="auto"/>
        </w:rPr>
        <w:t>The Stpulatng Partes agree that the provisions of this Joint Stpulaton are the result of negotatons based upon the unique circumstances currently represented by the Company’s Applicaton and that the processing of this case sets no precedent for any future cases that the Applicant or others may fle with this Commission. The Stpulatng Partes further agree and represent that neither this Joint Stpulaton nor any Commission order approving the same shall consttute or be cited as precedent or deemed an admission by any Stpulatng Party in any other proceeding except as necessary to enforce its terms before the Commission or any court of competent jurisdicton. The Commission’s decision, if it enters an order approving this Joint Stpulaton, will be binding as to the maters decided regarding the issues described in this Joint Stpulaton, but the decision will not be binding with respect to similar issues that might arise in other proceedings. A Stpulatng Party’s support of this Joint Stpulaton may difer from its positon or testmony in other cases. To the extent there is a diference, the Stpulatng Partes are not waiving their respectve positons in other cases. Because this is a stpulated agreement, the Stpulatng Partes are under no obligaton to take the same positon as set out in this Joint Stpulaton in other dockets.</w:t>
      </w:r>
    </w:p>
    <w:p>
      <w:pPr>
        <w:spacing w:after="0" w:line="275"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 xml:space="preserve">F. </w:t>
      </w:r>
      <w:r>
        <w:rPr>
          <w:rFonts w:ascii="Calibri" w:cs="Calibri" w:eastAsia="Calibri" w:hAnsi="Calibri"/>
          <w:sz w:val="22"/>
          <w:szCs w:val="22"/>
          <w:u w:val="single" w:color="auto"/>
          <w:color w:val="auto"/>
        </w:rPr>
        <w:t>Outstanding Discovery and Motons</w:t>
      </w:r>
    </w:p>
    <w:p>
      <w:pPr>
        <w:spacing w:after="0" w:line="12"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As between and among the Stpulatng Partes, any pending requests for informaton or discovery and any motons (other than the Moton to Strike fled by the Oklahoma Associaton of Electric Cooperatves) that may be pending before the Commission are hereby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8" w:name="page9"/>
    <w:bookmarkEnd w:id="8"/>
    <w:p>
      <w:pPr>
        <w:jc w:val="both"/>
        <w:ind w:firstLine="749"/>
        <w:spacing w:after="0" w:line="238" w:lineRule="auto"/>
        <w:rPr>
          <w:sz w:val="20"/>
          <w:szCs w:val="20"/>
          <w:color w:val="auto"/>
        </w:rPr>
      </w:pPr>
      <w:r>
        <w:rPr>
          <w:rFonts w:ascii="Calibri" w:cs="Calibri" w:eastAsia="Calibri" w:hAnsi="Calibri"/>
          <w:sz w:val="22"/>
          <w:szCs w:val="22"/>
          <w:color w:val="auto"/>
        </w:rPr>
        <w:t>WHEREFORE, the Stpulatng Partes hereby submit this Joint Stpulaton and Setlement Agreement to the Commission as their negotated setlement of this proceeding with respect to all issues raised within the Applicaton fled herein by Oklahoma Gas and Electric Company or by Stpulatng Partes to this case, and respectully request the Commission to issue an Order approving the recommendatons of this Joint Stpulaton and Setlement Agreement.</w:t>
      </w:r>
    </w:p>
    <w:p>
      <w:pPr>
        <w:spacing w:after="0" w:line="274"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OKLAHOMA GAS AND ELECTRIC COMPANY</w:t>
      </w:r>
    </w:p>
    <w:p>
      <w:pPr>
        <w:spacing w:after="0" w:line="15" w:lineRule="exact"/>
        <w:rPr>
          <w:sz w:val="20"/>
          <w:szCs w:val="20"/>
          <w:color w:val="auto"/>
        </w:rPr>
      </w:pPr>
    </w:p>
    <w:p>
      <w:pPr>
        <w:ind w:left="20"/>
        <w:spacing w:after="0"/>
        <w:tabs>
          <w:tab w:leader="none" w:pos="1320" w:val="left"/>
          <w:tab w:leader="none" w:pos="3980" w:val="left"/>
        </w:tabs>
        <w:rPr>
          <w:sz w:val="20"/>
          <w:szCs w:val="20"/>
          <w:color w:val="auto"/>
        </w:rPr>
      </w:pPr>
      <w:r>
        <w:rPr>
          <w:rFonts w:ascii="Calibri" w:cs="Calibri" w:eastAsia="Calibri" w:hAnsi="Calibri"/>
          <w:sz w:val="22"/>
          <w:szCs w:val="22"/>
          <w:color w:val="auto"/>
        </w:rPr>
        <w:t>Dated:</w:t>
      </w:r>
      <w:r>
        <w:rPr>
          <w:sz w:val="20"/>
          <w:szCs w:val="20"/>
          <w:color w:val="auto"/>
        </w:rPr>
        <w:tab/>
      </w:r>
      <w:r>
        <w:rPr>
          <w:rFonts w:ascii="Calibri" w:cs="Calibri" w:eastAsia="Calibri" w:hAnsi="Calibri"/>
          <w:sz w:val="22"/>
          <w:szCs w:val="22"/>
          <w:color w:val="auto"/>
        </w:rPr>
        <w:t>6/12/24</w:t>
      </w:r>
      <w:r>
        <w:rPr>
          <w:sz w:val="20"/>
          <w:szCs w:val="20"/>
          <w:color w:val="auto"/>
        </w:rPr>
        <w:tab/>
      </w:r>
      <w:r>
        <w:rPr>
          <w:rFonts w:ascii="Calibri" w:cs="Calibri" w:eastAsia="Calibri" w:hAnsi="Calibri"/>
          <w:sz w:val="22"/>
          <w:szCs w:val="22"/>
          <w:color w:val="auto"/>
        </w:rPr>
        <w:t>By:/s/ Ken Miller</w:t>
      </w:r>
    </w:p>
    <w:p>
      <w:pPr>
        <w:spacing w:after="0" w:line="28"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Kenneth Miller, Vice President, Public and Regulatory Afairs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-162560</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PUBLIC UTILITY DIVISION</w:t>
      </w:r>
    </w:p>
    <w:p>
      <w:pPr>
        <w:spacing w:after="0" w:line="1"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OKLAHOMA CORPORATION COMMISSION</w:t>
      </w:r>
    </w:p>
    <w:p>
      <w:pPr>
        <w:spacing w:after="0" w:line="15" w:lineRule="exact"/>
        <w:rPr>
          <w:sz w:val="20"/>
          <w:szCs w:val="20"/>
          <w:color w:val="auto"/>
        </w:rPr>
      </w:pPr>
    </w:p>
    <w:p>
      <w:pPr>
        <w:ind w:left="20"/>
        <w:spacing w:after="0"/>
        <w:tabs>
          <w:tab w:leader="none" w:pos="1320" w:val="left"/>
          <w:tab w:leader="none" w:pos="3980" w:val="left"/>
        </w:tabs>
        <w:rPr>
          <w:sz w:val="20"/>
          <w:szCs w:val="20"/>
          <w:color w:val="auto"/>
        </w:rPr>
      </w:pPr>
      <w:r>
        <w:rPr>
          <w:rFonts w:ascii="Calibri" w:cs="Calibri" w:eastAsia="Calibri" w:hAnsi="Calibri"/>
          <w:sz w:val="22"/>
          <w:szCs w:val="22"/>
          <w:color w:val="auto"/>
        </w:rPr>
        <w:t>Dated:</w:t>
      </w:r>
      <w:r>
        <w:rPr>
          <w:sz w:val="20"/>
          <w:szCs w:val="20"/>
          <w:color w:val="auto"/>
        </w:rPr>
        <w:tab/>
      </w:r>
      <w:r>
        <w:rPr>
          <w:rFonts w:ascii="Calibri" w:cs="Calibri" w:eastAsia="Calibri" w:hAnsi="Calibri"/>
          <w:sz w:val="22"/>
          <w:szCs w:val="22"/>
          <w:color w:val="auto"/>
        </w:rPr>
        <w:t>6/12/24</w:t>
      </w:r>
      <w:r>
        <w:rPr>
          <w:sz w:val="20"/>
          <w:szCs w:val="20"/>
          <w:color w:val="auto"/>
        </w:rPr>
        <w:tab/>
      </w:r>
      <w:r>
        <w:rPr>
          <w:rFonts w:ascii="Calibri" w:cs="Calibri" w:eastAsia="Calibri" w:hAnsi="Calibri"/>
          <w:sz w:val="21"/>
          <w:szCs w:val="21"/>
          <w:color w:val="auto"/>
        </w:rPr>
        <w:t>By:/s/ Mark Argenbright</w:t>
      </w:r>
    </w:p>
    <w:p>
      <w:pPr>
        <w:spacing w:after="0" w:line="26" w:lineRule="exact"/>
        <w:rPr>
          <w:sz w:val="20"/>
          <w:szCs w:val="20"/>
          <w:color w:val="auto"/>
        </w:rPr>
      </w:pPr>
    </w:p>
    <w:p>
      <w:pPr>
        <w:jc w:val="center"/>
        <w:ind w:right="280"/>
        <w:spacing w:after="0"/>
        <w:rPr>
          <w:sz w:val="20"/>
          <w:szCs w:val="20"/>
          <w:color w:val="auto"/>
        </w:rPr>
      </w:pPr>
      <w:r>
        <w:rPr>
          <w:rFonts w:ascii="Calibri" w:cs="Calibri" w:eastAsia="Calibri" w:hAnsi="Calibri"/>
          <w:sz w:val="22"/>
          <w:szCs w:val="22"/>
          <w:color w:val="auto"/>
        </w:rPr>
        <w:t>Mark Argenbright,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-160655</wp:posOffset>
            </wp:positionV>
            <wp:extent cx="655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OKLAHOMA OFFICE OF THE ATTORNEY GENERAL</w:t>
      </w:r>
    </w:p>
    <w:p>
      <w:pPr>
        <w:spacing w:after="0" w:line="15" w:lineRule="exact"/>
        <w:rPr>
          <w:sz w:val="20"/>
          <w:szCs w:val="20"/>
          <w:color w:val="auto"/>
        </w:rPr>
      </w:pPr>
    </w:p>
    <w:p>
      <w:pPr>
        <w:ind w:left="20"/>
        <w:spacing w:after="0"/>
        <w:tabs>
          <w:tab w:leader="none" w:pos="1320" w:val="left"/>
          <w:tab w:leader="none" w:pos="3980" w:val="left"/>
        </w:tabs>
        <w:rPr>
          <w:sz w:val="20"/>
          <w:szCs w:val="20"/>
          <w:color w:val="auto"/>
        </w:rPr>
      </w:pPr>
      <w:r>
        <w:rPr>
          <w:rFonts w:ascii="Calibri" w:cs="Calibri" w:eastAsia="Calibri" w:hAnsi="Calibri"/>
          <w:sz w:val="22"/>
          <w:szCs w:val="22"/>
          <w:color w:val="auto"/>
        </w:rPr>
        <w:t>Dated:</w:t>
      </w:r>
      <w:r>
        <w:rPr>
          <w:sz w:val="20"/>
          <w:szCs w:val="20"/>
          <w:color w:val="auto"/>
        </w:rPr>
        <w:tab/>
      </w:r>
      <w:r>
        <w:rPr>
          <w:rFonts w:ascii="Calibri" w:cs="Calibri" w:eastAsia="Calibri" w:hAnsi="Calibri"/>
          <w:sz w:val="22"/>
          <w:szCs w:val="22"/>
          <w:color w:val="auto"/>
        </w:rPr>
        <w:t>6/12/24</w:t>
      </w:r>
      <w:r>
        <w:rPr>
          <w:sz w:val="20"/>
          <w:szCs w:val="20"/>
          <w:color w:val="auto"/>
        </w:rPr>
        <w:tab/>
      </w:r>
      <w:r>
        <w:rPr>
          <w:rFonts w:ascii="Calibri" w:cs="Calibri" w:eastAsia="Calibri" w:hAnsi="Calibri"/>
          <w:sz w:val="21"/>
          <w:szCs w:val="21"/>
          <w:color w:val="auto"/>
        </w:rPr>
        <w:t>By:/s/ A. Chase Snodgrass</w:t>
      </w:r>
    </w:p>
    <w:p>
      <w:pPr>
        <w:spacing w:after="0" w:line="28"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A. Chase Snodgrass, Deputy Atorney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-162560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OKLAHOMA INDUSTRIAL ENERGY CONSUMERS</w:t>
      </w:r>
    </w:p>
    <w:p>
      <w:pPr>
        <w:spacing w:after="0" w:line="15" w:lineRule="exact"/>
        <w:rPr>
          <w:sz w:val="20"/>
          <w:szCs w:val="20"/>
          <w:color w:val="auto"/>
        </w:rPr>
      </w:pPr>
    </w:p>
    <w:p>
      <w:pPr>
        <w:ind w:left="20"/>
        <w:spacing w:after="0"/>
        <w:tabs>
          <w:tab w:leader="none" w:pos="1320" w:val="left"/>
          <w:tab w:leader="none" w:pos="3980" w:val="left"/>
        </w:tabs>
        <w:rPr>
          <w:sz w:val="20"/>
          <w:szCs w:val="20"/>
          <w:color w:val="auto"/>
        </w:rPr>
      </w:pPr>
      <w:r>
        <w:rPr>
          <w:rFonts w:ascii="Calibri" w:cs="Calibri" w:eastAsia="Calibri" w:hAnsi="Calibri"/>
          <w:sz w:val="22"/>
          <w:szCs w:val="22"/>
          <w:color w:val="auto"/>
        </w:rPr>
        <w:t>Dated:</w:t>
      </w:r>
      <w:r>
        <w:rPr>
          <w:sz w:val="20"/>
          <w:szCs w:val="20"/>
          <w:color w:val="auto"/>
        </w:rPr>
        <w:tab/>
      </w:r>
      <w:r>
        <w:rPr>
          <w:rFonts w:ascii="Calibri" w:cs="Calibri" w:eastAsia="Calibri" w:hAnsi="Calibri"/>
          <w:sz w:val="22"/>
          <w:szCs w:val="22"/>
          <w:color w:val="auto"/>
        </w:rPr>
        <w:t>6/12/24</w:t>
      </w:r>
      <w:r>
        <w:rPr>
          <w:sz w:val="20"/>
          <w:szCs w:val="20"/>
          <w:color w:val="auto"/>
        </w:rPr>
        <w:tab/>
      </w:r>
      <w:r>
        <w:rPr>
          <w:rFonts w:ascii="Calibri" w:cs="Calibri" w:eastAsia="Calibri" w:hAnsi="Calibri"/>
          <w:sz w:val="21"/>
          <w:szCs w:val="21"/>
          <w:color w:val="auto"/>
        </w:rPr>
        <w:t>By:/s/ Thomas P. Schroedter</w:t>
      </w:r>
    </w:p>
    <w:p>
      <w:pPr>
        <w:spacing w:after="0" w:line="28"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Thomas P. Schroedter, Oklahoma Industrial Energy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-162560</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OG&amp;E SHAREHOLDERS ASSOCIATION</w:t>
      </w:r>
    </w:p>
    <w:p>
      <w:pPr>
        <w:spacing w:after="0" w:line="13" w:lineRule="exact"/>
        <w:rPr>
          <w:sz w:val="20"/>
          <w:szCs w:val="20"/>
          <w:color w:val="auto"/>
        </w:rPr>
      </w:pPr>
    </w:p>
    <w:p>
      <w:pPr>
        <w:ind w:left="20"/>
        <w:spacing w:after="0"/>
        <w:tabs>
          <w:tab w:leader="none" w:pos="1320" w:val="left"/>
          <w:tab w:leader="none" w:pos="3980" w:val="left"/>
        </w:tabs>
        <w:rPr>
          <w:sz w:val="20"/>
          <w:szCs w:val="20"/>
          <w:color w:val="auto"/>
        </w:rPr>
      </w:pPr>
      <w:r>
        <w:rPr>
          <w:rFonts w:ascii="Calibri" w:cs="Calibri" w:eastAsia="Calibri" w:hAnsi="Calibri"/>
          <w:sz w:val="22"/>
          <w:szCs w:val="22"/>
          <w:color w:val="auto"/>
        </w:rPr>
        <w:t>Dated:</w:t>
      </w:r>
      <w:r>
        <w:rPr>
          <w:sz w:val="20"/>
          <w:szCs w:val="20"/>
          <w:color w:val="auto"/>
        </w:rPr>
        <w:tab/>
      </w:r>
      <w:r>
        <w:rPr>
          <w:rFonts w:ascii="Calibri" w:cs="Calibri" w:eastAsia="Calibri" w:hAnsi="Calibri"/>
          <w:sz w:val="22"/>
          <w:szCs w:val="22"/>
          <w:color w:val="auto"/>
        </w:rPr>
        <w:t>6/12/24</w:t>
      </w:r>
      <w:r>
        <w:rPr>
          <w:sz w:val="20"/>
          <w:szCs w:val="20"/>
          <w:color w:val="auto"/>
        </w:rPr>
        <w:tab/>
      </w:r>
      <w:r>
        <w:rPr>
          <w:rFonts w:ascii="Calibri" w:cs="Calibri" w:eastAsia="Calibri" w:hAnsi="Calibri"/>
          <w:sz w:val="21"/>
          <w:szCs w:val="21"/>
          <w:color w:val="auto"/>
        </w:rPr>
        <w:t>By:/s/ Jack G. Clark Jr.</w:t>
      </w:r>
    </w:p>
    <w:p>
      <w:pPr>
        <w:spacing w:after="0" w:line="28"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Jack G. Clark Jr., OG&amp;E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-161290</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WALMART INC.</w:t>
      </w:r>
    </w:p>
    <w:p>
      <w:pPr>
        <w:spacing w:after="0" w:line="15" w:lineRule="exact"/>
        <w:rPr>
          <w:sz w:val="20"/>
          <w:szCs w:val="20"/>
          <w:color w:val="auto"/>
        </w:rPr>
      </w:pPr>
    </w:p>
    <w:p>
      <w:pPr>
        <w:ind w:left="20"/>
        <w:spacing w:after="0"/>
        <w:tabs>
          <w:tab w:leader="none" w:pos="1320" w:val="left"/>
          <w:tab w:leader="none" w:pos="3980" w:val="left"/>
        </w:tabs>
        <w:rPr>
          <w:sz w:val="20"/>
          <w:szCs w:val="20"/>
          <w:color w:val="auto"/>
        </w:rPr>
      </w:pPr>
      <w:r>
        <w:rPr>
          <w:rFonts w:ascii="Calibri" w:cs="Calibri" w:eastAsia="Calibri" w:hAnsi="Calibri"/>
          <w:sz w:val="22"/>
          <w:szCs w:val="22"/>
          <w:color w:val="auto"/>
        </w:rPr>
        <w:t>Dated:</w:t>
      </w:r>
      <w:r>
        <w:rPr>
          <w:sz w:val="20"/>
          <w:szCs w:val="20"/>
          <w:color w:val="auto"/>
        </w:rPr>
        <w:tab/>
      </w:r>
      <w:r>
        <w:rPr>
          <w:rFonts w:ascii="Calibri" w:cs="Calibri" w:eastAsia="Calibri" w:hAnsi="Calibri"/>
          <w:sz w:val="22"/>
          <w:szCs w:val="22"/>
          <w:color w:val="auto"/>
        </w:rPr>
        <w:t>6/12/24</w:t>
      </w:r>
      <w:r>
        <w:rPr>
          <w:sz w:val="20"/>
          <w:szCs w:val="20"/>
          <w:color w:val="auto"/>
        </w:rPr>
        <w:tab/>
      </w:r>
      <w:r>
        <w:rPr>
          <w:rFonts w:ascii="Calibri" w:cs="Calibri" w:eastAsia="Calibri" w:hAnsi="Calibri"/>
          <w:sz w:val="21"/>
          <w:szCs w:val="21"/>
          <w:color w:val="auto"/>
        </w:rPr>
        <w:t>By:/s/ Rick Chamberlain</w:t>
      </w:r>
    </w:p>
    <w:p>
      <w:pPr>
        <w:spacing w:after="0" w:line="28" w:lineRule="exact"/>
        <w:rPr>
          <w:sz w:val="20"/>
          <w:szCs w:val="20"/>
          <w:color w:val="auto"/>
        </w:rPr>
      </w:pPr>
    </w:p>
    <w:p>
      <w:pPr>
        <w:jc w:val="center"/>
        <w:ind w:right="260"/>
        <w:spacing w:after="0"/>
        <w:rPr>
          <w:sz w:val="20"/>
          <w:szCs w:val="20"/>
          <w:color w:val="auto"/>
        </w:rPr>
      </w:pPr>
      <w:r>
        <w:rPr>
          <w:rFonts w:ascii="Calibri" w:cs="Calibri" w:eastAsia="Calibri" w:hAnsi="Calibri"/>
          <w:sz w:val="22"/>
          <w:szCs w:val="22"/>
          <w:color w:val="auto"/>
        </w:rPr>
        <w:t>Rick Chamberlain, Walmart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-162560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AARP</w:t>
      </w:r>
    </w:p>
    <w:p>
      <w:pPr>
        <w:spacing w:after="0" w:line="15" w:lineRule="exact"/>
        <w:rPr>
          <w:sz w:val="20"/>
          <w:szCs w:val="20"/>
          <w:color w:val="auto"/>
        </w:rPr>
      </w:pPr>
    </w:p>
    <w:p>
      <w:pPr>
        <w:ind w:left="20"/>
        <w:spacing w:after="0"/>
        <w:tabs>
          <w:tab w:leader="none" w:pos="3980" w:val="left"/>
        </w:tabs>
        <w:rPr>
          <w:sz w:val="20"/>
          <w:szCs w:val="20"/>
          <w:color w:val="auto"/>
        </w:rPr>
      </w:pPr>
      <w:r>
        <w:rPr>
          <w:rFonts w:ascii="Calibri" w:cs="Calibri" w:eastAsia="Calibri" w:hAnsi="Calibri"/>
          <w:sz w:val="22"/>
          <w:szCs w:val="22"/>
          <w:color w:val="auto"/>
        </w:rPr>
        <w:t>Dated:</w:t>
      </w:r>
      <w:r>
        <w:rPr>
          <w:sz w:val="20"/>
          <w:szCs w:val="20"/>
          <w:color w:val="auto"/>
        </w:rPr>
        <w:tab/>
      </w:r>
      <w:r>
        <w:rPr>
          <w:rFonts w:ascii="Calibri" w:cs="Calibri" w:eastAsia="Calibri" w:hAnsi="Calibri"/>
          <w:sz w:val="22"/>
          <w:szCs w:val="22"/>
          <w:color w:val="auto"/>
        </w:rPr>
        <w:t>By:</w:t>
      </w:r>
    </w:p>
    <w:p>
      <w:pPr>
        <w:spacing w:after="0" w:line="28"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Adam J. Singer, AARP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-161290</wp:posOffset>
            </wp:positionV>
            <wp:extent cx="65576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9" w:name="page10"/>
    <w:bookmarkEnd w:id="9"/>
    <w:p>
      <w:pPr>
        <w:ind w:left="4280"/>
        <w:spacing w:after="0"/>
        <w:rPr>
          <w:sz w:val="20"/>
          <w:szCs w:val="20"/>
          <w:color w:val="auto"/>
        </w:rPr>
      </w:pPr>
      <w:r>
        <w:rPr>
          <w:rFonts w:ascii="Calibri" w:cs="Calibri" w:eastAsia="Calibri" w:hAnsi="Calibri"/>
          <w:sz w:val="22"/>
          <w:szCs w:val="22"/>
          <w:color w:val="auto"/>
        </w:rPr>
        <w:t>FEDERAL EXECUTIVE AGENCIES</w:t>
      </w:r>
    </w:p>
    <w:p>
      <w:pPr>
        <w:spacing w:after="0" w:line="15" w:lineRule="exact"/>
        <w:rPr>
          <w:sz w:val="20"/>
          <w:szCs w:val="20"/>
          <w:color w:val="auto"/>
        </w:rPr>
      </w:pPr>
    </w:p>
    <w:p>
      <w:pPr>
        <w:spacing w:after="0"/>
        <w:tabs>
          <w:tab w:leader="none" w:pos="1300" w:val="left"/>
          <w:tab w:leader="none" w:pos="3960" w:val="left"/>
        </w:tabs>
        <w:rPr>
          <w:sz w:val="20"/>
          <w:szCs w:val="20"/>
          <w:color w:val="auto"/>
        </w:rPr>
      </w:pPr>
      <w:r>
        <w:rPr>
          <w:rFonts w:ascii="Calibri" w:cs="Calibri" w:eastAsia="Calibri" w:hAnsi="Calibri"/>
          <w:sz w:val="22"/>
          <w:szCs w:val="22"/>
          <w:color w:val="auto"/>
        </w:rPr>
        <w:t>Dated:</w:t>
      </w:r>
      <w:r>
        <w:rPr>
          <w:sz w:val="20"/>
          <w:szCs w:val="20"/>
          <w:color w:val="auto"/>
        </w:rPr>
        <w:tab/>
      </w:r>
      <w:r>
        <w:rPr>
          <w:rFonts w:ascii="Calibri" w:cs="Calibri" w:eastAsia="Calibri" w:hAnsi="Calibri"/>
          <w:sz w:val="22"/>
          <w:szCs w:val="22"/>
          <w:color w:val="auto"/>
        </w:rPr>
        <w:t>6/12/24</w:t>
      </w:r>
      <w:r>
        <w:rPr>
          <w:sz w:val="20"/>
          <w:szCs w:val="20"/>
          <w:color w:val="auto"/>
        </w:rPr>
        <w:tab/>
      </w:r>
      <w:r>
        <w:rPr>
          <w:rFonts w:ascii="Calibri" w:cs="Calibri" w:eastAsia="Calibri" w:hAnsi="Calibri"/>
          <w:sz w:val="21"/>
          <w:szCs w:val="21"/>
          <w:color w:val="auto"/>
        </w:rPr>
        <w:t>By:/s/ Ashley N. George</w:t>
      </w:r>
    </w:p>
    <w:p>
      <w:pPr>
        <w:spacing w:after="0" w:line="26" w:lineRule="exact"/>
        <w:rPr>
          <w:sz w:val="20"/>
          <w:szCs w:val="20"/>
          <w:color w:val="auto"/>
        </w:rPr>
      </w:pPr>
    </w:p>
    <w:p>
      <w:pPr>
        <w:jc w:val="center"/>
        <w:ind w:right="80"/>
        <w:spacing w:after="0"/>
        <w:rPr>
          <w:sz w:val="20"/>
          <w:szCs w:val="20"/>
          <w:color w:val="auto"/>
        </w:rPr>
      </w:pPr>
      <w:r>
        <w:rPr>
          <w:rFonts w:ascii="Calibri" w:cs="Calibri" w:eastAsia="Calibri" w:hAnsi="Calibri"/>
          <w:sz w:val="22"/>
          <w:szCs w:val="22"/>
          <w:color w:val="auto"/>
        </w:rPr>
        <w:t>Ashley N. George, Capt, USAF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-160655</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9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960" w:type="dxa"/>
            <w:vAlign w:val="bottom"/>
          </w:tcPr>
          <w:p>
            <w:pPr>
              <w:ind w:left="20"/>
              <w:spacing w:after="0"/>
              <w:rPr>
                <w:sz w:val="20"/>
                <w:szCs w:val="20"/>
                <w:color w:val="auto"/>
              </w:rPr>
            </w:pPr>
            <w:r>
              <w:rPr>
                <w:rFonts w:ascii="Calibri" w:cs="Calibri" w:eastAsia="Calibri" w:hAnsi="Calibri"/>
                <w:sz w:val="22"/>
                <w:szCs w:val="22"/>
                <w:color w:val="auto"/>
              </w:rPr>
              <w:t>CMC STEEL OKLAHOMA</w:t>
            </w:r>
          </w:p>
        </w:tc>
      </w:tr>
      <w:tr>
        <w:trPr>
          <w:trHeight w:val="282"/>
        </w:trPr>
        <w:tc>
          <w:tcPr>
            <w:tcW w:w="900" w:type="dxa"/>
            <w:vAlign w:val="bottom"/>
          </w:tcPr>
          <w:p>
            <w:pPr>
              <w:spacing w:after="0"/>
              <w:rPr>
                <w:sz w:val="20"/>
                <w:szCs w:val="20"/>
                <w:color w:val="auto"/>
              </w:rPr>
            </w:pPr>
            <w:r>
              <w:rPr>
                <w:rFonts w:ascii="Calibri" w:cs="Calibri" w:eastAsia="Calibri" w:hAnsi="Calibri"/>
                <w:sz w:val="22"/>
                <w:szCs w:val="22"/>
                <w:color w:val="auto"/>
              </w:rPr>
              <w:t>Dated:</w:t>
            </w:r>
          </w:p>
        </w:tc>
        <w:tc>
          <w:tcPr>
            <w:tcW w:w="1580" w:type="dxa"/>
            <w:vAlign w:val="bottom"/>
          </w:tcPr>
          <w:p>
            <w:pPr>
              <w:jc w:val="right"/>
              <w:ind w:right="332"/>
              <w:spacing w:after="0"/>
              <w:rPr>
                <w:sz w:val="20"/>
                <w:szCs w:val="20"/>
                <w:color w:val="auto"/>
              </w:rPr>
            </w:pPr>
            <w:r>
              <w:rPr>
                <w:rFonts w:ascii="Calibri" w:cs="Calibri" w:eastAsia="Calibri" w:hAnsi="Calibri"/>
                <w:sz w:val="22"/>
                <w:szCs w:val="22"/>
                <w:color w:val="auto"/>
              </w:rPr>
              <w:t>6/12/24</w:t>
            </w:r>
          </w:p>
        </w:tc>
        <w:tc>
          <w:tcPr>
            <w:tcW w:w="8740" w:type="dxa"/>
            <w:vAlign w:val="bottom"/>
            <w:gridSpan w:val="2"/>
          </w:tcPr>
          <w:p>
            <w:pPr>
              <w:ind w:left="1500"/>
              <w:spacing w:after="0"/>
              <w:rPr>
                <w:sz w:val="20"/>
                <w:szCs w:val="20"/>
                <w:color w:val="auto"/>
              </w:rPr>
            </w:pPr>
            <w:r>
              <w:rPr>
                <w:rFonts w:ascii="Calibri" w:cs="Calibri" w:eastAsia="Calibri" w:hAnsi="Calibri"/>
                <w:sz w:val="22"/>
                <w:szCs w:val="22"/>
                <w:color w:val="auto"/>
              </w:rPr>
              <w:t>By:/s/ Damon Xenopoulos</w:t>
            </w:r>
          </w:p>
        </w:tc>
      </w:tr>
      <w:tr>
        <w:trPr>
          <w:trHeight w:val="43"/>
        </w:trPr>
        <w:tc>
          <w:tcPr>
            <w:tcW w:w="9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69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80"/>
        <w:spacing w:after="0"/>
        <w:rPr>
          <w:sz w:val="20"/>
          <w:szCs w:val="20"/>
          <w:color w:val="auto"/>
        </w:rPr>
      </w:pPr>
      <w:r>
        <w:rPr>
          <w:rFonts w:ascii="Calibri" w:cs="Calibri" w:eastAsia="Calibri" w:hAnsi="Calibri"/>
          <w:sz w:val="22"/>
          <w:szCs w:val="22"/>
          <w:color w:val="auto"/>
        </w:rPr>
        <w:t>OKLAHOMA ASSOCIATION OF ELECTRIC COOPERATIVES</w:t>
      </w:r>
    </w:p>
    <w:p>
      <w:pPr>
        <w:spacing w:after="0" w:line="17" w:lineRule="exact"/>
        <w:rPr>
          <w:sz w:val="20"/>
          <w:szCs w:val="20"/>
          <w:color w:val="auto"/>
        </w:rPr>
      </w:pPr>
    </w:p>
    <w:p>
      <w:pPr>
        <w:spacing w:after="0"/>
        <w:tabs>
          <w:tab w:leader="none" w:pos="1300" w:val="left"/>
          <w:tab w:leader="none" w:pos="3960" w:val="left"/>
        </w:tabs>
        <w:rPr>
          <w:sz w:val="20"/>
          <w:szCs w:val="20"/>
          <w:color w:val="auto"/>
        </w:rPr>
      </w:pPr>
      <w:r>
        <w:rPr>
          <w:rFonts w:ascii="Calibri" w:cs="Calibri" w:eastAsia="Calibri" w:hAnsi="Calibri"/>
          <w:sz w:val="22"/>
          <w:szCs w:val="22"/>
          <w:color w:val="auto"/>
        </w:rPr>
        <w:t>Dated:</w:t>
      </w:r>
      <w:r>
        <w:rPr>
          <w:sz w:val="20"/>
          <w:szCs w:val="20"/>
          <w:color w:val="auto"/>
        </w:rPr>
        <w:tab/>
      </w:r>
      <w:r>
        <w:rPr>
          <w:rFonts w:ascii="Calibri" w:cs="Calibri" w:eastAsia="Calibri" w:hAnsi="Calibri"/>
          <w:sz w:val="22"/>
          <w:szCs w:val="22"/>
          <w:color w:val="auto"/>
        </w:rPr>
        <w:t>6/12/24</w:t>
      </w:r>
      <w:r>
        <w:rPr>
          <w:sz w:val="20"/>
          <w:szCs w:val="20"/>
          <w:color w:val="auto"/>
        </w:rPr>
        <w:tab/>
      </w:r>
      <w:r>
        <w:rPr>
          <w:rFonts w:ascii="Calibri" w:cs="Calibri" w:eastAsia="Calibri" w:hAnsi="Calibri"/>
          <w:sz w:val="21"/>
          <w:szCs w:val="21"/>
          <w:color w:val="auto"/>
        </w:rPr>
        <w:t>By:/s/ J. Eric Turner</w:t>
      </w:r>
    </w:p>
    <w:p>
      <w:pPr>
        <w:spacing w:after="0" w:line="28" w:lineRule="exact"/>
        <w:rPr>
          <w:sz w:val="20"/>
          <w:szCs w:val="20"/>
          <w:color w:val="auto"/>
        </w:rPr>
      </w:pPr>
    </w:p>
    <w:p>
      <w:pPr>
        <w:jc w:val="right"/>
        <w:ind w:right="1680"/>
        <w:spacing w:after="0"/>
        <w:rPr>
          <w:sz w:val="20"/>
          <w:szCs w:val="20"/>
          <w:color w:val="auto"/>
        </w:rPr>
      </w:pPr>
      <w:r>
        <w:rPr>
          <w:rFonts w:ascii="Calibri" w:cs="Calibri" w:eastAsia="Calibri" w:hAnsi="Calibri"/>
          <w:sz w:val="22"/>
          <w:szCs w:val="22"/>
          <w:color w:val="auto"/>
        </w:rPr>
        <w:t>J. Eric Turner, Oklahoma Associaton of Electric Cooperatves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-162560</wp:posOffset>
            </wp:positionV>
            <wp:extent cx="6557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80"/>
        <w:spacing w:after="0"/>
        <w:rPr>
          <w:sz w:val="20"/>
          <w:szCs w:val="20"/>
          <w:color w:val="auto"/>
        </w:rPr>
      </w:pPr>
      <w:r>
        <w:rPr>
          <w:rFonts w:ascii="Calibri" w:cs="Calibri" w:eastAsia="Calibri" w:hAnsi="Calibri"/>
          <w:sz w:val="22"/>
          <w:szCs w:val="22"/>
          <w:color w:val="auto"/>
        </w:rPr>
        <w:t>PETROLEUM ALLIANCE OF OKLAHOMA</w:t>
      </w:r>
    </w:p>
    <w:p>
      <w:pPr>
        <w:spacing w:after="0" w:line="15" w:lineRule="exact"/>
        <w:rPr>
          <w:sz w:val="20"/>
          <w:szCs w:val="20"/>
          <w:color w:val="auto"/>
        </w:rPr>
      </w:pPr>
    </w:p>
    <w:p>
      <w:pPr>
        <w:spacing w:after="0"/>
        <w:tabs>
          <w:tab w:leader="none" w:pos="1300" w:val="left"/>
          <w:tab w:leader="none" w:pos="3960" w:val="left"/>
        </w:tabs>
        <w:rPr>
          <w:sz w:val="20"/>
          <w:szCs w:val="20"/>
          <w:color w:val="auto"/>
        </w:rPr>
      </w:pPr>
      <w:r>
        <w:rPr>
          <w:rFonts w:ascii="Calibri" w:cs="Calibri" w:eastAsia="Calibri" w:hAnsi="Calibri"/>
          <w:sz w:val="22"/>
          <w:szCs w:val="22"/>
          <w:color w:val="auto"/>
        </w:rPr>
        <w:t>Dated:</w:t>
      </w:r>
      <w:r>
        <w:rPr>
          <w:sz w:val="20"/>
          <w:szCs w:val="20"/>
          <w:color w:val="auto"/>
        </w:rPr>
        <w:tab/>
      </w:r>
      <w:r>
        <w:rPr>
          <w:rFonts w:ascii="Calibri" w:cs="Calibri" w:eastAsia="Calibri" w:hAnsi="Calibri"/>
          <w:sz w:val="22"/>
          <w:szCs w:val="22"/>
          <w:color w:val="auto"/>
        </w:rPr>
        <w:t>6/12/24</w:t>
      </w:r>
      <w:r>
        <w:rPr>
          <w:sz w:val="20"/>
          <w:szCs w:val="20"/>
          <w:color w:val="auto"/>
        </w:rPr>
        <w:tab/>
      </w:r>
      <w:r>
        <w:rPr>
          <w:rFonts w:ascii="Calibri" w:cs="Calibri" w:eastAsia="Calibri" w:hAnsi="Calibri"/>
          <w:sz w:val="21"/>
          <w:szCs w:val="21"/>
          <w:color w:val="auto"/>
        </w:rPr>
        <w:t>By:/s/ J. David Jacobson</w:t>
      </w:r>
    </w:p>
    <w:p>
      <w:pPr>
        <w:spacing w:after="0" w:line="26" w:lineRule="exact"/>
        <w:rPr>
          <w:sz w:val="20"/>
          <w:szCs w:val="20"/>
          <w:color w:val="auto"/>
        </w:rPr>
      </w:pPr>
    </w:p>
    <w:p>
      <w:pPr>
        <w:ind w:left="4280"/>
        <w:spacing w:after="0"/>
        <w:rPr>
          <w:sz w:val="20"/>
          <w:szCs w:val="20"/>
          <w:color w:val="auto"/>
        </w:rPr>
      </w:pPr>
      <w:r>
        <w:rPr>
          <w:rFonts w:ascii="Calibri" w:cs="Calibri" w:eastAsia="Calibri" w:hAnsi="Calibri"/>
          <w:sz w:val="22"/>
          <w:szCs w:val="22"/>
          <w:color w:val="auto"/>
        </w:rPr>
        <w:t>J. David Jacobson, Petroleum Alliance of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-161290</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314325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8"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8"/>
    </w:lvl>
    <w:lvl w:ilvl="1">
      <w:lvlJc w:val="left"/>
      <w:lvlText w:val="•"/>
      <w:numFmt w:val="bullet"/>
      <w:start w:val="1"/>
    </w:lvl>
  </w:abstractNum>
  <w:abstractNum w:abstractNumId="4">
    <w:nsid w:val="46E87CCD"/>
    <w:multiLevelType w:val="hybridMultilevel"/>
    <w:lvl w:ilvl="0">
      <w:lvlJc w:val="left"/>
      <w:lvlText w:val="%1."/>
      <w:numFmt w:val="decimal"/>
      <w:start w:val="1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2024-06-13T08:32:19Z</dcterms:created>
  <dcterms:modified xsi:type="dcterms:W3CDTF">2024-06-13T08:32:19Z</dcterms:modified>
</cp:coreProperties>
</file>