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80"/>
        <w:spacing w:after="0"/>
        <w:rPr>
          <w:sz w:val="20"/>
          <w:szCs w:val="20"/>
          <w:color w:val="auto"/>
        </w:rPr>
      </w:pPr>
      <w:r>
        <w:rPr>
          <w:rFonts w:ascii="Calibri" w:cs="Calibri" w:eastAsia="Calibri" w:hAnsi="Calibri"/>
          <w:sz w:val="18"/>
          <w:szCs w:val="18"/>
          <w:color w:val="auto"/>
        </w:rPr>
        <w:t>SCHEDULE 14A</w:t>
      </w:r>
    </w:p>
    <w:p>
      <w:pPr>
        <w:spacing w:after="0" w:line="91" w:lineRule="exact"/>
        <w:rPr>
          <w:sz w:val="24"/>
          <w:szCs w:val="24"/>
          <w:color w:val="auto"/>
        </w:rPr>
      </w:pPr>
    </w:p>
    <w:p>
      <w:pPr>
        <w:ind w:left="4520"/>
        <w:spacing w:after="0"/>
        <w:rPr>
          <w:sz w:val="20"/>
          <w:szCs w:val="20"/>
          <w:color w:val="auto"/>
        </w:rPr>
      </w:pPr>
      <w:r>
        <w:rPr>
          <w:rFonts w:ascii="Calibri" w:cs="Calibri" w:eastAsia="Calibri" w:hAnsi="Calibri"/>
          <w:sz w:val="18"/>
          <w:szCs w:val="18"/>
          <w:color w:val="auto"/>
        </w:rPr>
        <w:t>SCHEDULE 14A INFORMATION</w:t>
      </w:r>
    </w:p>
    <w:p>
      <w:pPr>
        <w:spacing w:after="0" w:line="77" w:lineRule="exact"/>
        <w:rPr>
          <w:sz w:val="24"/>
          <w:szCs w:val="24"/>
          <w:color w:val="auto"/>
        </w:rPr>
      </w:pPr>
    </w:p>
    <w:p>
      <w:pPr>
        <w:ind w:left="3180"/>
        <w:spacing w:after="0"/>
        <w:rPr>
          <w:sz w:val="20"/>
          <w:szCs w:val="20"/>
          <w:color w:val="auto"/>
        </w:rPr>
      </w:pPr>
      <w:r>
        <w:rPr>
          <w:rFonts w:ascii="Calibri" w:cs="Calibri" w:eastAsia="Calibri" w:hAnsi="Calibri"/>
          <w:sz w:val="18"/>
          <w:szCs w:val="18"/>
          <w:color w:val="auto"/>
        </w:rPr>
        <w:t>PROXY STATEMENT PURSUANT TO SECTION 14(A) OF THE SECURITIES</w:t>
      </w:r>
    </w:p>
    <w:p>
      <w:pPr>
        <w:jc w:val="center"/>
        <w:ind w:right="100"/>
        <w:spacing w:after="0" w:line="235" w:lineRule="auto"/>
        <w:rPr>
          <w:sz w:val="20"/>
          <w:szCs w:val="20"/>
          <w:color w:val="auto"/>
        </w:rPr>
      </w:pPr>
      <w:r>
        <w:rPr>
          <w:rFonts w:ascii="Calibri" w:cs="Calibri" w:eastAsia="Calibri" w:hAnsi="Calibri"/>
          <w:sz w:val="18"/>
          <w:szCs w:val="18"/>
          <w:color w:val="auto"/>
        </w:rPr>
        <w:t>EXCHANGE ACT OF 1934 (AMENDMENT NO.)</w:t>
      </w: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Calibri" w:cs="Calibri" w:eastAsia="Calibri" w:hAnsi="Calibri"/>
          <w:sz w:val="18"/>
          <w:szCs w:val="18"/>
          <w:color w:val="auto"/>
        </w:rPr>
        <w:t>Filed by the Registrant [X]</w:t>
      </w:r>
    </w:p>
    <w:p>
      <w:pPr>
        <w:spacing w:after="0" w:line="77" w:lineRule="exact"/>
        <w:rPr>
          <w:sz w:val="24"/>
          <w:szCs w:val="24"/>
          <w:color w:val="auto"/>
        </w:rPr>
      </w:pPr>
    </w:p>
    <w:p>
      <w:pPr>
        <w:spacing w:after="0"/>
        <w:rPr>
          <w:sz w:val="20"/>
          <w:szCs w:val="20"/>
          <w:color w:val="auto"/>
        </w:rPr>
      </w:pPr>
      <w:r>
        <w:rPr>
          <w:rFonts w:ascii="Calibri" w:cs="Calibri" w:eastAsia="Calibri" w:hAnsi="Calibri"/>
          <w:sz w:val="18"/>
          <w:szCs w:val="18"/>
          <w:color w:val="auto"/>
        </w:rPr>
        <w:t>Filed by a Party other than the Registrant [  ]</w:t>
      </w:r>
    </w:p>
    <w:p>
      <w:pPr>
        <w:spacing w:after="0" w:line="91" w:lineRule="exact"/>
        <w:rPr>
          <w:sz w:val="24"/>
          <w:szCs w:val="24"/>
          <w:color w:val="auto"/>
        </w:rPr>
      </w:pPr>
    </w:p>
    <w:p>
      <w:pPr>
        <w:spacing w:after="0"/>
        <w:rPr>
          <w:sz w:val="20"/>
          <w:szCs w:val="20"/>
          <w:color w:val="auto"/>
        </w:rPr>
      </w:pPr>
      <w:r>
        <w:rPr>
          <w:rFonts w:ascii="Calibri" w:cs="Calibri" w:eastAsia="Calibri" w:hAnsi="Calibri"/>
          <w:sz w:val="18"/>
          <w:szCs w:val="18"/>
          <w:color w:val="auto"/>
        </w:rPr>
        <w:t>Check the appropriate box:</w:t>
      </w:r>
    </w:p>
    <w:p>
      <w:pPr>
        <w:spacing w:after="0" w:line="91" w:lineRule="exact"/>
        <w:rPr>
          <w:sz w:val="24"/>
          <w:szCs w:val="24"/>
          <w:color w:val="auto"/>
        </w:rPr>
      </w:pPr>
    </w:p>
    <w:p>
      <w:pPr>
        <w:spacing w:after="0"/>
        <w:rPr>
          <w:sz w:val="20"/>
          <w:szCs w:val="20"/>
          <w:color w:val="auto"/>
        </w:rPr>
      </w:pPr>
      <w:r>
        <w:rPr>
          <w:rFonts w:ascii="Calibri" w:cs="Calibri" w:eastAsia="Calibri" w:hAnsi="Calibri"/>
          <w:sz w:val="18"/>
          <w:szCs w:val="18"/>
          <w:color w:val="auto"/>
        </w:rPr>
        <w:t>[  ] Preliminary Proxy Statement</w:t>
      </w:r>
    </w:p>
    <w:p>
      <w:pPr>
        <w:spacing w:after="0" w:line="82" w:lineRule="exact"/>
        <w:rPr>
          <w:sz w:val="24"/>
          <w:szCs w:val="24"/>
          <w:color w:val="auto"/>
        </w:rPr>
      </w:pPr>
    </w:p>
    <w:p>
      <w:pPr>
        <w:ind w:right="5360" w:firstLine="8"/>
        <w:spacing w:after="0" w:line="333" w:lineRule="auto"/>
        <w:tabs>
          <w:tab w:leader="none" w:pos="173" w:val="left"/>
        </w:tabs>
        <w:numPr>
          <w:ilvl w:val="0"/>
          <w:numId w:val="1"/>
        </w:numPr>
        <w:rPr>
          <w:rFonts w:ascii="Calibri" w:cs="Calibri" w:eastAsia="Calibri" w:hAnsi="Calibri"/>
          <w:sz w:val="18"/>
          <w:szCs w:val="18"/>
          <w:color w:val="auto"/>
        </w:rPr>
      </w:pPr>
      <w:r>
        <w:rPr>
          <w:rFonts w:ascii="Calibri" w:cs="Calibri" w:eastAsia="Calibri" w:hAnsi="Calibri"/>
          <w:sz w:val="18"/>
          <w:szCs w:val="18"/>
          <w:color w:val="auto"/>
        </w:rPr>
        <w:t>] Confdental, for Use of the Commission Only (as permited by Rule 14a-6(e)(2)) [X] Defnitve Proxy Statement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120" w:type="dxa"/>
            <w:vAlign w:val="bottom"/>
          </w:tcPr>
          <w:p>
            <w:pPr>
              <w:spacing w:after="0"/>
              <w:rPr>
                <w:sz w:val="20"/>
                <w:szCs w:val="20"/>
                <w:color w:val="auto"/>
              </w:rPr>
            </w:pPr>
            <w:r>
              <w:rPr>
                <w:rFonts w:ascii="Calibri" w:cs="Calibri" w:eastAsia="Calibri" w:hAnsi="Calibri"/>
                <w:sz w:val="18"/>
                <w:szCs w:val="18"/>
                <w:color w:val="auto"/>
              </w:rPr>
              <w:t>[</w:t>
            </w:r>
          </w:p>
        </w:tc>
        <w:tc>
          <w:tcPr>
            <w:tcW w:w="160" w:type="dxa"/>
            <w:vAlign w:val="bottom"/>
          </w:tcPr>
          <w:p>
            <w:pPr>
              <w:jc w:val="right"/>
              <w:spacing w:after="0"/>
              <w:rPr>
                <w:sz w:val="20"/>
                <w:szCs w:val="20"/>
                <w:color w:val="auto"/>
              </w:rPr>
            </w:pPr>
            <w:r>
              <w:rPr>
                <w:rFonts w:ascii="Calibri" w:cs="Calibri" w:eastAsia="Calibri" w:hAnsi="Calibri"/>
                <w:sz w:val="18"/>
                <w:szCs w:val="18"/>
                <w:color w:val="auto"/>
              </w:rPr>
              <w:t>]</w:t>
            </w:r>
          </w:p>
        </w:tc>
        <w:tc>
          <w:tcPr>
            <w:tcW w:w="7860" w:type="dxa"/>
            <w:vAlign w:val="bottom"/>
          </w:tcPr>
          <w:p>
            <w:pPr>
              <w:ind w:left="40"/>
              <w:spacing w:after="0"/>
              <w:rPr>
                <w:sz w:val="20"/>
                <w:szCs w:val="20"/>
                <w:color w:val="auto"/>
              </w:rPr>
            </w:pPr>
            <w:r>
              <w:rPr>
                <w:rFonts w:ascii="Calibri" w:cs="Calibri" w:eastAsia="Calibri" w:hAnsi="Calibri"/>
                <w:sz w:val="18"/>
                <w:szCs w:val="18"/>
                <w:color w:val="auto"/>
              </w:rPr>
              <w:t>Defnitve Additonal Materials</w:t>
            </w:r>
          </w:p>
        </w:tc>
      </w:tr>
      <w:tr>
        <w:trPr>
          <w:trHeight w:val="297"/>
        </w:trPr>
        <w:tc>
          <w:tcPr>
            <w:tcW w:w="120" w:type="dxa"/>
            <w:vAlign w:val="bottom"/>
          </w:tcPr>
          <w:p>
            <w:pPr>
              <w:spacing w:after="0"/>
              <w:rPr>
                <w:sz w:val="20"/>
                <w:szCs w:val="20"/>
                <w:color w:val="auto"/>
              </w:rPr>
            </w:pPr>
            <w:r>
              <w:rPr>
                <w:rFonts w:ascii="Calibri" w:cs="Calibri" w:eastAsia="Calibri" w:hAnsi="Calibri"/>
                <w:sz w:val="18"/>
                <w:szCs w:val="18"/>
                <w:color w:val="auto"/>
              </w:rPr>
              <w:t>[</w:t>
            </w:r>
          </w:p>
        </w:tc>
        <w:tc>
          <w:tcPr>
            <w:tcW w:w="160" w:type="dxa"/>
            <w:vAlign w:val="bottom"/>
          </w:tcPr>
          <w:p>
            <w:pPr>
              <w:jc w:val="right"/>
              <w:spacing w:after="0"/>
              <w:rPr>
                <w:sz w:val="20"/>
                <w:szCs w:val="20"/>
                <w:color w:val="auto"/>
              </w:rPr>
            </w:pPr>
            <w:r>
              <w:rPr>
                <w:rFonts w:ascii="Calibri" w:cs="Calibri" w:eastAsia="Calibri" w:hAnsi="Calibri"/>
                <w:sz w:val="18"/>
                <w:szCs w:val="18"/>
                <w:color w:val="auto"/>
              </w:rPr>
              <w:t>]</w:t>
            </w:r>
          </w:p>
        </w:tc>
        <w:tc>
          <w:tcPr>
            <w:tcW w:w="7860" w:type="dxa"/>
            <w:vAlign w:val="bottom"/>
          </w:tcPr>
          <w:p>
            <w:pPr>
              <w:ind w:left="40"/>
              <w:spacing w:after="0"/>
              <w:rPr>
                <w:sz w:val="20"/>
                <w:szCs w:val="20"/>
                <w:color w:val="auto"/>
              </w:rPr>
            </w:pPr>
            <w:r>
              <w:rPr>
                <w:rFonts w:ascii="Calibri" w:cs="Calibri" w:eastAsia="Calibri" w:hAnsi="Calibri"/>
                <w:sz w:val="18"/>
                <w:szCs w:val="18"/>
                <w:color w:val="auto"/>
              </w:rPr>
              <w:t>Solicitng Material under Rule 14a-12</w:t>
            </w:r>
          </w:p>
        </w:tc>
      </w:tr>
      <w:tr>
        <w:trPr>
          <w:trHeight w:val="297"/>
        </w:trPr>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60" w:type="dxa"/>
            <w:vAlign w:val="bottom"/>
          </w:tcPr>
          <w:p>
            <w:pPr>
              <w:jc w:val="center"/>
              <w:ind w:left="2750"/>
              <w:spacing w:after="0"/>
              <w:rPr>
                <w:sz w:val="20"/>
                <w:szCs w:val="20"/>
                <w:color w:val="auto"/>
              </w:rPr>
            </w:pPr>
            <w:r>
              <w:rPr>
                <w:rFonts w:ascii="Calibri" w:cs="Calibri" w:eastAsia="Calibri" w:hAnsi="Calibri"/>
                <w:sz w:val="18"/>
                <w:szCs w:val="18"/>
                <w:color w:val="auto"/>
                <w:w w:val="95"/>
              </w:rPr>
              <w:t>OGE ENERGY CORP.</w:t>
            </w:r>
          </w:p>
        </w:tc>
      </w:tr>
      <w:tr>
        <w:trPr>
          <w:trHeight w:val="338"/>
        </w:trPr>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60" w:type="dxa"/>
            <w:vAlign w:val="bottom"/>
          </w:tcPr>
          <w:p>
            <w:pPr>
              <w:jc w:val="center"/>
              <w:ind w:left="2730"/>
              <w:spacing w:after="0"/>
              <w:rPr>
                <w:sz w:val="20"/>
                <w:szCs w:val="20"/>
                <w:color w:val="auto"/>
              </w:rPr>
            </w:pPr>
            <w:r>
              <w:rPr>
                <w:rFonts w:ascii="Calibri" w:cs="Calibri" w:eastAsia="Calibri" w:hAnsi="Calibri"/>
                <w:sz w:val="18"/>
                <w:szCs w:val="18"/>
                <w:color w:val="auto"/>
                <w:w w:val="98"/>
              </w:rPr>
              <w:t>(Name of Registrant as Specifed In Its Charter)</w:t>
            </w:r>
          </w:p>
        </w:tc>
      </w:tr>
      <w:tr>
        <w:trPr>
          <w:trHeight w:val="338"/>
        </w:trPr>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60" w:type="dxa"/>
            <w:vAlign w:val="bottom"/>
          </w:tcPr>
          <w:p>
            <w:pPr>
              <w:jc w:val="center"/>
              <w:ind w:left="2750"/>
              <w:spacing w:after="0"/>
              <w:rPr>
                <w:sz w:val="20"/>
                <w:szCs w:val="20"/>
                <w:color w:val="auto"/>
              </w:rPr>
            </w:pPr>
            <w:r>
              <w:rPr>
                <w:rFonts w:ascii="Calibri" w:cs="Calibri" w:eastAsia="Calibri" w:hAnsi="Calibri"/>
                <w:sz w:val="18"/>
                <w:szCs w:val="18"/>
                <w:color w:val="auto"/>
                <w:w w:val="96"/>
              </w:rPr>
              <w:t>(Name of Person(s) Filing Proxy Statement if other than the Registrant)</w:t>
            </w:r>
          </w:p>
        </w:tc>
      </w:tr>
      <w:tr>
        <w:trPr>
          <w:trHeight w:val="351"/>
        </w:trPr>
        <w:tc>
          <w:tcPr>
            <w:tcW w:w="8140" w:type="dxa"/>
            <w:vAlign w:val="bottom"/>
            <w:gridSpan w:val="3"/>
          </w:tcPr>
          <w:p>
            <w:pPr>
              <w:spacing w:after="0"/>
              <w:rPr>
                <w:sz w:val="20"/>
                <w:szCs w:val="20"/>
                <w:color w:val="auto"/>
              </w:rPr>
            </w:pPr>
            <w:r>
              <w:rPr>
                <w:rFonts w:ascii="Calibri" w:cs="Calibri" w:eastAsia="Calibri" w:hAnsi="Calibri"/>
                <w:sz w:val="18"/>
                <w:szCs w:val="18"/>
                <w:color w:val="auto"/>
              </w:rPr>
              <w:t>Payment of Filing Fee (Check the appropriate box):</w:t>
            </w:r>
          </w:p>
        </w:tc>
      </w:tr>
      <w:tr>
        <w:trPr>
          <w:trHeight w:val="310"/>
        </w:trPr>
        <w:tc>
          <w:tcPr>
            <w:tcW w:w="280" w:type="dxa"/>
            <w:vAlign w:val="bottom"/>
            <w:gridSpan w:val="2"/>
          </w:tcPr>
          <w:p>
            <w:pPr>
              <w:spacing w:after="0"/>
              <w:rPr>
                <w:sz w:val="20"/>
                <w:szCs w:val="20"/>
                <w:color w:val="auto"/>
              </w:rPr>
            </w:pPr>
            <w:r>
              <w:rPr>
                <w:rFonts w:ascii="Calibri" w:cs="Calibri" w:eastAsia="Calibri" w:hAnsi="Calibri"/>
                <w:sz w:val="18"/>
                <w:szCs w:val="18"/>
                <w:color w:val="auto"/>
              </w:rPr>
              <w:t>[X]</w:t>
            </w:r>
          </w:p>
        </w:tc>
        <w:tc>
          <w:tcPr>
            <w:tcW w:w="7860" w:type="dxa"/>
            <w:vAlign w:val="bottom"/>
          </w:tcPr>
          <w:p>
            <w:pPr>
              <w:ind w:left="40"/>
              <w:spacing w:after="0"/>
              <w:rPr>
                <w:sz w:val="20"/>
                <w:szCs w:val="20"/>
                <w:color w:val="auto"/>
              </w:rPr>
            </w:pPr>
            <w:r>
              <w:rPr>
                <w:rFonts w:ascii="Calibri" w:cs="Calibri" w:eastAsia="Calibri" w:hAnsi="Calibri"/>
                <w:sz w:val="18"/>
                <w:szCs w:val="18"/>
                <w:color w:val="auto"/>
              </w:rPr>
              <w:t>No fee required</w:t>
            </w:r>
          </w:p>
        </w:tc>
      </w:tr>
      <w:tr>
        <w:trPr>
          <w:trHeight w:val="297"/>
        </w:trPr>
        <w:tc>
          <w:tcPr>
            <w:tcW w:w="120" w:type="dxa"/>
            <w:vAlign w:val="bottom"/>
          </w:tcPr>
          <w:p>
            <w:pPr>
              <w:spacing w:after="0"/>
              <w:rPr>
                <w:sz w:val="20"/>
                <w:szCs w:val="20"/>
                <w:color w:val="auto"/>
              </w:rPr>
            </w:pPr>
            <w:r>
              <w:rPr>
                <w:rFonts w:ascii="Calibri" w:cs="Calibri" w:eastAsia="Calibri" w:hAnsi="Calibri"/>
                <w:sz w:val="18"/>
                <w:szCs w:val="18"/>
                <w:color w:val="auto"/>
              </w:rPr>
              <w:t>[</w:t>
            </w:r>
          </w:p>
        </w:tc>
        <w:tc>
          <w:tcPr>
            <w:tcW w:w="160" w:type="dxa"/>
            <w:vAlign w:val="bottom"/>
          </w:tcPr>
          <w:p>
            <w:pPr>
              <w:jc w:val="right"/>
              <w:spacing w:after="0"/>
              <w:rPr>
                <w:sz w:val="20"/>
                <w:szCs w:val="20"/>
                <w:color w:val="auto"/>
              </w:rPr>
            </w:pPr>
            <w:r>
              <w:rPr>
                <w:rFonts w:ascii="Calibri" w:cs="Calibri" w:eastAsia="Calibri" w:hAnsi="Calibri"/>
                <w:sz w:val="18"/>
                <w:szCs w:val="18"/>
                <w:color w:val="auto"/>
              </w:rPr>
              <w:t>]</w:t>
            </w:r>
          </w:p>
        </w:tc>
        <w:tc>
          <w:tcPr>
            <w:tcW w:w="7860" w:type="dxa"/>
            <w:vAlign w:val="bottom"/>
          </w:tcPr>
          <w:p>
            <w:pPr>
              <w:ind w:left="40"/>
              <w:spacing w:after="0"/>
              <w:rPr>
                <w:sz w:val="20"/>
                <w:szCs w:val="20"/>
                <w:color w:val="auto"/>
              </w:rPr>
            </w:pPr>
            <w:r>
              <w:rPr>
                <w:rFonts w:ascii="Calibri" w:cs="Calibri" w:eastAsia="Calibri" w:hAnsi="Calibri"/>
                <w:sz w:val="18"/>
                <w:szCs w:val="18"/>
                <w:color w:val="auto"/>
              </w:rPr>
              <w:t>Fee computed on table below per Exchange Act Rules 14a-6(i)(1) and 0-11.</w:t>
            </w:r>
          </w:p>
        </w:tc>
      </w:tr>
    </w:tbl>
    <w:p>
      <w:pPr>
        <w:spacing w:after="0" w:line="91" w:lineRule="exact"/>
        <w:rPr>
          <w:sz w:val="24"/>
          <w:szCs w:val="24"/>
          <w:color w:val="auto"/>
        </w:rPr>
      </w:pPr>
    </w:p>
    <w:p>
      <w:pPr>
        <w:ind w:left="380" w:hanging="372"/>
        <w:spacing w:after="0"/>
        <w:tabs>
          <w:tab w:leader="none" w:pos="380"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Title of each class of securites to which transacton applies:</w:t>
      </w:r>
    </w:p>
    <w:p>
      <w:pPr>
        <w:spacing w:after="0" w:line="212" w:lineRule="exact"/>
        <w:rPr>
          <w:rFonts w:ascii="Calibri" w:cs="Calibri" w:eastAsia="Calibri" w:hAnsi="Calibri"/>
          <w:sz w:val="18"/>
          <w:szCs w:val="18"/>
          <w:color w:val="auto"/>
        </w:rPr>
      </w:pPr>
    </w:p>
    <w:p>
      <w:pPr>
        <w:ind w:left="380" w:hanging="372"/>
        <w:spacing w:after="0"/>
        <w:tabs>
          <w:tab w:leader="none" w:pos="380"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Aggregate number of securites to which transacton applies:</w:t>
      </w:r>
    </w:p>
    <w:p>
      <w:pPr>
        <w:spacing w:after="0" w:line="217" w:lineRule="exact"/>
        <w:rPr>
          <w:rFonts w:ascii="Calibri" w:cs="Calibri" w:eastAsia="Calibri" w:hAnsi="Calibri"/>
          <w:sz w:val="18"/>
          <w:szCs w:val="18"/>
          <w:color w:val="auto"/>
        </w:rPr>
      </w:pPr>
    </w:p>
    <w:p>
      <w:pPr>
        <w:ind w:left="380" w:right="440" w:hanging="372"/>
        <w:spacing w:after="0" w:line="235" w:lineRule="auto"/>
        <w:tabs>
          <w:tab w:leader="none" w:pos="380"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Per unit price or other underlying value of transacton computed pursuant to Exchange Act Rule 0-11 (Set forth the amount on which the fling fee is calculated and state how it was determined):</w:t>
      </w:r>
    </w:p>
    <w:p>
      <w:pPr>
        <w:spacing w:after="0" w:line="212" w:lineRule="exact"/>
        <w:rPr>
          <w:rFonts w:ascii="Calibri" w:cs="Calibri" w:eastAsia="Calibri" w:hAnsi="Calibri"/>
          <w:sz w:val="18"/>
          <w:szCs w:val="18"/>
          <w:color w:val="auto"/>
        </w:rPr>
      </w:pPr>
    </w:p>
    <w:p>
      <w:pPr>
        <w:ind w:left="380" w:hanging="372"/>
        <w:spacing w:after="0"/>
        <w:tabs>
          <w:tab w:leader="none" w:pos="380"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Proposed maximum aggregate value of transacton:</w:t>
      </w:r>
    </w:p>
    <w:p>
      <w:pPr>
        <w:spacing w:after="0" w:line="212" w:lineRule="exact"/>
        <w:rPr>
          <w:rFonts w:ascii="Calibri" w:cs="Calibri" w:eastAsia="Calibri" w:hAnsi="Calibri"/>
          <w:sz w:val="18"/>
          <w:szCs w:val="18"/>
          <w:color w:val="auto"/>
        </w:rPr>
      </w:pPr>
    </w:p>
    <w:p>
      <w:pPr>
        <w:ind w:left="380" w:hanging="372"/>
        <w:spacing w:after="0"/>
        <w:tabs>
          <w:tab w:leader="none" w:pos="380"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Total fee paid:</w:t>
      </w:r>
    </w:p>
    <w:p>
      <w:pPr>
        <w:spacing w:after="0" w:line="307" w:lineRule="exact"/>
        <w:rPr>
          <w:sz w:val="24"/>
          <w:szCs w:val="24"/>
          <w:color w:val="auto"/>
        </w:rPr>
      </w:pPr>
    </w:p>
    <w:p>
      <w:pPr>
        <w:spacing w:after="0"/>
        <w:rPr>
          <w:sz w:val="20"/>
          <w:szCs w:val="20"/>
          <w:color w:val="auto"/>
        </w:rPr>
      </w:pPr>
      <w:r>
        <w:rPr>
          <w:rFonts w:ascii="Calibri" w:cs="Calibri" w:eastAsia="Calibri" w:hAnsi="Calibri"/>
          <w:sz w:val="18"/>
          <w:szCs w:val="18"/>
          <w:color w:val="auto"/>
        </w:rPr>
        <w:t>[  ] Fee paid previously with preliminary materials.</w:t>
      </w:r>
    </w:p>
    <w:p>
      <w:pPr>
        <w:spacing w:after="0" w:line="82" w:lineRule="exact"/>
        <w:rPr>
          <w:sz w:val="24"/>
          <w:szCs w:val="24"/>
          <w:color w:val="auto"/>
        </w:rPr>
      </w:pPr>
    </w:p>
    <w:p>
      <w:pPr>
        <w:ind w:firstLine="8"/>
        <w:spacing w:after="0" w:line="235" w:lineRule="auto"/>
        <w:tabs>
          <w:tab w:leader="none" w:pos="246"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 Check box if any part of the fee is ofset as provided by Exchange Act Rule 0-11(a)(2) and identfy the fling for which the ofsetng fee was pai previously. Identfy the previous fling by registraton statement number, or the Form or Schedule and the date of its fling.</w:t>
      </w:r>
    </w:p>
    <w:p>
      <w:pPr>
        <w:spacing w:after="0" w:line="91" w:lineRule="exact"/>
        <w:rPr>
          <w:sz w:val="24"/>
          <w:szCs w:val="24"/>
          <w:color w:val="auto"/>
        </w:rPr>
      </w:pPr>
    </w:p>
    <w:p>
      <w:pPr>
        <w:ind w:left="380" w:hanging="372"/>
        <w:spacing w:after="0"/>
        <w:tabs>
          <w:tab w:leader="none" w:pos="380"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Amount Previously Paid:</w:t>
      </w:r>
    </w:p>
    <w:p>
      <w:pPr>
        <w:spacing w:after="0" w:line="77" w:lineRule="exact"/>
        <w:rPr>
          <w:rFonts w:ascii="Calibri" w:cs="Calibri" w:eastAsia="Calibri" w:hAnsi="Calibri"/>
          <w:sz w:val="18"/>
          <w:szCs w:val="18"/>
          <w:color w:val="auto"/>
        </w:rPr>
      </w:pPr>
    </w:p>
    <w:p>
      <w:pPr>
        <w:ind w:left="380" w:hanging="372"/>
        <w:spacing w:after="0"/>
        <w:tabs>
          <w:tab w:leader="none" w:pos="380"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Form, Schedule or Registraton Statement No.:</w:t>
      </w:r>
    </w:p>
    <w:p>
      <w:pPr>
        <w:spacing w:after="0" w:line="90" w:lineRule="exact"/>
        <w:rPr>
          <w:rFonts w:ascii="Calibri" w:cs="Calibri" w:eastAsia="Calibri" w:hAnsi="Calibri"/>
          <w:sz w:val="18"/>
          <w:szCs w:val="18"/>
          <w:color w:val="auto"/>
        </w:rPr>
      </w:pPr>
    </w:p>
    <w:p>
      <w:pPr>
        <w:ind w:left="380" w:hanging="372"/>
        <w:spacing w:after="0"/>
        <w:tabs>
          <w:tab w:leader="none" w:pos="380"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Filing Party:</w:t>
      </w:r>
    </w:p>
    <w:p>
      <w:pPr>
        <w:spacing w:after="0" w:line="90" w:lineRule="exact"/>
        <w:rPr>
          <w:rFonts w:ascii="Calibri" w:cs="Calibri" w:eastAsia="Calibri" w:hAnsi="Calibri"/>
          <w:sz w:val="18"/>
          <w:szCs w:val="18"/>
          <w:color w:val="auto"/>
        </w:rPr>
      </w:pPr>
    </w:p>
    <w:p>
      <w:pPr>
        <w:ind w:left="380" w:hanging="372"/>
        <w:spacing w:after="0"/>
        <w:tabs>
          <w:tab w:leader="none" w:pos="380"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084" w:right="2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226060</wp:posOffset>
            </wp:positionV>
            <wp:extent cx="7157720" cy="891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891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Calibri" w:cs="Calibri" w:eastAsia="Calibri" w:hAnsi="Calibri"/>
          <w:sz w:val="40"/>
          <w:szCs w:val="40"/>
          <w:b w:val="1"/>
          <w:bCs w:val="1"/>
          <w:color w:val="auto"/>
        </w:rPr>
        <w:t>Leter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6120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6120765"/>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Dear Fellow Shareholders,</w:t>
      </w:r>
    </w:p>
    <w:p>
      <w:pPr>
        <w:spacing w:after="0" w:line="97" w:lineRule="exact"/>
        <w:rPr>
          <w:sz w:val="20"/>
          <w:szCs w:val="20"/>
          <w:color w:val="auto"/>
        </w:rPr>
      </w:pPr>
    </w:p>
    <w:p>
      <w:pPr>
        <w:ind w:left="20"/>
        <w:spacing w:after="0"/>
        <w:rPr>
          <w:sz w:val="20"/>
          <w:szCs w:val="20"/>
          <w:color w:val="auto"/>
        </w:rPr>
      </w:pPr>
      <w:r>
        <w:rPr>
          <w:rFonts w:ascii="Calibri" w:cs="Calibri" w:eastAsia="Calibri" w:hAnsi="Calibri"/>
          <w:sz w:val="20"/>
          <w:szCs w:val="20"/>
          <w:b w:val="1"/>
          <w:bCs w:val="1"/>
          <w:color w:val="auto"/>
        </w:rPr>
        <w:t>We Energize Life.</w:t>
      </w:r>
    </w:p>
    <w:p>
      <w:pPr>
        <w:spacing w:after="0" w:line="114" w:lineRule="exact"/>
        <w:rPr>
          <w:sz w:val="20"/>
          <w:szCs w:val="20"/>
          <w:color w:val="auto"/>
        </w:rPr>
      </w:pPr>
    </w:p>
    <w:p>
      <w:pPr>
        <w:ind w:left="340"/>
        <w:spacing w:after="0"/>
        <w:rPr>
          <w:sz w:val="20"/>
          <w:szCs w:val="20"/>
          <w:color w:val="auto"/>
        </w:rPr>
      </w:pPr>
      <w:r>
        <w:rPr>
          <w:rFonts w:ascii="Calibri" w:cs="Calibri" w:eastAsia="Calibri" w:hAnsi="Calibri"/>
          <w:sz w:val="18"/>
          <w:szCs w:val="18"/>
          <w:color w:val="auto"/>
        </w:rPr>
        <w:t>Thank you for investng in our company.</w:t>
      </w:r>
    </w:p>
    <w:p>
      <w:pPr>
        <w:spacing w:after="0" w:line="109" w:lineRule="exact"/>
        <w:rPr>
          <w:sz w:val="20"/>
          <w:szCs w:val="20"/>
          <w:color w:val="auto"/>
        </w:rPr>
      </w:pPr>
    </w:p>
    <w:p>
      <w:pPr>
        <w:jc w:val="both"/>
        <w:ind w:left="20" w:right="6660" w:firstLine="324"/>
        <w:spacing w:after="0" w:line="235" w:lineRule="auto"/>
        <w:rPr>
          <w:sz w:val="20"/>
          <w:szCs w:val="20"/>
          <w:color w:val="auto"/>
        </w:rPr>
      </w:pPr>
      <w:r>
        <w:rPr>
          <w:rFonts w:ascii="Calibri" w:cs="Calibri" w:eastAsia="Calibri" w:hAnsi="Calibri"/>
          <w:sz w:val="18"/>
          <w:szCs w:val="18"/>
          <w:color w:val="auto"/>
        </w:rPr>
        <w:t>2023 was another year of strong results for OGE Energy Corp. and OG&amp;E, contnuing our momentum for the future as we serve our customers and their increasing need for electricity. We contnue to build on our 122-year legacy of providing safe, reliable, and resilient electricity at some of the lowest rates in the country.</w:t>
      </w:r>
    </w:p>
    <w:p>
      <w:pPr>
        <w:spacing w:after="0" w:line="113" w:lineRule="exact"/>
        <w:rPr>
          <w:sz w:val="20"/>
          <w:szCs w:val="20"/>
          <w:color w:val="auto"/>
        </w:rPr>
      </w:pPr>
    </w:p>
    <w:p>
      <w:pPr>
        <w:jc w:val="both"/>
        <w:ind w:left="20" w:right="6660" w:firstLine="324"/>
        <w:spacing w:after="0" w:line="235" w:lineRule="auto"/>
        <w:rPr>
          <w:sz w:val="20"/>
          <w:szCs w:val="20"/>
          <w:color w:val="auto"/>
        </w:rPr>
      </w:pPr>
      <w:r>
        <w:rPr>
          <w:rFonts w:ascii="Calibri" w:cs="Calibri" w:eastAsia="Calibri" w:hAnsi="Calibri"/>
          <w:sz w:val="18"/>
          <w:szCs w:val="18"/>
          <w:color w:val="auto"/>
        </w:rPr>
        <w:t>Our noble purpose is to energize life for our customers each and every day. That’s not just something we say, it’s how we live our obligaton to serve all customers – from the large industrial corporaton to our residental customers living in the most rural part of our service area. They each rely on us to deliver the energy they need to power their homes, businesses, and lives.</w:t>
      </w:r>
    </w:p>
    <w:p>
      <w:pPr>
        <w:spacing w:after="0" w:line="114" w:lineRule="exact"/>
        <w:rPr>
          <w:sz w:val="20"/>
          <w:szCs w:val="20"/>
          <w:color w:val="auto"/>
        </w:rPr>
      </w:pPr>
    </w:p>
    <w:p>
      <w:pPr>
        <w:jc w:val="both"/>
        <w:ind w:left="20" w:right="6660" w:firstLine="324"/>
        <w:spacing w:after="0" w:line="235" w:lineRule="auto"/>
        <w:rPr>
          <w:sz w:val="20"/>
          <w:szCs w:val="20"/>
          <w:color w:val="auto"/>
        </w:rPr>
      </w:pPr>
      <w:r>
        <w:rPr>
          <w:rFonts w:ascii="Calibri" w:cs="Calibri" w:eastAsia="Calibri" w:hAnsi="Calibri"/>
          <w:sz w:val="18"/>
          <w:szCs w:val="18"/>
          <w:color w:val="auto"/>
        </w:rPr>
        <w:t>Throughout our service area, we drive economic growth by working side by side with elected ofcials and chambers of commerce in Oklahoma and Arkansas. Our sustainable business model begins with low rates that drive investment in communites from new and expanding businesses, creatng a ripple efect that drives employment, small business development and, in turn, increases the number of customers we serve. This virtuous cycle returns value to all stakeholders.</w:t>
      </w:r>
    </w:p>
    <w:p>
      <w:pPr>
        <w:spacing w:after="0" w:line="115" w:lineRule="exact"/>
        <w:rPr>
          <w:sz w:val="20"/>
          <w:szCs w:val="20"/>
          <w:color w:val="auto"/>
        </w:rPr>
      </w:pPr>
    </w:p>
    <w:p>
      <w:pPr>
        <w:jc w:val="both"/>
        <w:ind w:left="20" w:right="6660" w:firstLine="324"/>
        <w:spacing w:after="0" w:line="250" w:lineRule="auto"/>
        <w:rPr>
          <w:sz w:val="20"/>
          <w:szCs w:val="20"/>
          <w:color w:val="auto"/>
        </w:rPr>
      </w:pPr>
      <w:r>
        <w:rPr>
          <w:rFonts w:ascii="Calibri" w:cs="Calibri" w:eastAsia="Calibri" w:hAnsi="Calibri"/>
          <w:sz w:val="17"/>
          <w:szCs w:val="17"/>
          <w:color w:val="auto"/>
        </w:rPr>
        <w:t>I am so proud of our employees, those on the front line in our power plants and in our orange bucket trucks, and those who support our eforts to deliver on our responsibility to our customers. Because of the culture we have built together, our company was recognized as the Best In-State Employer in Oklahoma by Forbes magazine and a 2023 Oklahoma Top Workplace. These results are not happenstance – they come from a dedicated commitment to fostering a culture grounded in our values and beliefs, and operatonalized with a focus to deliver safe, reliable, and resilient electricity combined with outstanding customer experiences every single day.</w:t>
      </w:r>
    </w:p>
    <w:p>
      <w:pPr>
        <w:spacing w:after="0" w:line="101" w:lineRule="exact"/>
        <w:rPr>
          <w:sz w:val="20"/>
          <w:szCs w:val="20"/>
          <w:color w:val="auto"/>
        </w:rPr>
      </w:pPr>
    </w:p>
    <w:p>
      <w:pPr>
        <w:ind w:left="340"/>
        <w:spacing w:after="0"/>
        <w:rPr>
          <w:sz w:val="20"/>
          <w:szCs w:val="20"/>
          <w:color w:val="auto"/>
        </w:rPr>
      </w:pPr>
      <w:r>
        <w:rPr>
          <w:rFonts w:ascii="Calibri" w:cs="Calibri" w:eastAsia="Calibri" w:hAnsi="Calibri"/>
          <w:sz w:val="18"/>
          <w:szCs w:val="18"/>
          <w:color w:val="auto"/>
        </w:rPr>
        <w:t>Three critcal aspects of our work drive our success:</w:t>
      </w:r>
    </w:p>
    <w:p>
      <w:pPr>
        <w:ind w:left="20"/>
        <w:spacing w:after="0" w:line="235" w:lineRule="auto"/>
        <w:rPr>
          <w:sz w:val="20"/>
          <w:szCs w:val="20"/>
          <w:color w:val="auto"/>
        </w:rPr>
      </w:pPr>
      <w:r>
        <w:rPr>
          <w:rFonts w:ascii="Calibri" w:cs="Calibri" w:eastAsia="Calibri" w:hAnsi="Calibri"/>
          <w:sz w:val="18"/>
          <w:szCs w:val="18"/>
          <w:color w:val="auto"/>
        </w:rPr>
        <w:t>Reliability, Afordability, and Responsibility.</w:t>
      </w:r>
    </w:p>
    <w:p>
      <w:pPr>
        <w:spacing w:after="0" w:line="28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Reliability</w:t>
      </w:r>
    </w:p>
    <w:p>
      <w:pPr>
        <w:spacing w:after="0" w:line="119" w:lineRule="exact"/>
        <w:rPr>
          <w:sz w:val="20"/>
          <w:szCs w:val="20"/>
          <w:color w:val="auto"/>
        </w:rPr>
      </w:pPr>
    </w:p>
    <w:p>
      <w:pPr>
        <w:ind w:firstLine="374"/>
        <w:spacing w:after="0" w:line="235" w:lineRule="auto"/>
        <w:rPr>
          <w:sz w:val="20"/>
          <w:szCs w:val="20"/>
          <w:color w:val="auto"/>
        </w:rPr>
      </w:pPr>
      <w:r>
        <w:rPr>
          <w:rFonts w:ascii="Calibri" w:cs="Calibri" w:eastAsia="Calibri" w:hAnsi="Calibri"/>
          <w:sz w:val="18"/>
          <w:szCs w:val="18"/>
          <w:color w:val="auto"/>
        </w:rPr>
        <w:t>Our grid and weather hardening investments contnue to deliver great results for customers. Our grid reliability investments benefted customers in 2023 and we will contnue making these types of investments in the grid:</w:t>
      </w:r>
    </w:p>
    <w:p>
      <w:pPr>
        <w:spacing w:after="0" w:line="10"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Calibri" w:cs="Calibri" w:eastAsia="Calibri" w:hAnsi="Calibri"/>
          <w:sz w:val="18"/>
          <w:szCs w:val="18"/>
          <w:color w:val="auto"/>
        </w:rPr>
        <w:t>Grid investments resulted in 320 minutes of interrupton saved for the average impacted customer</w:t>
      </w:r>
    </w:p>
    <w:p>
      <w:pPr>
        <w:spacing w:after="0" w:line="1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Calibri" w:cs="Calibri" w:eastAsia="Calibri" w:hAnsi="Calibri"/>
          <w:sz w:val="18"/>
          <w:szCs w:val="18"/>
          <w:color w:val="auto"/>
        </w:rPr>
        <w:t>Automated restoratons saved 6.2 million customer minutes of customer interruptons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Calibri" w:cs="Calibri" w:eastAsia="Calibri" w:hAnsi="Calibri"/>
          <w:sz w:val="18"/>
          <w:szCs w:val="18"/>
          <w:color w:val="auto"/>
        </w:rPr>
        <w:t>Upgrading and building substatons to support our growing service area</w:t>
      </w:r>
    </w:p>
    <w:p>
      <w:pPr>
        <w:spacing w:after="0" w:line="109" w:lineRule="exact"/>
        <w:rPr>
          <w:sz w:val="20"/>
          <w:szCs w:val="20"/>
          <w:color w:val="auto"/>
        </w:rPr>
      </w:pPr>
    </w:p>
    <w:p>
      <w:pPr>
        <w:ind w:firstLine="374"/>
        <w:spacing w:after="0" w:line="235" w:lineRule="auto"/>
        <w:rPr>
          <w:sz w:val="20"/>
          <w:szCs w:val="20"/>
          <w:color w:val="auto"/>
        </w:rPr>
      </w:pPr>
      <w:r>
        <w:rPr>
          <w:rFonts w:ascii="Calibri" w:cs="Calibri" w:eastAsia="Calibri" w:hAnsi="Calibri"/>
          <w:sz w:val="18"/>
          <w:szCs w:val="18"/>
          <w:color w:val="auto"/>
        </w:rPr>
        <w:t>From intense heat to winter storms, our plants generated power to the grid, enabling the grid to perform well during extreme conditons. There were no calls for the public to conserve energy during any of our weather extremes. We designed, built, and operate the electric grid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619760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type w:val="continuous"/>
        </w:sectPr>
      </w:pPr>
    </w:p>
    <w:bookmarkStart w:id="3" w:name="page4"/>
    <w:bookmarkEnd w:id="3"/>
    <w:p>
      <w:pPr>
        <w:jc w:val="both"/>
        <w:spacing w:after="0" w:line="235" w:lineRule="auto"/>
        <w:rPr>
          <w:sz w:val="20"/>
          <w:szCs w:val="20"/>
          <w:color w:val="auto"/>
        </w:rPr>
      </w:pPr>
      <w:r>
        <w:rPr>
          <w:rFonts w:ascii="Calibri" w:cs="Calibri" w:eastAsia="Calibri" w:hAnsi="Calibri"/>
          <w:sz w:val="18"/>
          <w:szCs w:val="18"/>
          <w:color w:val="auto"/>
        </w:rPr>
        <w:t>withstand harsh elements. Even in the face of difcult conditons, our team recorded another strong safety year, making the last eight years the safest in OG&amp;E’s history.</w:t>
      </w:r>
    </w:p>
    <w:p>
      <w:pPr>
        <w:spacing w:after="0" w:line="110"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This foundaton powers our growing communites and economic development engine that delivers new projects in our service area that are projected to create thousands of jobs and garner billions of dollars in additonal investment. This type of growth is not by accident – we set the stage for these results more than 5 years ago when we began driving investment and growing the local economy in cites and towns across our service area.</w:t>
      </w:r>
    </w:p>
    <w:p>
      <w:pPr>
        <w:spacing w:after="0" w:line="111"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Resource availability, uncertain regulaton, and macroeconomic environment pressures contnue to challenge the electric utlity industry and global marketplace. We contnue to grow our business through thoughtul and measured resource planning and investments in reliability.</w:t>
      </w:r>
    </w:p>
    <w:p>
      <w:pPr>
        <w:spacing w:after="0" w:line="9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Afordability</w:t>
      </w:r>
    </w:p>
    <w:p>
      <w:pPr>
        <w:spacing w:after="0" w:line="11"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Today’s economic environment contnues to create pressure on our customers, and we remain commited to afordability and keeping bills low. In the fall of 2023, we reduced the average fuel charge by $21, or 15 percent, per month – an immediate impact on customer bills.</w:t>
      </w:r>
    </w:p>
    <w:p>
      <w:pPr>
        <w:spacing w:after="0" w:line="105" w:lineRule="exact"/>
        <w:rPr>
          <w:sz w:val="20"/>
          <w:szCs w:val="20"/>
          <w:color w:val="auto"/>
        </w:rPr>
      </w:pPr>
    </w:p>
    <w:p>
      <w:pPr>
        <w:ind w:left="380"/>
        <w:spacing w:after="0"/>
        <w:rPr>
          <w:sz w:val="20"/>
          <w:szCs w:val="20"/>
          <w:color w:val="auto"/>
        </w:rPr>
      </w:pPr>
      <w:r>
        <w:rPr>
          <w:rFonts w:ascii="Calibri" w:cs="Calibri" w:eastAsia="Calibri" w:hAnsi="Calibri"/>
          <w:sz w:val="18"/>
          <w:szCs w:val="18"/>
          <w:color w:val="auto"/>
        </w:rPr>
        <w:t>We have doubled down on connectng customers to programs and services to help them manage their energy use and monthly bill:</w:t>
      </w:r>
    </w:p>
    <w:p>
      <w:pPr>
        <w:spacing w:after="0" w:line="10"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Calibri" w:cs="Calibri" w:eastAsia="Calibri" w:hAnsi="Calibri"/>
          <w:sz w:val="18"/>
          <w:szCs w:val="18"/>
          <w:color w:val="auto"/>
        </w:rPr>
        <w:t>Enrolled 20 percent of our customers in new-to-them programs in 2023, including energy efciency and home weatherizaton</w:t>
      </w:r>
    </w:p>
    <w:p>
      <w:pPr>
        <w:spacing w:after="0" w:line="1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Connected customers to bill assistance through federal, state, and our company-sponsored programs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Calibri" w:cs="Calibri" w:eastAsia="Calibri" w:hAnsi="Calibri"/>
          <w:sz w:val="18"/>
          <w:szCs w:val="18"/>
          <w:color w:val="auto"/>
        </w:rPr>
        <w:t>Launched OG&amp;E’s frst mobile app with nearly 30 percent adopton allowing customers to do business with us 24/7</w:t>
      </w:r>
    </w:p>
    <w:p>
      <w:pPr>
        <w:spacing w:after="0" w:line="109" w:lineRule="exact"/>
        <w:rPr>
          <w:sz w:val="20"/>
          <w:szCs w:val="20"/>
          <w:color w:val="auto"/>
        </w:rPr>
      </w:pPr>
    </w:p>
    <w:p>
      <w:pPr>
        <w:ind w:left="380"/>
        <w:spacing w:after="0"/>
        <w:rPr>
          <w:sz w:val="20"/>
          <w:szCs w:val="20"/>
          <w:color w:val="auto"/>
        </w:rPr>
      </w:pPr>
      <w:r>
        <w:rPr>
          <w:rFonts w:ascii="Calibri" w:cs="Calibri" w:eastAsia="Calibri" w:hAnsi="Calibri"/>
          <w:sz w:val="17"/>
          <w:szCs w:val="17"/>
          <w:color w:val="auto"/>
        </w:rPr>
        <w:t>Leveraging technology to deliver self-serve capabilites for our customers helps our people focus on customers who need assistance and keep our rates</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low.</w:t>
      </w:r>
    </w:p>
    <w:p>
      <w:pPr>
        <w:spacing w:after="0" w:line="9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Responsibility</w:t>
      </w:r>
    </w:p>
    <w:p>
      <w:pPr>
        <w:spacing w:after="0" w:line="11"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Along with our daily focus to deliver reliable service at low rates, our people ensure we build communites, develop our future workforce, steward natural resources, and invest at the right tme to balance growing electrifcaton and resiliency needs.</w:t>
      </w:r>
    </w:p>
    <w:p>
      <w:pPr>
        <w:spacing w:after="0" w:line="110"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Our community contributons are designed to strengthen local nonprofts and educatonal insttutons that enhance quality of life and the economic growth of communites in our service area. From life-changing full scholarships to high school seniors pursuing a career in STEM and fshing clinics at our power plants so kids begin to love the great outdoors, to building innovatve partnerships with career technology centers and Oklahoma’s HBCU, our commitment to our communites, employees, and customers runs deep.</w:t>
      </w:r>
    </w:p>
    <w:p>
      <w:pPr>
        <w:spacing w:after="0" w:line="111"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For 122 years, OG&amp;E has energized life for our customers, and I have never been more excited about what the future holds for our company. As a shareholder, you should feel confdent in the stability and long-term future of your investment as we:</w:t>
      </w:r>
    </w:p>
    <w:p>
      <w:pPr>
        <w:spacing w:after="0" w:line="10"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Invest in the grid to support our growing communites and drive economic growth</w:t>
      </w:r>
    </w:p>
    <w:p>
      <w:pPr>
        <w:spacing w:after="0" w:line="1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18"/>
          <w:szCs w:val="18"/>
          <w:color w:val="auto"/>
        </w:rPr>
        <w:t>Operate with excellence, adaptng to changes that surround us</w:t>
      </w:r>
    </w:p>
    <w:p>
      <w:pPr>
        <w:spacing w:after="0" w:line="1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7"/>
          <w:szCs w:val="17"/>
          <w:color w:val="auto"/>
        </w:rPr>
      </w:pPr>
      <w:r>
        <w:rPr>
          <w:rFonts w:ascii="Calibri" w:cs="Calibri" w:eastAsia="Calibri" w:hAnsi="Calibri"/>
          <w:sz w:val="17"/>
          <w:szCs w:val="17"/>
          <w:color w:val="auto"/>
        </w:rPr>
        <w:t>Contnue our 78-year history of uninterrupted dividends – we are partcularly honored to serve so many customers who are also shareholders.</w:t>
      </w:r>
    </w:p>
    <w:p>
      <w:pPr>
        <w:spacing w:after="0" w:line="112" w:lineRule="exact"/>
        <w:rPr>
          <w:sz w:val="20"/>
          <w:szCs w:val="20"/>
          <w:color w:val="auto"/>
        </w:rPr>
      </w:pPr>
    </w:p>
    <w:p>
      <w:pPr>
        <w:ind w:left="380"/>
        <w:spacing w:after="0"/>
        <w:rPr>
          <w:sz w:val="20"/>
          <w:szCs w:val="20"/>
          <w:color w:val="auto"/>
        </w:rPr>
      </w:pPr>
      <w:r>
        <w:rPr>
          <w:rFonts w:ascii="Calibri" w:cs="Calibri" w:eastAsia="Calibri" w:hAnsi="Calibri"/>
          <w:sz w:val="18"/>
          <w:szCs w:val="18"/>
          <w:color w:val="auto"/>
        </w:rPr>
        <w:t>Our commitment to all stakeholders – customers, communites, employees, and shareholders – is unwavering and will deliver outstanding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323215</wp:posOffset>
            </wp:positionV>
            <wp:extent cx="1191260" cy="377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9126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700"/>
        <w:spacing w:after="0"/>
        <w:rPr>
          <w:sz w:val="20"/>
          <w:szCs w:val="20"/>
          <w:color w:val="auto"/>
        </w:rPr>
      </w:pPr>
      <w:r>
        <w:rPr>
          <w:rFonts w:ascii="Calibri" w:cs="Calibri" w:eastAsia="Calibri" w:hAnsi="Calibri"/>
          <w:sz w:val="16"/>
          <w:szCs w:val="16"/>
          <w:b w:val="1"/>
          <w:bCs w:val="1"/>
          <w:color w:val="auto"/>
        </w:rPr>
        <w:t>Sean Trauschke</w:t>
      </w:r>
    </w:p>
    <w:p>
      <w:pPr>
        <w:spacing w:after="0" w:line="61" w:lineRule="exact"/>
        <w:rPr>
          <w:sz w:val="20"/>
          <w:szCs w:val="20"/>
          <w:color w:val="auto"/>
        </w:rPr>
      </w:pPr>
    </w:p>
    <w:p>
      <w:pPr>
        <w:ind w:left="700"/>
        <w:spacing w:after="0"/>
        <w:rPr>
          <w:sz w:val="20"/>
          <w:szCs w:val="20"/>
          <w:color w:val="auto"/>
        </w:rPr>
      </w:pPr>
      <w:r>
        <w:rPr>
          <w:rFonts w:ascii="Calibri" w:cs="Calibri" w:eastAsia="Calibri" w:hAnsi="Calibri"/>
          <w:sz w:val="16"/>
          <w:szCs w:val="16"/>
          <w:b w:val="1"/>
          <w:bCs w:val="1"/>
          <w:color w:val="auto"/>
        </w:rPr>
        <w:t>Chairman, President and CEO</w:t>
      </w:r>
    </w:p>
    <w:p>
      <w:pPr>
        <w:spacing w:after="0" w:line="34" w:lineRule="exact"/>
        <w:rPr>
          <w:sz w:val="20"/>
          <w:szCs w:val="20"/>
          <w:color w:val="auto"/>
        </w:rPr>
      </w:pPr>
    </w:p>
    <w:p>
      <w:pPr>
        <w:ind w:left="700"/>
        <w:spacing w:after="0"/>
        <w:rPr>
          <w:sz w:val="20"/>
          <w:szCs w:val="20"/>
          <w:color w:val="auto"/>
        </w:rPr>
      </w:pPr>
      <w:r>
        <w:rPr>
          <w:rFonts w:ascii="Calibri" w:cs="Calibri" w:eastAsia="Calibri" w:hAnsi="Calibri"/>
          <w:sz w:val="16"/>
          <w:szCs w:val="16"/>
          <w:color w:val="auto"/>
        </w:rPr>
        <w:t>April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1282065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 w:name="page5"/>
    <w:bookmarkEnd w:id="4"/>
    <w:p>
      <w:pPr>
        <w:ind w:left="20"/>
        <w:spacing w:after="0"/>
        <w:rPr>
          <w:sz w:val="20"/>
          <w:szCs w:val="20"/>
          <w:color w:val="auto"/>
        </w:rPr>
      </w:pPr>
      <w:r>
        <w:rPr>
          <w:rFonts w:ascii="Calibri" w:cs="Calibri" w:eastAsia="Calibri" w:hAnsi="Calibri"/>
          <w:sz w:val="40"/>
          <w:szCs w:val="40"/>
          <w:b w:val="1"/>
          <w:bCs w:val="1"/>
          <w:color w:val="001E38"/>
        </w:rPr>
        <w:t>Notce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-293370</wp:posOffset>
            </wp:positionV>
            <wp:extent cx="1140460" cy="5403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40460" cy="54038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Calibri" w:cs="Calibri" w:eastAsia="Calibri" w:hAnsi="Calibri"/>
          <w:sz w:val="25"/>
          <w:szCs w:val="25"/>
          <w:b w:val="1"/>
          <w:bCs w:val="1"/>
          <w:color w:val="001E38"/>
        </w:rPr>
        <w:t>2024 Annual Meetng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47" w:lineRule="auto"/>
        <w:rPr>
          <w:sz w:val="20"/>
          <w:szCs w:val="20"/>
          <w:color w:val="auto"/>
        </w:rPr>
      </w:pPr>
      <w:r>
        <w:rPr>
          <w:rFonts w:ascii="Calibri" w:cs="Calibri" w:eastAsia="Calibri" w:hAnsi="Calibri"/>
          <w:sz w:val="16"/>
          <w:szCs w:val="16"/>
          <w:color w:val="auto"/>
        </w:rPr>
        <w:t>You are cordially invited to atend the Annual Meetng of Shareholders of OGE Energy Corp. to be held virtually via the Internet. Shareholders owning OGE Energy Corp. common stock at the close of business on the Record Date, or their legal proxy holder, are enttled to vote at the Annual Meetng. The items for this year’s annual meetng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6934835" cy="2682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34835" cy="268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46" w:lineRule="auto"/>
        <w:rPr>
          <w:sz w:val="20"/>
          <w:szCs w:val="20"/>
          <w:color w:val="auto"/>
        </w:rPr>
      </w:pPr>
      <w:r>
        <w:rPr>
          <w:rFonts w:ascii="Calibri" w:cs="Calibri" w:eastAsia="Calibri" w:hAnsi="Calibri"/>
          <w:sz w:val="16"/>
          <w:szCs w:val="16"/>
          <w:color w:val="auto"/>
        </w:rPr>
        <w:t>On or about April 1, 2024, we mailed to our shareholders either (1) a Notce of Internet Availability of Proxy Materials or (2) a copy of our proxy statement, a proxy card and our 2023 annual report.</w:t>
      </w:r>
    </w:p>
    <w:p>
      <w:pPr>
        <w:spacing w:after="0" w:line="207" w:lineRule="exact"/>
        <w:rPr>
          <w:sz w:val="20"/>
          <w:szCs w:val="20"/>
          <w:color w:val="auto"/>
        </w:rPr>
      </w:pPr>
    </w:p>
    <w:p>
      <w:pPr>
        <w:jc w:val="both"/>
        <w:spacing w:after="0" w:line="248" w:lineRule="auto"/>
        <w:rPr>
          <w:sz w:val="20"/>
          <w:szCs w:val="20"/>
          <w:color w:val="auto"/>
        </w:rPr>
      </w:pPr>
      <w:r>
        <w:rPr>
          <w:rFonts w:ascii="Calibri" w:cs="Calibri" w:eastAsia="Calibri" w:hAnsi="Calibri"/>
          <w:sz w:val="16"/>
          <w:szCs w:val="16"/>
          <w:b w:val="1"/>
          <w:bCs w:val="1"/>
          <w:color w:val="auto"/>
        </w:rPr>
        <w:t xml:space="preserve">Shareholder List. </w:t>
      </w:r>
      <w:r>
        <w:rPr>
          <w:rFonts w:ascii="Calibri" w:cs="Calibri" w:eastAsia="Calibri" w:hAnsi="Calibri"/>
          <w:sz w:val="16"/>
          <w:szCs w:val="16"/>
          <w:color w:val="auto"/>
        </w:rPr>
        <w:t>During the meetng, the list of shareholders enttled to vote at the meetng will be available by visitng www.virtualshareholdermeetng.com/OGE2024</w:t>
      </w:r>
      <w:r>
        <w:rPr>
          <w:rFonts w:ascii="Calibri" w:cs="Calibri" w:eastAsia="Calibri" w:hAnsi="Calibri"/>
          <w:sz w:val="16"/>
          <w:szCs w:val="16"/>
          <w:b w:val="1"/>
          <w:bCs w:val="1"/>
          <w:color w:val="auto"/>
        </w:rPr>
        <w:t xml:space="preserve"> </w:t>
      </w:r>
      <w:r>
        <w:rPr>
          <w:rFonts w:ascii="Calibri" w:cs="Calibri" w:eastAsia="Calibri" w:hAnsi="Calibri"/>
          <w:sz w:val="16"/>
          <w:szCs w:val="16"/>
          <w:color w:val="auto"/>
        </w:rPr>
        <w:t>and entering your 16-digit control number and clicking on "Registered Shareholder List." For ten days prior to the meetng, a list of shareholders enttled to vote at the meetng will be available at our ofces at 321 North Harvey, Oklahoma City, Oklahoma 73102. Please contact the undersigned, as Corporate Secretary, at (405) 553-3183, if you wish to inspect the list of shareholders prior to the Annual Meetng of Shareholders.</w:t>
      </w:r>
    </w:p>
    <w:p>
      <w:pPr>
        <w:spacing w:after="0" w:line="205" w:lineRule="exact"/>
        <w:rPr>
          <w:sz w:val="20"/>
          <w:szCs w:val="20"/>
          <w:color w:val="auto"/>
        </w:rPr>
      </w:pPr>
    </w:p>
    <w:p>
      <w:pPr>
        <w:jc w:val="both"/>
        <w:ind w:right="20"/>
        <w:spacing w:after="0" w:line="247" w:lineRule="auto"/>
        <w:rPr>
          <w:sz w:val="20"/>
          <w:szCs w:val="20"/>
          <w:color w:val="auto"/>
        </w:rPr>
      </w:pPr>
      <w:r>
        <w:rPr>
          <w:rFonts w:ascii="Calibri" w:cs="Calibri" w:eastAsia="Calibri" w:hAnsi="Calibri"/>
          <w:sz w:val="16"/>
          <w:szCs w:val="16"/>
          <w:b w:val="1"/>
          <w:bCs w:val="1"/>
          <w:color w:val="auto"/>
        </w:rPr>
        <w:t xml:space="preserve">Proxy Votng. </w:t>
      </w:r>
      <w:r>
        <w:rPr>
          <w:rFonts w:ascii="Calibri" w:cs="Calibri" w:eastAsia="Calibri" w:hAnsi="Calibri"/>
          <w:sz w:val="16"/>
          <w:szCs w:val="16"/>
          <w:color w:val="auto"/>
        </w:rPr>
        <w:t>Your vote is important. Whether or not you plan to atend the virtual annual meetng online, please vote promptly. You may vote your shares in advance of</w:t>
      </w:r>
      <w:r>
        <w:rPr>
          <w:rFonts w:ascii="Calibri" w:cs="Calibri" w:eastAsia="Calibri" w:hAnsi="Calibri"/>
          <w:sz w:val="16"/>
          <w:szCs w:val="16"/>
          <w:b w:val="1"/>
          <w:bCs w:val="1"/>
          <w:color w:val="auto"/>
        </w:rPr>
        <w:t xml:space="preserve"> </w:t>
      </w:r>
      <w:r>
        <w:rPr>
          <w:rFonts w:ascii="Calibri" w:cs="Calibri" w:eastAsia="Calibri" w:hAnsi="Calibri"/>
          <w:sz w:val="16"/>
          <w:szCs w:val="16"/>
          <w:color w:val="auto"/>
        </w:rPr>
        <w:t>the meetng via the Internet, by telephone or by mail, or by atending and votng online at the 2024 Annual Shareholders Meetng. Please refer to the secton "General Informaton about the Annual Meetng and the Proxy Materials," of the proxy statement for detailed votng instructons.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408940</wp:posOffset>
            </wp:positionV>
            <wp:extent cx="1320165" cy="13201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20165" cy="132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0"/>
        <w:spacing w:after="0"/>
        <w:rPr>
          <w:sz w:val="20"/>
          <w:szCs w:val="20"/>
          <w:color w:val="auto"/>
        </w:rPr>
      </w:pPr>
      <w:r>
        <w:rPr>
          <w:rFonts w:ascii="Calibri" w:cs="Calibri" w:eastAsia="Calibri" w:hAnsi="Calibri"/>
          <w:sz w:val="16"/>
          <w:szCs w:val="16"/>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34925</wp:posOffset>
            </wp:positionV>
            <wp:extent cx="1465580" cy="5657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6558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0"/>
        <w:spacing w:after="0"/>
        <w:rPr>
          <w:sz w:val="20"/>
          <w:szCs w:val="20"/>
          <w:color w:val="auto"/>
        </w:rPr>
      </w:pPr>
      <w:r>
        <w:rPr>
          <w:rFonts w:ascii="Calibri" w:cs="Calibri" w:eastAsia="Calibri" w:hAnsi="Calibri"/>
          <w:sz w:val="16"/>
          <w:szCs w:val="16"/>
          <w:b w:val="1"/>
          <w:bCs w:val="1"/>
          <w:color w:val="auto"/>
        </w:rPr>
        <w:t>William H. Sultemeier</w:t>
      </w:r>
    </w:p>
    <w:p>
      <w:pPr>
        <w:spacing w:after="0" w:line="61" w:lineRule="exact"/>
        <w:rPr>
          <w:sz w:val="20"/>
          <w:szCs w:val="20"/>
          <w:color w:val="auto"/>
        </w:rPr>
      </w:pPr>
    </w:p>
    <w:p>
      <w:pPr>
        <w:ind w:left="60"/>
        <w:spacing w:after="0"/>
        <w:rPr>
          <w:sz w:val="20"/>
          <w:szCs w:val="20"/>
          <w:color w:val="auto"/>
        </w:rPr>
      </w:pPr>
      <w:r>
        <w:rPr>
          <w:rFonts w:ascii="Calibri" w:cs="Calibri" w:eastAsia="Calibri" w:hAnsi="Calibri"/>
          <w:sz w:val="16"/>
          <w:szCs w:val="16"/>
          <w:b w:val="1"/>
          <w:bCs w:val="1"/>
          <w:color w:val="auto"/>
        </w:rPr>
        <w:t>General Counsel, Corporate Secretary and Chief Compliance Ofcer</w:t>
      </w:r>
    </w:p>
    <w:p>
      <w:pPr>
        <w:spacing w:after="0" w:line="34" w:lineRule="exact"/>
        <w:rPr>
          <w:sz w:val="20"/>
          <w:szCs w:val="20"/>
          <w:color w:val="auto"/>
        </w:rPr>
      </w:pPr>
    </w:p>
    <w:p>
      <w:pPr>
        <w:ind w:left="60"/>
        <w:spacing w:after="0"/>
        <w:rPr>
          <w:sz w:val="20"/>
          <w:szCs w:val="20"/>
          <w:color w:val="auto"/>
        </w:rPr>
      </w:pPr>
      <w:r>
        <w:rPr>
          <w:rFonts w:ascii="Calibri" w:cs="Calibri" w:eastAsia="Calibri" w:hAnsi="Calibri"/>
          <w:sz w:val="16"/>
          <w:szCs w:val="16"/>
          <w:color w:val="auto"/>
        </w:rPr>
        <w:t>April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540385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right="280"/>
        <w:spacing w:after="0" w:line="245" w:lineRule="auto"/>
        <w:rPr>
          <w:sz w:val="20"/>
          <w:szCs w:val="20"/>
          <w:color w:val="auto"/>
        </w:rPr>
      </w:pPr>
      <w:r>
        <w:rPr>
          <w:rFonts w:ascii="Calibri" w:cs="Calibri" w:eastAsia="Calibri" w:hAnsi="Calibri"/>
          <w:sz w:val="14"/>
          <w:szCs w:val="14"/>
          <w:b w:val="1"/>
          <w:bCs w:val="1"/>
          <w:color w:val="auto"/>
        </w:rPr>
        <w:t>IMPORTANT NOTICE REGARDING THE AVAILABILITY OF PROXY MATERIALS FOR THE SHAREHOLDER MEETING TO BE HELD ON MAY 16, 2024. The Company's notce of annual meetng of shareholders and proxy statement and 2023 annual report to shareholders are available on the Internet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812165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5" w:name="page6"/>
    <w:bookmarkEnd w:id="5"/>
    <w:p>
      <w:pPr>
        <w:ind w:left="20"/>
        <w:spacing w:after="0"/>
        <w:rPr>
          <w:sz w:val="20"/>
          <w:szCs w:val="20"/>
          <w:color w:val="auto"/>
        </w:rPr>
      </w:pPr>
      <w:r>
        <w:rPr>
          <w:rFonts w:ascii="Calibri" w:cs="Calibri" w:eastAsia="Calibri" w:hAnsi="Calibri"/>
          <w:sz w:val="32"/>
          <w:szCs w:val="32"/>
          <w:b w:val="1"/>
          <w:bCs w:val="1"/>
          <w:color w:val="DE3831"/>
        </w:rPr>
        <w:t>Table of Contents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20" w:type="dxa"/>
            <w:vAlign w:val="bottom"/>
          </w:tcPr>
          <w:p>
            <w:pPr>
              <w:spacing w:after="0"/>
              <w:rPr>
                <w:sz w:val="23"/>
                <w:szCs w:val="23"/>
                <w:color w:val="auto"/>
              </w:rPr>
            </w:pPr>
          </w:p>
        </w:tc>
        <w:tc>
          <w:tcPr>
            <w:tcW w:w="10080" w:type="dxa"/>
            <w:vAlign w:val="bottom"/>
            <w:gridSpan w:val="44"/>
          </w:tcPr>
          <w:p>
            <w:pPr>
              <w:spacing w:after="0"/>
              <w:rPr>
                <w:sz w:val="20"/>
                <w:szCs w:val="20"/>
                <w:color w:val="auto"/>
              </w:rPr>
            </w:pPr>
            <w:r>
              <w:rPr>
                <w:rFonts w:ascii="Calibri" w:cs="Calibri" w:eastAsia="Calibri" w:hAnsi="Calibri"/>
                <w:sz w:val="22"/>
                <w:szCs w:val="22"/>
                <w:b w:val="1"/>
                <w:bCs w:val="1"/>
                <w:color w:val="FF0000"/>
              </w:rPr>
              <w:t>General Informaton About the Annual Meetng and the Proxy Materials</w:t>
            </w:r>
          </w:p>
        </w:tc>
        <w:tc>
          <w:tcPr>
            <w:tcW w:w="1140" w:type="dxa"/>
            <w:vAlign w:val="bottom"/>
          </w:tcPr>
          <w:p>
            <w:pPr>
              <w:jc w:val="center"/>
              <w:ind w:left="392"/>
              <w:spacing w:after="0"/>
              <w:rPr>
                <w:sz w:val="20"/>
                <w:szCs w:val="20"/>
                <w:color w:val="auto"/>
              </w:rPr>
            </w:pPr>
            <w:r>
              <w:rPr>
                <w:rFonts w:ascii="Calibri" w:cs="Calibri" w:eastAsia="Calibri" w:hAnsi="Calibri"/>
                <w:sz w:val="22"/>
                <w:szCs w:val="22"/>
                <w:b w:val="1"/>
                <w:bCs w:val="1"/>
                <w:color w:val="EE2724"/>
                <w:w w:val="89"/>
              </w:rPr>
              <w:t>1</w:t>
            </w:r>
          </w:p>
        </w:tc>
      </w:tr>
      <w:tr>
        <w:trPr>
          <w:trHeight w:val="61"/>
        </w:trPr>
        <w:tc>
          <w:tcPr>
            <w:tcW w:w="20" w:type="dxa"/>
            <w:vAlign w:val="bottom"/>
            <w:tcBorders>
              <w:bottom w:val="single" w:sz="8" w:color="auto"/>
            </w:tcBorders>
          </w:tcPr>
          <w:p>
            <w:pPr>
              <w:spacing w:after="0"/>
              <w:rPr>
                <w:sz w:val="5"/>
                <w:szCs w:val="5"/>
                <w:color w:val="auto"/>
              </w:rPr>
            </w:pPr>
          </w:p>
        </w:tc>
        <w:tc>
          <w:tcPr>
            <w:tcW w:w="560" w:type="dxa"/>
            <w:vAlign w:val="bottom"/>
            <w:tcBorders>
              <w:top w:val="single" w:sz="8" w:color="0000EE"/>
              <w:bottom w:val="single" w:sz="8" w:color="auto"/>
            </w:tcBorders>
          </w:tcPr>
          <w:p>
            <w:pPr>
              <w:spacing w:after="0"/>
              <w:rPr>
                <w:sz w:val="5"/>
                <w:szCs w:val="5"/>
                <w:color w:val="auto"/>
              </w:rPr>
            </w:pPr>
          </w:p>
        </w:tc>
        <w:tc>
          <w:tcPr>
            <w:tcW w:w="320" w:type="dxa"/>
            <w:vAlign w:val="bottom"/>
            <w:tcBorders>
              <w:top w:val="single" w:sz="8" w:color="0000EE"/>
              <w:bottom w:val="single" w:sz="8" w:color="auto"/>
            </w:tcBorders>
          </w:tcPr>
          <w:p>
            <w:pPr>
              <w:spacing w:after="0"/>
              <w:rPr>
                <w:sz w:val="5"/>
                <w:szCs w:val="5"/>
                <w:color w:val="auto"/>
              </w:rPr>
            </w:pPr>
          </w:p>
        </w:tc>
        <w:tc>
          <w:tcPr>
            <w:tcW w:w="120" w:type="dxa"/>
            <w:vAlign w:val="bottom"/>
            <w:tcBorders>
              <w:top w:val="single" w:sz="8" w:color="0000EE"/>
              <w:bottom w:val="single" w:sz="8" w:color="auto"/>
            </w:tcBorders>
          </w:tcPr>
          <w:p>
            <w:pPr>
              <w:spacing w:after="0"/>
              <w:rPr>
                <w:sz w:val="5"/>
                <w:szCs w:val="5"/>
                <w:color w:val="auto"/>
              </w:rPr>
            </w:pPr>
          </w:p>
        </w:tc>
        <w:tc>
          <w:tcPr>
            <w:tcW w:w="300" w:type="dxa"/>
            <w:vAlign w:val="bottom"/>
            <w:tcBorders>
              <w:top w:val="single" w:sz="8" w:color="0000EE"/>
              <w:bottom w:val="single" w:sz="8" w:color="auto"/>
            </w:tcBorders>
          </w:tcPr>
          <w:p>
            <w:pPr>
              <w:spacing w:after="0"/>
              <w:rPr>
                <w:sz w:val="5"/>
                <w:szCs w:val="5"/>
                <w:color w:val="auto"/>
              </w:rPr>
            </w:pPr>
          </w:p>
        </w:tc>
        <w:tc>
          <w:tcPr>
            <w:tcW w:w="8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40" w:type="dxa"/>
            <w:vAlign w:val="bottom"/>
            <w:tcBorders>
              <w:top w:val="single" w:sz="8" w:color="0000EE"/>
              <w:bottom w:val="single" w:sz="8" w:color="auto"/>
            </w:tcBorders>
          </w:tcPr>
          <w:p>
            <w:pPr>
              <w:spacing w:after="0"/>
              <w:rPr>
                <w:sz w:val="5"/>
                <w:szCs w:val="5"/>
                <w:color w:val="auto"/>
              </w:rPr>
            </w:pPr>
          </w:p>
        </w:tc>
        <w:tc>
          <w:tcPr>
            <w:tcW w:w="12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140" w:type="dxa"/>
            <w:vAlign w:val="bottom"/>
            <w:tcBorders>
              <w:top w:val="single" w:sz="8" w:color="0000EE"/>
              <w:bottom w:val="single" w:sz="8" w:color="auto"/>
            </w:tcBorders>
          </w:tcPr>
          <w:p>
            <w:pPr>
              <w:spacing w:after="0"/>
              <w:rPr>
                <w:sz w:val="5"/>
                <w:szCs w:val="5"/>
                <w:color w:val="auto"/>
              </w:rPr>
            </w:pPr>
          </w:p>
        </w:tc>
        <w:tc>
          <w:tcPr>
            <w:tcW w:w="12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8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120" w:type="dxa"/>
            <w:vAlign w:val="bottom"/>
            <w:tcBorders>
              <w:top w:val="single" w:sz="8" w:color="0000EE"/>
              <w:bottom w:val="single" w:sz="8" w:color="auto"/>
            </w:tcBorders>
          </w:tcPr>
          <w:p>
            <w:pPr>
              <w:spacing w:after="0"/>
              <w:rPr>
                <w:sz w:val="5"/>
                <w:szCs w:val="5"/>
                <w:color w:val="auto"/>
              </w:rPr>
            </w:pPr>
          </w:p>
        </w:tc>
        <w:tc>
          <w:tcPr>
            <w:tcW w:w="80" w:type="dxa"/>
            <w:vAlign w:val="bottom"/>
            <w:tcBorders>
              <w:top w:val="single" w:sz="8" w:color="0000EE"/>
              <w:bottom w:val="single" w:sz="8" w:color="auto"/>
            </w:tcBorders>
          </w:tcPr>
          <w:p>
            <w:pPr>
              <w:spacing w:after="0"/>
              <w:rPr>
                <w:sz w:val="5"/>
                <w:szCs w:val="5"/>
                <w:color w:val="auto"/>
              </w:rPr>
            </w:pPr>
          </w:p>
        </w:tc>
        <w:tc>
          <w:tcPr>
            <w:tcW w:w="4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4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240" w:type="dxa"/>
            <w:vAlign w:val="bottom"/>
            <w:tcBorders>
              <w:top w:val="single" w:sz="8" w:color="0000EE"/>
              <w:bottom w:val="single" w:sz="8" w:color="auto"/>
            </w:tcBorders>
          </w:tcPr>
          <w:p>
            <w:pPr>
              <w:spacing w:after="0"/>
              <w:rPr>
                <w:sz w:val="5"/>
                <w:szCs w:val="5"/>
                <w:color w:val="auto"/>
              </w:rPr>
            </w:pPr>
          </w:p>
        </w:tc>
        <w:tc>
          <w:tcPr>
            <w:tcW w:w="4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120" w:type="dxa"/>
            <w:vAlign w:val="bottom"/>
            <w:tcBorders>
              <w:top w:val="single" w:sz="8" w:color="0000EE"/>
              <w:bottom w:val="single" w:sz="8" w:color="auto"/>
            </w:tcBorders>
          </w:tcPr>
          <w:p>
            <w:pPr>
              <w:spacing w:after="0"/>
              <w:rPr>
                <w:sz w:val="5"/>
                <w:szCs w:val="5"/>
                <w:color w:val="auto"/>
              </w:rPr>
            </w:pPr>
          </w:p>
        </w:tc>
        <w:tc>
          <w:tcPr>
            <w:tcW w:w="80" w:type="dxa"/>
            <w:vAlign w:val="bottom"/>
            <w:tcBorders>
              <w:top w:val="single" w:sz="8" w:color="0000EE"/>
              <w:bottom w:val="single" w:sz="8" w:color="auto"/>
            </w:tcBorders>
          </w:tcPr>
          <w:p>
            <w:pPr>
              <w:spacing w:after="0"/>
              <w:rPr>
                <w:sz w:val="5"/>
                <w:szCs w:val="5"/>
                <w:color w:val="auto"/>
              </w:rPr>
            </w:pPr>
          </w:p>
        </w:tc>
        <w:tc>
          <w:tcPr>
            <w:tcW w:w="12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320" w:type="dxa"/>
            <w:vAlign w:val="bottom"/>
            <w:tcBorders>
              <w:top w:val="single" w:sz="8" w:color="0000EE"/>
              <w:bottom w:val="single" w:sz="8" w:color="auto"/>
            </w:tcBorders>
          </w:tcPr>
          <w:p>
            <w:pPr>
              <w:spacing w:after="0"/>
              <w:rPr>
                <w:sz w:val="5"/>
                <w:szCs w:val="5"/>
                <w:color w:val="auto"/>
              </w:rPr>
            </w:pPr>
          </w:p>
        </w:tc>
        <w:tc>
          <w:tcPr>
            <w:tcW w:w="220" w:type="dxa"/>
            <w:vAlign w:val="bottom"/>
            <w:tcBorders>
              <w:top w:val="single" w:sz="8" w:color="0000EE"/>
              <w:bottom w:val="single" w:sz="8" w:color="auto"/>
            </w:tcBorders>
          </w:tcPr>
          <w:p>
            <w:pPr>
              <w:spacing w:after="0"/>
              <w:rPr>
                <w:sz w:val="5"/>
                <w:szCs w:val="5"/>
                <w:color w:val="auto"/>
              </w:rPr>
            </w:pPr>
          </w:p>
        </w:tc>
        <w:tc>
          <w:tcPr>
            <w:tcW w:w="140" w:type="dxa"/>
            <w:vAlign w:val="bottom"/>
            <w:tcBorders>
              <w:top w:val="single" w:sz="8" w:color="0000EE"/>
              <w:bottom w:val="single" w:sz="8" w:color="auto"/>
            </w:tcBorders>
          </w:tcPr>
          <w:p>
            <w:pPr>
              <w:spacing w:after="0"/>
              <w:rPr>
                <w:sz w:val="5"/>
                <w:szCs w:val="5"/>
                <w:color w:val="auto"/>
              </w:rPr>
            </w:pPr>
          </w:p>
        </w:tc>
        <w:tc>
          <w:tcPr>
            <w:tcW w:w="40" w:type="dxa"/>
            <w:vAlign w:val="bottom"/>
            <w:tcBorders>
              <w:top w:val="single" w:sz="8" w:color="0000EE"/>
              <w:bottom w:val="single" w:sz="8" w:color="auto"/>
            </w:tcBorders>
          </w:tcPr>
          <w:p>
            <w:pPr>
              <w:spacing w:after="0"/>
              <w:rPr>
                <w:sz w:val="5"/>
                <w:szCs w:val="5"/>
                <w:color w:val="auto"/>
              </w:rPr>
            </w:pPr>
          </w:p>
        </w:tc>
        <w:tc>
          <w:tcPr>
            <w:tcW w:w="340" w:type="dxa"/>
            <w:vAlign w:val="bottom"/>
            <w:tcBorders>
              <w:top w:val="single" w:sz="8" w:color="0000EE"/>
              <w:bottom w:val="single" w:sz="8" w:color="auto"/>
            </w:tcBorders>
          </w:tcPr>
          <w:p>
            <w:pPr>
              <w:spacing w:after="0"/>
              <w:rPr>
                <w:sz w:val="5"/>
                <w:szCs w:val="5"/>
                <w:color w:val="auto"/>
              </w:rPr>
            </w:pPr>
          </w:p>
        </w:tc>
        <w:tc>
          <w:tcPr>
            <w:tcW w:w="320" w:type="dxa"/>
            <w:vAlign w:val="bottom"/>
            <w:tcBorders>
              <w:top w:val="single" w:sz="8" w:color="0000EE"/>
              <w:bottom w:val="single" w:sz="8" w:color="auto"/>
            </w:tcBorders>
          </w:tcPr>
          <w:p>
            <w:pPr>
              <w:spacing w:after="0"/>
              <w:rPr>
                <w:sz w:val="5"/>
                <w:szCs w:val="5"/>
                <w:color w:val="auto"/>
              </w:rPr>
            </w:pPr>
          </w:p>
        </w:tc>
        <w:tc>
          <w:tcPr>
            <w:tcW w:w="120" w:type="dxa"/>
            <w:vAlign w:val="bottom"/>
            <w:tcBorders>
              <w:top w:val="single" w:sz="8" w:color="0000EE"/>
              <w:bottom w:val="single" w:sz="8" w:color="auto"/>
            </w:tcBorders>
          </w:tcPr>
          <w:p>
            <w:pPr>
              <w:spacing w:after="0"/>
              <w:rPr>
                <w:sz w:val="5"/>
                <w:szCs w:val="5"/>
                <w:color w:val="auto"/>
              </w:rPr>
            </w:pPr>
          </w:p>
        </w:tc>
        <w:tc>
          <w:tcPr>
            <w:tcW w:w="860" w:type="dxa"/>
            <w:vAlign w:val="bottom"/>
            <w:tcBorders>
              <w:top w:val="single" w:sz="8" w:color="0000EE"/>
              <w:bottom w:val="single" w:sz="8" w:color="auto"/>
            </w:tcBorders>
          </w:tcPr>
          <w:p>
            <w:pPr>
              <w:spacing w:after="0"/>
              <w:rPr>
                <w:sz w:val="5"/>
                <w:szCs w:val="5"/>
                <w:color w:val="auto"/>
              </w:rPr>
            </w:pPr>
          </w:p>
        </w:tc>
        <w:tc>
          <w:tcPr>
            <w:tcW w:w="200" w:type="dxa"/>
            <w:vAlign w:val="bottom"/>
            <w:tcBorders>
              <w:top w:val="single" w:sz="8" w:color="0000EE"/>
              <w:bottom w:val="single" w:sz="8" w:color="auto"/>
            </w:tcBorders>
          </w:tcPr>
          <w:p>
            <w:pPr>
              <w:spacing w:after="0"/>
              <w:rPr>
                <w:sz w:val="5"/>
                <w:szCs w:val="5"/>
                <w:color w:val="auto"/>
              </w:rPr>
            </w:pPr>
          </w:p>
        </w:tc>
        <w:tc>
          <w:tcPr>
            <w:tcW w:w="400" w:type="dxa"/>
            <w:vAlign w:val="bottom"/>
            <w:tcBorders>
              <w:top w:val="single" w:sz="8" w:color="0000EE"/>
              <w:bottom w:val="single" w:sz="8" w:color="auto"/>
            </w:tcBorders>
          </w:tcPr>
          <w:p>
            <w:pPr>
              <w:spacing w:after="0"/>
              <w:rPr>
                <w:sz w:val="5"/>
                <w:szCs w:val="5"/>
                <w:color w:val="auto"/>
              </w:rPr>
            </w:pPr>
          </w:p>
        </w:tc>
        <w:tc>
          <w:tcPr>
            <w:tcW w:w="28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155"/>
        </w:trPr>
        <w:tc>
          <w:tcPr>
            <w:tcW w:w="20" w:type="dxa"/>
            <w:vAlign w:val="bottom"/>
          </w:tcPr>
          <w:p>
            <w:pPr>
              <w:spacing w:after="0"/>
              <w:rPr>
                <w:sz w:val="13"/>
                <w:szCs w:val="13"/>
                <w:color w:val="auto"/>
              </w:rPr>
            </w:pPr>
          </w:p>
        </w:tc>
        <w:tc>
          <w:tcPr>
            <w:tcW w:w="10080" w:type="dxa"/>
            <w:vAlign w:val="bottom"/>
            <w:gridSpan w:val="44"/>
          </w:tcPr>
          <w:p>
            <w:pPr>
              <w:spacing w:after="0" w:line="156" w:lineRule="exact"/>
              <w:rPr>
                <w:sz w:val="20"/>
                <w:szCs w:val="20"/>
                <w:color w:val="auto"/>
              </w:rPr>
            </w:pPr>
            <w:r>
              <w:rPr>
                <w:rFonts w:ascii="Calibri" w:cs="Calibri" w:eastAsia="Calibri" w:hAnsi="Calibri"/>
                <w:sz w:val="16"/>
                <w:szCs w:val="16"/>
                <w:color w:val="auto"/>
              </w:rPr>
              <w:t>Introducton</w:t>
            </w:r>
          </w:p>
        </w:tc>
        <w:tc>
          <w:tcPr>
            <w:tcW w:w="1140" w:type="dxa"/>
            <w:vAlign w:val="bottom"/>
          </w:tcPr>
          <w:p>
            <w:pPr>
              <w:jc w:val="center"/>
              <w:ind w:left="392"/>
              <w:spacing w:after="0" w:line="156" w:lineRule="exact"/>
              <w:rPr>
                <w:sz w:val="20"/>
                <w:szCs w:val="20"/>
                <w:color w:val="auto"/>
              </w:rPr>
            </w:pPr>
            <w:r>
              <w:rPr>
                <w:rFonts w:ascii="Calibri" w:cs="Calibri" w:eastAsia="Calibri" w:hAnsi="Calibri"/>
                <w:sz w:val="16"/>
                <w:szCs w:val="16"/>
                <w:color w:val="auto"/>
              </w:rPr>
              <w:t>1</w:t>
            </w: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Borders>
              <w:bottom w:val="single" w:sz="8" w:color="0000EE"/>
            </w:tcBorders>
            <w:gridSpan w:val="4"/>
          </w:tcPr>
          <w:p>
            <w:pPr>
              <w:spacing w:after="0"/>
              <w:rPr>
                <w:sz w:val="20"/>
                <w:szCs w:val="20"/>
                <w:color w:val="auto"/>
              </w:rPr>
            </w:pPr>
            <w:r>
              <w:rPr>
                <w:rFonts w:ascii="Calibri" w:cs="Calibri" w:eastAsia="Calibri" w:hAnsi="Calibri"/>
                <w:sz w:val="17"/>
                <w:szCs w:val="17"/>
                <w:color w:val="auto"/>
              </w:rPr>
              <w:t>Votng Procedures</w:t>
            </w:r>
          </w:p>
        </w:tc>
        <w:tc>
          <w:tcPr>
            <w:tcW w:w="8780" w:type="dxa"/>
            <w:vAlign w:val="bottom"/>
            <w:gridSpan w:val="40"/>
          </w:tcPr>
          <w:p>
            <w:pPr>
              <w:spacing w:after="0"/>
              <w:rPr>
                <w:sz w:val="18"/>
                <w:szCs w:val="18"/>
                <w:color w:val="auto"/>
              </w:rPr>
            </w:pPr>
          </w:p>
        </w:tc>
        <w:tc>
          <w:tcPr>
            <w:tcW w:w="1140" w:type="dxa"/>
            <w:vAlign w:val="bottom"/>
          </w:tcPr>
          <w:p>
            <w:pPr>
              <w:jc w:val="center"/>
              <w:ind w:left="392"/>
              <w:spacing w:after="0"/>
              <w:rPr>
                <w:sz w:val="20"/>
                <w:szCs w:val="20"/>
                <w:color w:val="auto"/>
              </w:rPr>
            </w:pPr>
            <w:r>
              <w:rPr>
                <w:rFonts w:ascii="Calibri" w:cs="Calibri" w:eastAsia="Calibri" w:hAnsi="Calibri"/>
                <w:sz w:val="17"/>
                <w:szCs w:val="17"/>
                <w:color w:val="auto"/>
              </w:rPr>
              <w:t>1</w:t>
            </w:r>
          </w:p>
        </w:tc>
      </w:tr>
      <w:tr>
        <w:trPr>
          <w:trHeight w:val="209"/>
        </w:trPr>
        <w:tc>
          <w:tcPr>
            <w:tcW w:w="20" w:type="dxa"/>
            <w:vAlign w:val="bottom"/>
          </w:tcPr>
          <w:p>
            <w:pPr>
              <w:spacing w:after="0"/>
              <w:rPr>
                <w:sz w:val="18"/>
                <w:szCs w:val="18"/>
                <w:color w:val="auto"/>
              </w:rPr>
            </w:pPr>
          </w:p>
        </w:tc>
        <w:tc>
          <w:tcPr>
            <w:tcW w:w="10080" w:type="dxa"/>
            <w:vAlign w:val="bottom"/>
            <w:gridSpan w:val="44"/>
          </w:tcPr>
          <w:p>
            <w:pPr>
              <w:spacing w:after="0"/>
              <w:rPr>
                <w:sz w:val="20"/>
                <w:szCs w:val="20"/>
                <w:color w:val="auto"/>
              </w:rPr>
            </w:pPr>
            <w:r>
              <w:rPr>
                <w:rFonts w:ascii="Calibri" w:cs="Calibri" w:eastAsia="Calibri" w:hAnsi="Calibri"/>
                <w:sz w:val="17"/>
                <w:szCs w:val="17"/>
                <w:color w:val="auto"/>
              </w:rPr>
              <w:t>Revocaton of Proxy</w:t>
            </w:r>
          </w:p>
        </w:tc>
        <w:tc>
          <w:tcPr>
            <w:tcW w:w="1140" w:type="dxa"/>
            <w:vAlign w:val="bottom"/>
          </w:tcPr>
          <w:p>
            <w:pPr>
              <w:jc w:val="center"/>
              <w:ind w:left="392"/>
              <w:spacing w:after="0"/>
              <w:rPr>
                <w:sz w:val="20"/>
                <w:szCs w:val="20"/>
                <w:color w:val="auto"/>
              </w:rPr>
            </w:pPr>
            <w:r>
              <w:rPr>
                <w:rFonts w:ascii="Calibri" w:cs="Calibri" w:eastAsia="Calibri" w:hAnsi="Calibri"/>
                <w:sz w:val="17"/>
                <w:szCs w:val="17"/>
                <w:color w:val="auto"/>
              </w:rPr>
              <w:t>2</w:t>
            </w: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80" w:type="dxa"/>
            <w:vAlign w:val="bottom"/>
            <w:gridSpan w:val="44"/>
          </w:tcPr>
          <w:p>
            <w:pPr>
              <w:spacing w:after="0"/>
              <w:rPr>
                <w:sz w:val="20"/>
                <w:szCs w:val="20"/>
                <w:color w:val="auto"/>
              </w:rPr>
            </w:pPr>
            <w:r>
              <w:rPr>
                <w:rFonts w:ascii="Calibri" w:cs="Calibri" w:eastAsia="Calibri" w:hAnsi="Calibri"/>
                <w:sz w:val="17"/>
                <w:szCs w:val="17"/>
                <w:color w:val="auto"/>
              </w:rPr>
              <w:t>Partcipaton in the Virtual Annual Meetng</w:t>
            </w:r>
          </w:p>
        </w:tc>
        <w:tc>
          <w:tcPr>
            <w:tcW w:w="1140" w:type="dxa"/>
            <w:vAlign w:val="bottom"/>
          </w:tcPr>
          <w:p>
            <w:pPr>
              <w:jc w:val="center"/>
              <w:ind w:left="392"/>
              <w:spacing w:after="0"/>
              <w:rPr>
                <w:sz w:val="20"/>
                <w:szCs w:val="20"/>
                <w:color w:val="auto"/>
              </w:rPr>
            </w:pPr>
            <w:r>
              <w:rPr>
                <w:rFonts w:ascii="Calibri" w:cs="Calibri" w:eastAsia="Calibri" w:hAnsi="Calibri"/>
                <w:sz w:val="17"/>
                <w:szCs w:val="17"/>
                <w:color w:val="auto"/>
              </w:rPr>
              <w:t>2</w:t>
            </w:r>
          </w:p>
        </w:tc>
      </w:tr>
      <w:tr>
        <w:trPr>
          <w:trHeight w:val="209"/>
        </w:trPr>
        <w:tc>
          <w:tcPr>
            <w:tcW w:w="20" w:type="dxa"/>
            <w:vAlign w:val="bottom"/>
          </w:tcPr>
          <w:p>
            <w:pPr>
              <w:spacing w:after="0"/>
              <w:rPr>
                <w:sz w:val="18"/>
                <w:szCs w:val="18"/>
                <w:color w:val="auto"/>
              </w:rPr>
            </w:pPr>
          </w:p>
        </w:tc>
        <w:tc>
          <w:tcPr>
            <w:tcW w:w="3040" w:type="dxa"/>
            <w:vAlign w:val="bottom"/>
            <w:tcBorders>
              <w:top w:val="single" w:sz="8" w:color="0000EE"/>
            </w:tcBorders>
            <w:gridSpan w:val="27"/>
          </w:tcPr>
          <w:p>
            <w:pPr>
              <w:spacing w:after="0"/>
              <w:rPr>
                <w:sz w:val="20"/>
                <w:szCs w:val="20"/>
                <w:color w:val="auto"/>
              </w:rPr>
            </w:pPr>
            <w:r>
              <w:rPr>
                <w:rFonts w:ascii="Calibri" w:cs="Calibri" w:eastAsia="Calibri" w:hAnsi="Calibri"/>
                <w:sz w:val="17"/>
                <w:szCs w:val="17"/>
                <w:color w:val="auto"/>
              </w:rPr>
              <w:t>Internet Availability of Proxy Materials</w:t>
            </w:r>
          </w:p>
        </w:tc>
        <w:tc>
          <w:tcPr>
            <w:tcW w:w="7040" w:type="dxa"/>
            <w:vAlign w:val="bottom"/>
            <w:gridSpan w:val="17"/>
          </w:tcPr>
          <w:p>
            <w:pPr>
              <w:spacing w:after="0"/>
              <w:rPr>
                <w:sz w:val="18"/>
                <w:szCs w:val="18"/>
                <w:color w:val="auto"/>
              </w:rPr>
            </w:pPr>
          </w:p>
        </w:tc>
        <w:tc>
          <w:tcPr>
            <w:tcW w:w="1140" w:type="dxa"/>
            <w:vAlign w:val="bottom"/>
          </w:tcPr>
          <w:p>
            <w:pPr>
              <w:jc w:val="center"/>
              <w:ind w:left="392"/>
              <w:spacing w:after="0"/>
              <w:rPr>
                <w:sz w:val="20"/>
                <w:szCs w:val="20"/>
                <w:color w:val="auto"/>
              </w:rPr>
            </w:pPr>
            <w:r>
              <w:rPr>
                <w:rFonts w:ascii="Calibri" w:cs="Calibri" w:eastAsia="Calibri" w:hAnsi="Calibri"/>
                <w:sz w:val="17"/>
                <w:szCs w:val="17"/>
                <w:color w:val="auto"/>
              </w:rPr>
              <w:t>2</w:t>
            </w:r>
          </w:p>
        </w:tc>
      </w:tr>
      <w:tr>
        <w:trPr>
          <w:trHeight w:val="209"/>
        </w:trPr>
        <w:tc>
          <w:tcPr>
            <w:tcW w:w="20" w:type="dxa"/>
            <w:vAlign w:val="bottom"/>
          </w:tcPr>
          <w:p>
            <w:pPr>
              <w:spacing w:after="0"/>
              <w:rPr>
                <w:sz w:val="18"/>
                <w:szCs w:val="18"/>
                <w:color w:val="auto"/>
              </w:rPr>
            </w:pPr>
          </w:p>
        </w:tc>
        <w:tc>
          <w:tcPr>
            <w:tcW w:w="2180" w:type="dxa"/>
            <w:vAlign w:val="bottom"/>
            <w:tcBorders>
              <w:top w:val="single" w:sz="8" w:color="0000EE"/>
              <w:bottom w:val="single" w:sz="8" w:color="0000EE"/>
            </w:tcBorders>
            <w:gridSpan w:val="17"/>
          </w:tcPr>
          <w:p>
            <w:pPr>
              <w:spacing w:after="0"/>
              <w:rPr>
                <w:sz w:val="20"/>
                <w:szCs w:val="20"/>
                <w:color w:val="auto"/>
              </w:rPr>
            </w:pPr>
            <w:r>
              <w:rPr>
                <w:rFonts w:ascii="Calibri" w:cs="Calibri" w:eastAsia="Calibri" w:hAnsi="Calibri"/>
                <w:sz w:val="17"/>
                <w:szCs w:val="17"/>
                <w:color w:val="auto"/>
              </w:rPr>
              <w:t>Record Date; Number of Votes</w:t>
            </w:r>
          </w:p>
        </w:tc>
        <w:tc>
          <w:tcPr>
            <w:tcW w:w="540" w:type="dxa"/>
            <w:vAlign w:val="bottom"/>
            <w:tcBorders>
              <w:top w:val="single" w:sz="8" w:color="0000EE"/>
            </w:tcBorders>
            <w:gridSpan w:val="6"/>
          </w:tcPr>
          <w:p>
            <w:pPr>
              <w:spacing w:after="0"/>
              <w:rPr>
                <w:sz w:val="18"/>
                <w:szCs w:val="18"/>
                <w:color w:val="auto"/>
              </w:rPr>
            </w:pPr>
          </w:p>
        </w:tc>
        <w:tc>
          <w:tcPr>
            <w:tcW w:w="7360" w:type="dxa"/>
            <w:vAlign w:val="bottom"/>
            <w:gridSpan w:val="21"/>
          </w:tcPr>
          <w:p>
            <w:pPr>
              <w:spacing w:after="0"/>
              <w:rPr>
                <w:sz w:val="18"/>
                <w:szCs w:val="18"/>
                <w:color w:val="auto"/>
              </w:rPr>
            </w:pPr>
          </w:p>
        </w:tc>
        <w:tc>
          <w:tcPr>
            <w:tcW w:w="1140" w:type="dxa"/>
            <w:vAlign w:val="bottom"/>
          </w:tcPr>
          <w:p>
            <w:pPr>
              <w:jc w:val="center"/>
              <w:ind w:left="392"/>
              <w:spacing w:after="0"/>
              <w:rPr>
                <w:sz w:val="20"/>
                <w:szCs w:val="20"/>
                <w:color w:val="auto"/>
              </w:rPr>
            </w:pPr>
            <w:r>
              <w:rPr>
                <w:rFonts w:ascii="Calibri" w:cs="Calibri" w:eastAsia="Calibri" w:hAnsi="Calibri"/>
                <w:sz w:val="17"/>
                <w:szCs w:val="17"/>
                <w:color w:val="auto"/>
              </w:rPr>
              <w:t>3</w:t>
            </w:r>
          </w:p>
        </w:tc>
      </w:tr>
      <w:tr>
        <w:trPr>
          <w:trHeight w:val="210"/>
        </w:trPr>
        <w:tc>
          <w:tcPr>
            <w:tcW w:w="20" w:type="dxa"/>
            <w:vAlign w:val="bottom"/>
          </w:tcPr>
          <w:p>
            <w:pPr>
              <w:spacing w:after="0"/>
              <w:rPr>
                <w:sz w:val="18"/>
                <w:szCs w:val="18"/>
                <w:color w:val="auto"/>
              </w:rPr>
            </w:pPr>
          </w:p>
        </w:tc>
        <w:tc>
          <w:tcPr>
            <w:tcW w:w="10080" w:type="dxa"/>
            <w:vAlign w:val="bottom"/>
            <w:gridSpan w:val="44"/>
          </w:tcPr>
          <w:p>
            <w:pPr>
              <w:spacing w:after="0"/>
              <w:rPr>
                <w:sz w:val="20"/>
                <w:szCs w:val="20"/>
                <w:color w:val="auto"/>
              </w:rPr>
            </w:pPr>
            <w:r>
              <w:rPr>
                <w:rFonts w:ascii="Calibri" w:cs="Calibri" w:eastAsia="Calibri" w:hAnsi="Calibri"/>
                <w:sz w:val="17"/>
                <w:szCs w:val="17"/>
                <w:color w:val="auto"/>
              </w:rPr>
              <w:t>Expenses of Proxy Solicitaton</w:t>
            </w:r>
          </w:p>
        </w:tc>
        <w:tc>
          <w:tcPr>
            <w:tcW w:w="1140" w:type="dxa"/>
            <w:vAlign w:val="bottom"/>
          </w:tcPr>
          <w:p>
            <w:pPr>
              <w:jc w:val="center"/>
              <w:ind w:left="392"/>
              <w:spacing w:after="0"/>
              <w:rPr>
                <w:sz w:val="20"/>
                <w:szCs w:val="20"/>
                <w:color w:val="auto"/>
              </w:rPr>
            </w:pPr>
            <w:r>
              <w:rPr>
                <w:rFonts w:ascii="Calibri" w:cs="Calibri" w:eastAsia="Calibri" w:hAnsi="Calibri"/>
                <w:sz w:val="17"/>
                <w:szCs w:val="17"/>
                <w:color w:val="auto"/>
              </w:rPr>
              <w:t>3</w:t>
            </w:r>
          </w:p>
        </w:tc>
      </w:tr>
      <w:tr>
        <w:trPr>
          <w:trHeight w:val="48"/>
        </w:trPr>
        <w:tc>
          <w:tcPr>
            <w:tcW w:w="20" w:type="dxa"/>
            <w:vAlign w:val="bottom"/>
            <w:tcBorders>
              <w:bottom w:val="single" w:sz="8" w:color="auto"/>
            </w:tcBorders>
          </w:tcPr>
          <w:p>
            <w:pPr>
              <w:spacing w:after="0"/>
              <w:rPr>
                <w:sz w:val="4"/>
                <w:szCs w:val="4"/>
                <w:color w:val="auto"/>
              </w:rPr>
            </w:pPr>
          </w:p>
        </w:tc>
        <w:tc>
          <w:tcPr>
            <w:tcW w:w="560" w:type="dxa"/>
            <w:vAlign w:val="bottom"/>
            <w:tcBorders>
              <w:top w:val="single" w:sz="8" w:color="0000EE"/>
              <w:bottom w:val="single" w:sz="8" w:color="auto"/>
            </w:tcBorders>
          </w:tcPr>
          <w:p>
            <w:pPr>
              <w:spacing w:after="0"/>
              <w:rPr>
                <w:sz w:val="4"/>
                <w:szCs w:val="4"/>
                <w:color w:val="auto"/>
              </w:rPr>
            </w:pPr>
          </w:p>
        </w:tc>
        <w:tc>
          <w:tcPr>
            <w:tcW w:w="320" w:type="dxa"/>
            <w:vAlign w:val="bottom"/>
            <w:tcBorders>
              <w:top w:val="single" w:sz="8" w:color="0000EE"/>
              <w:bottom w:val="single" w:sz="8" w:color="auto"/>
            </w:tcBorders>
          </w:tcPr>
          <w:p>
            <w:pPr>
              <w:spacing w:after="0"/>
              <w:rPr>
                <w:sz w:val="4"/>
                <w:szCs w:val="4"/>
                <w:color w:val="auto"/>
              </w:rPr>
            </w:pPr>
          </w:p>
        </w:tc>
        <w:tc>
          <w:tcPr>
            <w:tcW w:w="120" w:type="dxa"/>
            <w:vAlign w:val="bottom"/>
            <w:tcBorders>
              <w:top w:val="single" w:sz="8" w:color="0000EE"/>
              <w:bottom w:val="single" w:sz="8" w:color="auto"/>
            </w:tcBorders>
          </w:tcPr>
          <w:p>
            <w:pPr>
              <w:spacing w:after="0"/>
              <w:rPr>
                <w:sz w:val="4"/>
                <w:szCs w:val="4"/>
                <w:color w:val="auto"/>
              </w:rPr>
            </w:pPr>
          </w:p>
        </w:tc>
        <w:tc>
          <w:tcPr>
            <w:tcW w:w="300" w:type="dxa"/>
            <w:vAlign w:val="bottom"/>
            <w:tcBorders>
              <w:top w:val="single" w:sz="8" w:color="0000EE"/>
              <w:bottom w:val="single" w:sz="8" w:color="auto"/>
            </w:tcBorders>
          </w:tcPr>
          <w:p>
            <w:pPr>
              <w:spacing w:after="0"/>
              <w:rPr>
                <w:sz w:val="4"/>
                <w:szCs w:val="4"/>
                <w:color w:val="auto"/>
              </w:rPr>
            </w:pPr>
          </w:p>
        </w:tc>
        <w:tc>
          <w:tcPr>
            <w:tcW w:w="80" w:type="dxa"/>
            <w:vAlign w:val="bottom"/>
            <w:tcBorders>
              <w:top w:val="single" w:sz="8" w:color="0000EE"/>
              <w:bottom w:val="single" w:sz="8" w:color="auto"/>
            </w:tcBorders>
          </w:tcPr>
          <w:p>
            <w:pPr>
              <w:spacing w:after="0"/>
              <w:rPr>
                <w:sz w:val="4"/>
                <w:szCs w:val="4"/>
                <w:color w:val="auto"/>
              </w:rPr>
            </w:pPr>
          </w:p>
        </w:tc>
        <w:tc>
          <w:tcPr>
            <w:tcW w:w="10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12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60" w:type="dxa"/>
            <w:vAlign w:val="bottom"/>
            <w:tcBorders>
              <w:top w:val="single" w:sz="8" w:color="0000EE"/>
              <w:bottom w:val="single" w:sz="8" w:color="auto"/>
            </w:tcBorders>
          </w:tcPr>
          <w:p>
            <w:pPr>
              <w:spacing w:after="0"/>
              <w:rPr>
                <w:sz w:val="4"/>
                <w:szCs w:val="4"/>
                <w:color w:val="auto"/>
              </w:rPr>
            </w:pPr>
          </w:p>
        </w:tc>
        <w:tc>
          <w:tcPr>
            <w:tcW w:w="140" w:type="dxa"/>
            <w:vAlign w:val="bottom"/>
            <w:tcBorders>
              <w:top w:val="single" w:sz="8" w:color="0000EE"/>
              <w:bottom w:val="single" w:sz="8" w:color="auto"/>
            </w:tcBorders>
          </w:tcPr>
          <w:p>
            <w:pPr>
              <w:spacing w:after="0"/>
              <w:rPr>
                <w:sz w:val="4"/>
                <w:szCs w:val="4"/>
                <w:color w:val="auto"/>
              </w:rPr>
            </w:pPr>
          </w:p>
        </w:tc>
        <w:tc>
          <w:tcPr>
            <w:tcW w:w="12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80" w:type="dxa"/>
            <w:vAlign w:val="bottom"/>
            <w:tcBorders>
              <w:top w:val="single" w:sz="8" w:color="0000EE"/>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8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09"/>
        </w:trPr>
        <w:tc>
          <w:tcPr>
            <w:tcW w:w="20" w:type="dxa"/>
            <w:vAlign w:val="bottom"/>
          </w:tcPr>
          <w:p>
            <w:pPr>
              <w:spacing w:after="0"/>
              <w:rPr>
                <w:sz w:val="18"/>
                <w:szCs w:val="18"/>
                <w:color w:val="auto"/>
              </w:rPr>
            </w:pPr>
          </w:p>
        </w:tc>
        <w:tc>
          <w:tcPr>
            <w:tcW w:w="10080" w:type="dxa"/>
            <w:vAlign w:val="bottom"/>
            <w:gridSpan w:val="44"/>
          </w:tcPr>
          <w:p>
            <w:pPr>
              <w:spacing w:after="0" w:line="210" w:lineRule="exact"/>
              <w:rPr>
                <w:sz w:val="20"/>
                <w:szCs w:val="20"/>
                <w:color w:val="auto"/>
              </w:rPr>
            </w:pPr>
            <w:r>
              <w:rPr>
                <w:rFonts w:ascii="Calibri" w:cs="Calibri" w:eastAsia="Calibri" w:hAnsi="Calibri"/>
                <w:sz w:val="22"/>
                <w:szCs w:val="22"/>
                <w:b w:val="1"/>
                <w:bCs w:val="1"/>
                <w:color w:val="FF0000"/>
              </w:rPr>
              <w:t>Corporate Governance</w:t>
            </w:r>
          </w:p>
        </w:tc>
        <w:tc>
          <w:tcPr>
            <w:tcW w:w="1140" w:type="dxa"/>
            <w:vAlign w:val="bottom"/>
          </w:tcPr>
          <w:p>
            <w:pPr>
              <w:jc w:val="center"/>
              <w:ind w:left="392"/>
              <w:spacing w:after="0" w:line="210" w:lineRule="exact"/>
              <w:rPr>
                <w:sz w:val="20"/>
                <w:szCs w:val="20"/>
                <w:color w:val="auto"/>
              </w:rPr>
            </w:pPr>
            <w:r>
              <w:rPr>
                <w:rFonts w:ascii="Calibri" w:cs="Calibri" w:eastAsia="Calibri" w:hAnsi="Calibri"/>
                <w:sz w:val="22"/>
                <w:szCs w:val="22"/>
                <w:color w:val="FF0000"/>
                <w:w w:val="89"/>
              </w:rPr>
              <w:t>3</w:t>
            </w:r>
          </w:p>
        </w:tc>
      </w:tr>
      <w:tr>
        <w:trPr>
          <w:trHeight w:val="61"/>
        </w:trPr>
        <w:tc>
          <w:tcPr>
            <w:tcW w:w="20" w:type="dxa"/>
            <w:vAlign w:val="bottom"/>
            <w:tcBorders>
              <w:bottom w:val="single" w:sz="8" w:color="auto"/>
            </w:tcBorders>
          </w:tcPr>
          <w:p>
            <w:pPr>
              <w:spacing w:after="0"/>
              <w:rPr>
                <w:sz w:val="5"/>
                <w:szCs w:val="5"/>
                <w:color w:val="auto"/>
              </w:rPr>
            </w:pPr>
          </w:p>
        </w:tc>
        <w:tc>
          <w:tcPr>
            <w:tcW w:w="560" w:type="dxa"/>
            <w:vAlign w:val="bottom"/>
            <w:tcBorders>
              <w:top w:val="single" w:sz="8" w:color="0000EE"/>
              <w:bottom w:val="single" w:sz="8" w:color="auto"/>
            </w:tcBorders>
          </w:tcPr>
          <w:p>
            <w:pPr>
              <w:spacing w:after="0"/>
              <w:rPr>
                <w:sz w:val="5"/>
                <w:szCs w:val="5"/>
                <w:color w:val="auto"/>
              </w:rPr>
            </w:pPr>
          </w:p>
        </w:tc>
        <w:tc>
          <w:tcPr>
            <w:tcW w:w="320" w:type="dxa"/>
            <w:vAlign w:val="bottom"/>
            <w:tcBorders>
              <w:top w:val="single" w:sz="8" w:color="0000EE"/>
              <w:bottom w:val="single" w:sz="8" w:color="auto"/>
            </w:tcBorders>
          </w:tcPr>
          <w:p>
            <w:pPr>
              <w:spacing w:after="0"/>
              <w:rPr>
                <w:sz w:val="5"/>
                <w:szCs w:val="5"/>
                <w:color w:val="auto"/>
              </w:rPr>
            </w:pPr>
          </w:p>
        </w:tc>
        <w:tc>
          <w:tcPr>
            <w:tcW w:w="120" w:type="dxa"/>
            <w:vAlign w:val="bottom"/>
            <w:tcBorders>
              <w:top w:val="single" w:sz="8" w:color="0000EE"/>
              <w:bottom w:val="single" w:sz="8" w:color="auto"/>
            </w:tcBorders>
          </w:tcPr>
          <w:p>
            <w:pPr>
              <w:spacing w:after="0"/>
              <w:rPr>
                <w:sz w:val="5"/>
                <w:szCs w:val="5"/>
                <w:color w:val="auto"/>
              </w:rPr>
            </w:pPr>
          </w:p>
        </w:tc>
        <w:tc>
          <w:tcPr>
            <w:tcW w:w="300" w:type="dxa"/>
            <w:vAlign w:val="bottom"/>
            <w:tcBorders>
              <w:top w:val="single" w:sz="8" w:color="0000EE"/>
              <w:bottom w:val="single" w:sz="8" w:color="auto"/>
            </w:tcBorders>
          </w:tcPr>
          <w:p>
            <w:pPr>
              <w:spacing w:after="0"/>
              <w:rPr>
                <w:sz w:val="5"/>
                <w:szCs w:val="5"/>
                <w:color w:val="auto"/>
              </w:rPr>
            </w:pPr>
          </w:p>
        </w:tc>
        <w:tc>
          <w:tcPr>
            <w:tcW w:w="8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40" w:type="dxa"/>
            <w:vAlign w:val="bottom"/>
            <w:tcBorders>
              <w:top w:val="single" w:sz="8" w:color="0000EE"/>
              <w:bottom w:val="single" w:sz="8" w:color="auto"/>
            </w:tcBorders>
          </w:tcPr>
          <w:p>
            <w:pPr>
              <w:spacing w:after="0"/>
              <w:rPr>
                <w:sz w:val="5"/>
                <w:szCs w:val="5"/>
                <w:color w:val="auto"/>
              </w:rPr>
            </w:pPr>
          </w:p>
        </w:tc>
        <w:tc>
          <w:tcPr>
            <w:tcW w:w="12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140" w:type="dxa"/>
            <w:vAlign w:val="bottom"/>
            <w:tcBorders>
              <w:top w:val="single" w:sz="8" w:color="0000EE"/>
              <w:bottom w:val="single" w:sz="8" w:color="auto"/>
            </w:tcBorders>
          </w:tcPr>
          <w:p>
            <w:pPr>
              <w:spacing w:after="0"/>
              <w:rPr>
                <w:sz w:val="5"/>
                <w:szCs w:val="5"/>
                <w:color w:val="auto"/>
              </w:rPr>
            </w:pPr>
          </w:p>
        </w:tc>
        <w:tc>
          <w:tcPr>
            <w:tcW w:w="12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28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156"/>
        </w:trPr>
        <w:tc>
          <w:tcPr>
            <w:tcW w:w="20" w:type="dxa"/>
            <w:vAlign w:val="bottom"/>
          </w:tcPr>
          <w:p>
            <w:pPr>
              <w:spacing w:after="0"/>
              <w:rPr>
                <w:sz w:val="13"/>
                <w:szCs w:val="13"/>
                <w:color w:val="auto"/>
              </w:rPr>
            </w:pPr>
          </w:p>
        </w:tc>
        <w:tc>
          <w:tcPr>
            <w:tcW w:w="10080" w:type="dxa"/>
            <w:vAlign w:val="bottom"/>
            <w:gridSpan w:val="44"/>
          </w:tcPr>
          <w:p>
            <w:pPr>
              <w:spacing w:after="0" w:line="156" w:lineRule="exact"/>
              <w:rPr>
                <w:sz w:val="20"/>
                <w:szCs w:val="20"/>
                <w:color w:val="auto"/>
              </w:rPr>
            </w:pPr>
            <w:r>
              <w:rPr>
                <w:rFonts w:ascii="Calibri" w:cs="Calibri" w:eastAsia="Calibri" w:hAnsi="Calibri"/>
                <w:sz w:val="16"/>
                <w:szCs w:val="16"/>
                <w:color w:val="auto"/>
              </w:rPr>
              <w:t>Corporate Governance Guidelines</w:t>
            </w:r>
          </w:p>
        </w:tc>
        <w:tc>
          <w:tcPr>
            <w:tcW w:w="1140" w:type="dxa"/>
            <w:vAlign w:val="bottom"/>
          </w:tcPr>
          <w:p>
            <w:pPr>
              <w:jc w:val="center"/>
              <w:ind w:left="392"/>
              <w:spacing w:after="0" w:line="156" w:lineRule="exact"/>
              <w:rPr>
                <w:sz w:val="20"/>
                <w:szCs w:val="20"/>
                <w:color w:val="auto"/>
              </w:rPr>
            </w:pPr>
            <w:r>
              <w:rPr>
                <w:rFonts w:ascii="Calibri" w:cs="Calibri" w:eastAsia="Calibri" w:hAnsi="Calibri"/>
                <w:sz w:val="16"/>
                <w:szCs w:val="16"/>
                <w:color w:val="auto"/>
              </w:rPr>
              <w:t>3</w:t>
            </w: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80" w:type="dxa"/>
            <w:vAlign w:val="bottom"/>
            <w:gridSpan w:val="44"/>
          </w:tcPr>
          <w:p>
            <w:pPr>
              <w:spacing w:after="0"/>
              <w:rPr>
                <w:sz w:val="20"/>
                <w:szCs w:val="20"/>
                <w:color w:val="auto"/>
              </w:rPr>
            </w:pPr>
            <w:r>
              <w:rPr>
                <w:rFonts w:ascii="Calibri" w:cs="Calibri" w:eastAsia="Calibri" w:hAnsi="Calibri"/>
                <w:sz w:val="17"/>
                <w:szCs w:val="17"/>
                <w:color w:val="auto"/>
              </w:rPr>
              <w:t>Director Qualifcatons and Nominaton Process</w:t>
            </w:r>
          </w:p>
        </w:tc>
        <w:tc>
          <w:tcPr>
            <w:tcW w:w="1140" w:type="dxa"/>
            <w:vAlign w:val="bottom"/>
          </w:tcPr>
          <w:p>
            <w:pPr>
              <w:jc w:val="center"/>
              <w:ind w:left="392"/>
              <w:spacing w:after="0"/>
              <w:rPr>
                <w:sz w:val="20"/>
                <w:szCs w:val="20"/>
                <w:color w:val="auto"/>
              </w:rPr>
            </w:pPr>
            <w:r>
              <w:rPr>
                <w:rFonts w:ascii="Calibri" w:cs="Calibri" w:eastAsia="Calibri" w:hAnsi="Calibri"/>
                <w:sz w:val="17"/>
                <w:szCs w:val="17"/>
                <w:color w:val="auto"/>
              </w:rPr>
              <w:t>3</w:t>
            </w:r>
          </w:p>
        </w:tc>
      </w:tr>
      <w:tr>
        <w:trPr>
          <w:trHeight w:val="210"/>
        </w:trPr>
        <w:tc>
          <w:tcPr>
            <w:tcW w:w="20" w:type="dxa"/>
            <w:vAlign w:val="bottom"/>
          </w:tcPr>
          <w:p>
            <w:pPr>
              <w:spacing w:after="0"/>
              <w:rPr>
                <w:sz w:val="18"/>
                <w:szCs w:val="18"/>
                <w:color w:val="auto"/>
              </w:rPr>
            </w:pPr>
          </w:p>
        </w:tc>
        <w:tc>
          <w:tcPr>
            <w:tcW w:w="2580" w:type="dxa"/>
            <w:vAlign w:val="bottom"/>
            <w:tcBorders>
              <w:top w:val="single" w:sz="8" w:color="0000EE"/>
              <w:bottom w:val="single" w:sz="8" w:color="0000EE"/>
            </w:tcBorders>
            <w:gridSpan w:val="21"/>
          </w:tcPr>
          <w:p>
            <w:pPr>
              <w:spacing w:after="0"/>
              <w:rPr>
                <w:sz w:val="20"/>
                <w:szCs w:val="20"/>
                <w:color w:val="auto"/>
              </w:rPr>
            </w:pPr>
            <w:r>
              <w:rPr>
                <w:rFonts w:ascii="Calibri" w:cs="Calibri" w:eastAsia="Calibri" w:hAnsi="Calibri"/>
                <w:sz w:val="17"/>
                <w:szCs w:val="17"/>
                <w:color w:val="auto"/>
              </w:rPr>
              <w:t>Ethics and Independence Guidelines</w:t>
            </w:r>
          </w:p>
        </w:tc>
        <w:tc>
          <w:tcPr>
            <w:tcW w:w="780" w:type="dxa"/>
            <w:vAlign w:val="bottom"/>
            <w:tcBorders>
              <w:top w:val="single" w:sz="8" w:color="0000EE"/>
            </w:tcBorders>
            <w:gridSpan w:val="9"/>
          </w:tcPr>
          <w:p>
            <w:pPr>
              <w:spacing w:after="0"/>
              <w:rPr>
                <w:sz w:val="18"/>
                <w:szCs w:val="18"/>
                <w:color w:val="auto"/>
              </w:rPr>
            </w:pPr>
          </w:p>
        </w:tc>
        <w:tc>
          <w:tcPr>
            <w:tcW w:w="6720" w:type="dxa"/>
            <w:vAlign w:val="bottom"/>
            <w:gridSpan w:val="14"/>
          </w:tcPr>
          <w:p>
            <w:pPr>
              <w:spacing w:after="0"/>
              <w:rPr>
                <w:sz w:val="18"/>
                <w:szCs w:val="18"/>
                <w:color w:val="auto"/>
              </w:rPr>
            </w:pPr>
          </w:p>
        </w:tc>
        <w:tc>
          <w:tcPr>
            <w:tcW w:w="1140" w:type="dxa"/>
            <w:vAlign w:val="bottom"/>
          </w:tcPr>
          <w:p>
            <w:pPr>
              <w:jc w:val="center"/>
              <w:ind w:left="392"/>
              <w:spacing w:after="0"/>
              <w:rPr>
                <w:sz w:val="20"/>
                <w:szCs w:val="20"/>
                <w:color w:val="auto"/>
              </w:rPr>
            </w:pPr>
            <w:r>
              <w:rPr>
                <w:rFonts w:ascii="Calibri" w:cs="Calibri" w:eastAsia="Calibri" w:hAnsi="Calibri"/>
                <w:sz w:val="17"/>
                <w:szCs w:val="17"/>
                <w:color w:val="auto"/>
              </w:rPr>
              <w:t>4</w:t>
            </w:r>
          </w:p>
        </w:tc>
      </w:tr>
      <w:tr>
        <w:trPr>
          <w:trHeight w:val="209"/>
        </w:trPr>
        <w:tc>
          <w:tcPr>
            <w:tcW w:w="20" w:type="dxa"/>
            <w:vAlign w:val="bottom"/>
          </w:tcPr>
          <w:p>
            <w:pPr>
              <w:spacing w:after="0"/>
              <w:rPr>
                <w:sz w:val="18"/>
                <w:szCs w:val="18"/>
                <w:color w:val="auto"/>
              </w:rPr>
            </w:pPr>
          </w:p>
        </w:tc>
        <w:tc>
          <w:tcPr>
            <w:tcW w:w="1520" w:type="dxa"/>
            <w:vAlign w:val="bottom"/>
            <w:tcBorders>
              <w:bottom w:val="single" w:sz="8" w:color="0000EE"/>
            </w:tcBorders>
            <w:gridSpan w:val="7"/>
          </w:tcPr>
          <w:p>
            <w:pPr>
              <w:spacing w:after="0"/>
              <w:rPr>
                <w:sz w:val="20"/>
                <w:szCs w:val="20"/>
                <w:color w:val="auto"/>
              </w:rPr>
            </w:pPr>
            <w:r>
              <w:rPr>
                <w:rFonts w:ascii="Calibri" w:cs="Calibri" w:eastAsia="Calibri" w:hAnsi="Calibri"/>
                <w:sz w:val="17"/>
                <w:szCs w:val="17"/>
                <w:color w:val="auto"/>
              </w:rPr>
              <w:t>Standing Commitees</w:t>
            </w:r>
          </w:p>
        </w:tc>
        <w:tc>
          <w:tcPr>
            <w:tcW w:w="8560" w:type="dxa"/>
            <w:vAlign w:val="bottom"/>
            <w:gridSpan w:val="37"/>
          </w:tcPr>
          <w:p>
            <w:pPr>
              <w:spacing w:after="0"/>
              <w:rPr>
                <w:sz w:val="18"/>
                <w:szCs w:val="18"/>
                <w:color w:val="auto"/>
              </w:rPr>
            </w:pPr>
          </w:p>
        </w:tc>
        <w:tc>
          <w:tcPr>
            <w:tcW w:w="1140" w:type="dxa"/>
            <w:vAlign w:val="bottom"/>
          </w:tcPr>
          <w:p>
            <w:pPr>
              <w:jc w:val="center"/>
              <w:ind w:left="392"/>
              <w:spacing w:after="0"/>
              <w:rPr>
                <w:sz w:val="20"/>
                <w:szCs w:val="20"/>
                <w:color w:val="auto"/>
              </w:rPr>
            </w:pPr>
            <w:r>
              <w:rPr>
                <w:rFonts w:ascii="Calibri" w:cs="Calibri" w:eastAsia="Calibri" w:hAnsi="Calibri"/>
                <w:sz w:val="17"/>
                <w:szCs w:val="17"/>
                <w:color w:val="auto"/>
              </w:rPr>
              <w:t>5</w:t>
            </w:r>
          </w:p>
        </w:tc>
      </w:tr>
      <w:tr>
        <w:trPr>
          <w:trHeight w:val="209"/>
        </w:trPr>
        <w:tc>
          <w:tcPr>
            <w:tcW w:w="20" w:type="dxa"/>
            <w:vAlign w:val="bottom"/>
          </w:tcPr>
          <w:p>
            <w:pPr>
              <w:spacing w:after="0"/>
              <w:rPr>
                <w:sz w:val="18"/>
                <w:szCs w:val="18"/>
                <w:color w:val="auto"/>
              </w:rPr>
            </w:pPr>
          </w:p>
        </w:tc>
        <w:tc>
          <w:tcPr>
            <w:tcW w:w="1480" w:type="dxa"/>
            <w:vAlign w:val="bottom"/>
            <w:tcBorders>
              <w:bottom w:val="single" w:sz="8" w:color="0000EE"/>
            </w:tcBorders>
            <w:gridSpan w:val="6"/>
          </w:tcPr>
          <w:p>
            <w:pPr>
              <w:spacing w:after="0"/>
              <w:rPr>
                <w:sz w:val="20"/>
                <w:szCs w:val="20"/>
                <w:color w:val="auto"/>
              </w:rPr>
            </w:pPr>
            <w:r>
              <w:rPr>
                <w:rFonts w:ascii="Calibri" w:cs="Calibri" w:eastAsia="Calibri" w:hAnsi="Calibri"/>
                <w:sz w:val="17"/>
                <w:szCs w:val="17"/>
                <w:color w:val="auto"/>
              </w:rPr>
              <w:t>Leadership Structure</w:t>
            </w:r>
          </w:p>
        </w:tc>
        <w:tc>
          <w:tcPr>
            <w:tcW w:w="8600" w:type="dxa"/>
            <w:vAlign w:val="bottom"/>
            <w:gridSpan w:val="38"/>
          </w:tcPr>
          <w:p>
            <w:pPr>
              <w:spacing w:after="0"/>
              <w:rPr>
                <w:sz w:val="18"/>
                <w:szCs w:val="18"/>
                <w:color w:val="auto"/>
              </w:rPr>
            </w:pPr>
          </w:p>
        </w:tc>
        <w:tc>
          <w:tcPr>
            <w:tcW w:w="1140" w:type="dxa"/>
            <w:vAlign w:val="bottom"/>
          </w:tcPr>
          <w:p>
            <w:pPr>
              <w:jc w:val="center"/>
              <w:ind w:left="392"/>
              <w:spacing w:after="0"/>
              <w:rPr>
                <w:sz w:val="20"/>
                <w:szCs w:val="20"/>
                <w:color w:val="auto"/>
              </w:rPr>
            </w:pPr>
            <w:r>
              <w:rPr>
                <w:rFonts w:ascii="Calibri" w:cs="Calibri" w:eastAsia="Calibri" w:hAnsi="Calibri"/>
                <w:sz w:val="17"/>
                <w:szCs w:val="17"/>
                <w:color w:val="auto"/>
              </w:rPr>
              <w:t>5</w:t>
            </w:r>
          </w:p>
        </w:tc>
      </w:tr>
      <w:tr>
        <w:trPr>
          <w:trHeight w:val="210"/>
        </w:trPr>
        <w:tc>
          <w:tcPr>
            <w:tcW w:w="20" w:type="dxa"/>
            <w:vAlign w:val="bottom"/>
          </w:tcPr>
          <w:p>
            <w:pPr>
              <w:spacing w:after="0"/>
              <w:rPr>
                <w:sz w:val="18"/>
                <w:szCs w:val="18"/>
                <w:color w:val="auto"/>
              </w:rPr>
            </w:pPr>
          </w:p>
        </w:tc>
        <w:tc>
          <w:tcPr>
            <w:tcW w:w="10080" w:type="dxa"/>
            <w:vAlign w:val="bottom"/>
            <w:gridSpan w:val="44"/>
          </w:tcPr>
          <w:p>
            <w:pPr>
              <w:spacing w:after="0"/>
              <w:rPr>
                <w:sz w:val="20"/>
                <w:szCs w:val="20"/>
                <w:color w:val="auto"/>
              </w:rPr>
            </w:pPr>
            <w:r>
              <w:rPr>
                <w:rFonts w:ascii="Calibri" w:cs="Calibri" w:eastAsia="Calibri" w:hAnsi="Calibri"/>
                <w:sz w:val="17"/>
                <w:szCs w:val="17"/>
                <w:color w:val="auto"/>
              </w:rPr>
              <w:t>Audit Commitee Financial Expert</w:t>
            </w:r>
          </w:p>
        </w:tc>
        <w:tc>
          <w:tcPr>
            <w:tcW w:w="1140" w:type="dxa"/>
            <w:vAlign w:val="bottom"/>
          </w:tcPr>
          <w:p>
            <w:pPr>
              <w:jc w:val="center"/>
              <w:ind w:left="392"/>
              <w:spacing w:after="0"/>
              <w:rPr>
                <w:sz w:val="20"/>
                <w:szCs w:val="20"/>
                <w:color w:val="auto"/>
              </w:rPr>
            </w:pPr>
            <w:r>
              <w:rPr>
                <w:rFonts w:ascii="Calibri" w:cs="Calibri" w:eastAsia="Calibri" w:hAnsi="Calibri"/>
                <w:sz w:val="17"/>
                <w:szCs w:val="17"/>
                <w:color w:val="auto"/>
              </w:rPr>
              <w:t>6</w:t>
            </w: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tcBorders>
              <w:bottom w:val="single" w:sz="8" w:color="0000EE"/>
            </w:tcBorders>
            <w:gridSpan w:val="37"/>
          </w:tcPr>
          <w:p>
            <w:pPr>
              <w:spacing w:after="0"/>
              <w:rPr>
                <w:sz w:val="20"/>
                <w:szCs w:val="20"/>
                <w:color w:val="auto"/>
              </w:rPr>
            </w:pPr>
            <w:r>
              <w:rPr>
                <w:rFonts w:ascii="Calibri" w:cs="Calibri" w:eastAsia="Calibri" w:hAnsi="Calibri"/>
                <w:sz w:val="17"/>
                <w:szCs w:val="17"/>
                <w:color w:val="auto"/>
              </w:rPr>
              <w:t>Process Related to Executve Ofcer and Director Compensaton</w:t>
            </w:r>
          </w:p>
        </w:tc>
        <w:tc>
          <w:tcPr>
            <w:tcW w:w="5540" w:type="dxa"/>
            <w:vAlign w:val="bottom"/>
            <w:gridSpan w:val="7"/>
          </w:tcPr>
          <w:p>
            <w:pPr>
              <w:spacing w:after="0"/>
              <w:rPr>
                <w:sz w:val="18"/>
                <w:szCs w:val="18"/>
                <w:color w:val="auto"/>
              </w:rPr>
            </w:pPr>
          </w:p>
        </w:tc>
        <w:tc>
          <w:tcPr>
            <w:tcW w:w="1140" w:type="dxa"/>
            <w:vAlign w:val="bottom"/>
          </w:tcPr>
          <w:p>
            <w:pPr>
              <w:jc w:val="center"/>
              <w:ind w:left="392"/>
              <w:spacing w:after="0"/>
              <w:rPr>
                <w:sz w:val="20"/>
                <w:szCs w:val="20"/>
                <w:color w:val="auto"/>
              </w:rPr>
            </w:pPr>
            <w:r>
              <w:rPr>
                <w:rFonts w:ascii="Calibri" w:cs="Calibri" w:eastAsia="Calibri" w:hAnsi="Calibri"/>
                <w:sz w:val="17"/>
                <w:szCs w:val="17"/>
                <w:color w:val="auto"/>
              </w:rPr>
              <w:t>6</w:t>
            </w:r>
          </w:p>
        </w:tc>
      </w:tr>
      <w:tr>
        <w:trPr>
          <w:trHeight w:val="210"/>
        </w:trPr>
        <w:tc>
          <w:tcPr>
            <w:tcW w:w="20" w:type="dxa"/>
            <w:vAlign w:val="bottom"/>
          </w:tcPr>
          <w:p>
            <w:pPr>
              <w:spacing w:after="0"/>
              <w:rPr>
                <w:sz w:val="18"/>
                <w:szCs w:val="18"/>
                <w:color w:val="auto"/>
              </w:rPr>
            </w:pPr>
          </w:p>
        </w:tc>
        <w:tc>
          <w:tcPr>
            <w:tcW w:w="10080" w:type="dxa"/>
            <w:vAlign w:val="bottom"/>
            <w:gridSpan w:val="44"/>
          </w:tcPr>
          <w:p>
            <w:pPr>
              <w:spacing w:after="0"/>
              <w:rPr>
                <w:sz w:val="20"/>
                <w:szCs w:val="20"/>
                <w:color w:val="auto"/>
              </w:rPr>
            </w:pPr>
            <w:r>
              <w:rPr>
                <w:rFonts w:ascii="Calibri" w:cs="Calibri" w:eastAsia="Calibri" w:hAnsi="Calibri"/>
                <w:sz w:val="17"/>
                <w:szCs w:val="17"/>
                <w:color w:val="auto"/>
              </w:rPr>
              <w:t>Risk Oversight</w:t>
            </w:r>
          </w:p>
        </w:tc>
        <w:tc>
          <w:tcPr>
            <w:tcW w:w="1140" w:type="dxa"/>
            <w:vAlign w:val="bottom"/>
          </w:tcPr>
          <w:p>
            <w:pPr>
              <w:jc w:val="center"/>
              <w:ind w:left="392"/>
              <w:spacing w:after="0"/>
              <w:rPr>
                <w:sz w:val="20"/>
                <w:szCs w:val="20"/>
                <w:color w:val="auto"/>
              </w:rPr>
            </w:pPr>
            <w:r>
              <w:rPr>
                <w:rFonts w:ascii="Calibri" w:cs="Calibri" w:eastAsia="Calibri" w:hAnsi="Calibri"/>
                <w:sz w:val="17"/>
                <w:szCs w:val="17"/>
                <w:color w:val="auto"/>
              </w:rPr>
              <w:t>9</w:t>
            </w: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800" w:type="dxa"/>
            <w:vAlign w:val="bottom"/>
            <w:tcBorders>
              <w:bottom w:val="single" w:sz="8" w:color="0000EE"/>
            </w:tcBorders>
            <w:gridSpan w:val="33"/>
          </w:tcPr>
          <w:p>
            <w:pPr>
              <w:spacing w:after="0"/>
              <w:rPr>
                <w:sz w:val="20"/>
                <w:szCs w:val="20"/>
                <w:color w:val="auto"/>
              </w:rPr>
            </w:pPr>
            <w:r>
              <w:rPr>
                <w:rFonts w:ascii="Calibri" w:cs="Calibri" w:eastAsia="Calibri" w:hAnsi="Calibri"/>
                <w:sz w:val="17"/>
                <w:szCs w:val="17"/>
                <w:color w:val="auto"/>
              </w:rPr>
              <w:t>Board Atendance at Annual Meetng of Shareholders</w:t>
            </w:r>
          </w:p>
        </w:tc>
        <w:tc>
          <w:tcPr>
            <w:tcW w:w="6280" w:type="dxa"/>
            <w:vAlign w:val="bottom"/>
            <w:gridSpan w:val="11"/>
          </w:tcPr>
          <w:p>
            <w:pPr>
              <w:spacing w:after="0"/>
              <w:rPr>
                <w:sz w:val="18"/>
                <w:szCs w:val="18"/>
                <w:color w:val="auto"/>
              </w:rPr>
            </w:pPr>
          </w:p>
        </w:tc>
        <w:tc>
          <w:tcPr>
            <w:tcW w:w="1140" w:type="dxa"/>
            <w:vAlign w:val="bottom"/>
          </w:tcPr>
          <w:p>
            <w:pPr>
              <w:jc w:val="center"/>
              <w:ind w:left="392"/>
              <w:spacing w:after="0"/>
              <w:rPr>
                <w:sz w:val="20"/>
                <w:szCs w:val="20"/>
                <w:color w:val="auto"/>
              </w:rPr>
            </w:pPr>
            <w:r>
              <w:rPr>
                <w:rFonts w:ascii="Calibri" w:cs="Calibri" w:eastAsia="Calibri" w:hAnsi="Calibri"/>
                <w:sz w:val="17"/>
                <w:szCs w:val="17"/>
                <w:color w:val="auto"/>
              </w:rPr>
              <w:t>9</w:t>
            </w:r>
          </w:p>
        </w:tc>
      </w:tr>
      <w:tr>
        <w:trPr>
          <w:trHeight w:val="209"/>
        </w:trPr>
        <w:tc>
          <w:tcPr>
            <w:tcW w:w="20" w:type="dxa"/>
            <w:vAlign w:val="bottom"/>
          </w:tcPr>
          <w:p>
            <w:pPr>
              <w:spacing w:after="0"/>
              <w:rPr>
                <w:sz w:val="18"/>
                <w:szCs w:val="18"/>
                <w:color w:val="auto"/>
              </w:rPr>
            </w:pPr>
          </w:p>
        </w:tc>
        <w:tc>
          <w:tcPr>
            <w:tcW w:w="6040" w:type="dxa"/>
            <w:vAlign w:val="bottom"/>
            <w:tcBorders>
              <w:bottom w:val="single" w:sz="8" w:color="0000EE"/>
            </w:tcBorders>
            <w:gridSpan w:val="41"/>
          </w:tcPr>
          <w:p>
            <w:pPr>
              <w:spacing w:after="0"/>
              <w:rPr>
                <w:sz w:val="20"/>
                <w:szCs w:val="20"/>
                <w:color w:val="auto"/>
              </w:rPr>
            </w:pPr>
            <w:r>
              <w:rPr>
                <w:rFonts w:ascii="Calibri" w:cs="Calibri" w:eastAsia="Calibri" w:hAnsi="Calibri"/>
                <w:sz w:val="17"/>
                <w:szCs w:val="17"/>
                <w:color w:val="auto"/>
              </w:rPr>
              <w:t>Related Party Transacton Policy and Related Party Transactons; Prohibiton on Loans</w:t>
            </w:r>
          </w:p>
        </w:tc>
        <w:tc>
          <w:tcPr>
            <w:tcW w:w="4040" w:type="dxa"/>
            <w:vAlign w:val="bottom"/>
            <w:gridSpan w:val="3"/>
          </w:tcPr>
          <w:p>
            <w:pPr>
              <w:spacing w:after="0"/>
              <w:rPr>
                <w:sz w:val="18"/>
                <w:szCs w:val="18"/>
                <w:color w:val="auto"/>
              </w:rPr>
            </w:pPr>
          </w:p>
        </w:tc>
        <w:tc>
          <w:tcPr>
            <w:tcW w:w="1140" w:type="dxa"/>
            <w:vAlign w:val="bottom"/>
          </w:tcPr>
          <w:p>
            <w:pPr>
              <w:jc w:val="center"/>
              <w:ind w:left="392"/>
              <w:spacing w:after="0"/>
              <w:rPr>
                <w:sz w:val="20"/>
                <w:szCs w:val="20"/>
                <w:color w:val="auto"/>
              </w:rPr>
            </w:pPr>
            <w:r>
              <w:rPr>
                <w:rFonts w:ascii="Calibri" w:cs="Calibri" w:eastAsia="Calibri" w:hAnsi="Calibri"/>
                <w:sz w:val="17"/>
                <w:szCs w:val="17"/>
                <w:color w:val="auto"/>
              </w:rPr>
              <w:t>10</w:t>
            </w:r>
          </w:p>
        </w:tc>
      </w:tr>
      <w:tr>
        <w:trPr>
          <w:trHeight w:val="210"/>
        </w:trPr>
        <w:tc>
          <w:tcPr>
            <w:tcW w:w="20" w:type="dxa"/>
            <w:vAlign w:val="bottom"/>
          </w:tcPr>
          <w:p>
            <w:pPr>
              <w:spacing w:after="0"/>
              <w:rPr>
                <w:sz w:val="18"/>
                <w:szCs w:val="18"/>
                <w:color w:val="auto"/>
              </w:rPr>
            </w:pPr>
          </w:p>
        </w:tc>
        <w:tc>
          <w:tcPr>
            <w:tcW w:w="1640" w:type="dxa"/>
            <w:vAlign w:val="bottom"/>
            <w:tcBorders>
              <w:bottom w:val="single" w:sz="8" w:color="0000EE"/>
            </w:tcBorders>
            <w:gridSpan w:val="8"/>
          </w:tcPr>
          <w:p>
            <w:pPr>
              <w:spacing w:after="0"/>
              <w:rPr>
                <w:sz w:val="20"/>
                <w:szCs w:val="20"/>
                <w:color w:val="auto"/>
              </w:rPr>
            </w:pPr>
            <w:r>
              <w:rPr>
                <w:rFonts w:ascii="Calibri" w:cs="Calibri" w:eastAsia="Calibri" w:hAnsi="Calibri"/>
                <w:sz w:val="17"/>
                <w:szCs w:val="17"/>
                <w:color w:val="auto"/>
              </w:rPr>
              <w:t>Prohibiton on Hedging</w:t>
            </w:r>
          </w:p>
        </w:tc>
        <w:tc>
          <w:tcPr>
            <w:tcW w:w="8440" w:type="dxa"/>
            <w:vAlign w:val="bottom"/>
            <w:gridSpan w:val="36"/>
          </w:tcPr>
          <w:p>
            <w:pPr>
              <w:spacing w:after="0"/>
              <w:rPr>
                <w:sz w:val="18"/>
                <w:szCs w:val="18"/>
                <w:color w:val="auto"/>
              </w:rPr>
            </w:pPr>
          </w:p>
        </w:tc>
        <w:tc>
          <w:tcPr>
            <w:tcW w:w="1140" w:type="dxa"/>
            <w:vAlign w:val="bottom"/>
          </w:tcPr>
          <w:p>
            <w:pPr>
              <w:jc w:val="center"/>
              <w:ind w:left="392"/>
              <w:spacing w:after="0"/>
              <w:rPr>
                <w:sz w:val="20"/>
                <w:szCs w:val="20"/>
                <w:color w:val="auto"/>
              </w:rPr>
            </w:pPr>
            <w:r>
              <w:rPr>
                <w:rFonts w:ascii="Calibri" w:cs="Calibri" w:eastAsia="Calibri" w:hAnsi="Calibri"/>
                <w:sz w:val="17"/>
                <w:szCs w:val="17"/>
                <w:color w:val="auto"/>
              </w:rPr>
              <w:t>10</w:t>
            </w:r>
          </w:p>
        </w:tc>
      </w:tr>
      <w:tr>
        <w:trPr>
          <w:trHeight w:val="209"/>
        </w:trPr>
        <w:tc>
          <w:tcPr>
            <w:tcW w:w="20" w:type="dxa"/>
            <w:vAlign w:val="bottom"/>
          </w:tcPr>
          <w:p>
            <w:pPr>
              <w:spacing w:after="0"/>
              <w:rPr>
                <w:sz w:val="18"/>
                <w:szCs w:val="18"/>
                <w:color w:val="auto"/>
              </w:rPr>
            </w:pPr>
          </w:p>
        </w:tc>
        <w:tc>
          <w:tcPr>
            <w:tcW w:w="10080" w:type="dxa"/>
            <w:vAlign w:val="bottom"/>
            <w:gridSpan w:val="44"/>
          </w:tcPr>
          <w:p>
            <w:pPr>
              <w:spacing w:after="0"/>
              <w:rPr>
                <w:sz w:val="20"/>
                <w:szCs w:val="20"/>
                <w:color w:val="auto"/>
              </w:rPr>
            </w:pPr>
            <w:r>
              <w:rPr>
                <w:rFonts w:ascii="Calibri" w:cs="Calibri" w:eastAsia="Calibri" w:hAnsi="Calibri"/>
                <w:sz w:val="17"/>
                <w:szCs w:val="17"/>
                <w:color w:val="auto"/>
              </w:rPr>
              <w:t>Stock Ownership Guidelines</w:t>
            </w:r>
          </w:p>
        </w:tc>
        <w:tc>
          <w:tcPr>
            <w:tcW w:w="1140" w:type="dxa"/>
            <w:vAlign w:val="bottom"/>
          </w:tcPr>
          <w:p>
            <w:pPr>
              <w:jc w:val="center"/>
              <w:ind w:left="392"/>
              <w:spacing w:after="0"/>
              <w:rPr>
                <w:sz w:val="20"/>
                <w:szCs w:val="20"/>
                <w:color w:val="auto"/>
              </w:rPr>
            </w:pPr>
            <w:r>
              <w:rPr>
                <w:rFonts w:ascii="Calibri" w:cs="Calibri" w:eastAsia="Calibri" w:hAnsi="Calibri"/>
                <w:sz w:val="17"/>
                <w:szCs w:val="17"/>
                <w:color w:val="auto"/>
              </w:rPr>
              <w:t>10</w:t>
            </w: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80" w:type="dxa"/>
            <w:vAlign w:val="bottom"/>
            <w:tcBorders>
              <w:left w:val="single" w:sz="8" w:color="0000EE"/>
            </w:tcBorders>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80" w:type="dxa"/>
            <w:vAlign w:val="bottom"/>
            <w:gridSpan w:val="44"/>
          </w:tcPr>
          <w:p>
            <w:pPr>
              <w:spacing w:after="0"/>
              <w:rPr>
                <w:sz w:val="20"/>
                <w:szCs w:val="20"/>
                <w:color w:val="auto"/>
              </w:rPr>
            </w:pPr>
            <w:r>
              <w:rPr>
                <w:rFonts w:ascii="Calibri" w:cs="Calibri" w:eastAsia="Calibri" w:hAnsi="Calibri"/>
                <w:sz w:val="17"/>
                <w:szCs w:val="17"/>
                <w:color w:val="auto"/>
              </w:rPr>
              <w:t>Communicatons with the Board of Directors</w:t>
            </w:r>
          </w:p>
        </w:tc>
        <w:tc>
          <w:tcPr>
            <w:tcW w:w="1140" w:type="dxa"/>
            <w:vAlign w:val="bottom"/>
          </w:tcPr>
          <w:p>
            <w:pPr>
              <w:jc w:val="center"/>
              <w:ind w:left="392"/>
              <w:spacing w:after="0"/>
              <w:rPr>
                <w:sz w:val="20"/>
                <w:szCs w:val="20"/>
                <w:color w:val="auto"/>
              </w:rPr>
            </w:pPr>
            <w:r>
              <w:rPr>
                <w:rFonts w:ascii="Calibri" w:cs="Calibri" w:eastAsia="Calibri" w:hAnsi="Calibri"/>
                <w:sz w:val="17"/>
                <w:szCs w:val="17"/>
                <w:color w:val="auto"/>
              </w:rPr>
              <w:t>10</w:t>
            </w:r>
          </w:p>
        </w:tc>
      </w:tr>
      <w:tr>
        <w:trPr>
          <w:trHeight w:val="210"/>
        </w:trPr>
        <w:tc>
          <w:tcPr>
            <w:tcW w:w="20" w:type="dxa"/>
            <w:vAlign w:val="bottom"/>
          </w:tcPr>
          <w:p>
            <w:pPr>
              <w:spacing w:after="0"/>
              <w:rPr>
                <w:sz w:val="18"/>
                <w:szCs w:val="18"/>
                <w:color w:val="auto"/>
              </w:rPr>
            </w:pPr>
          </w:p>
        </w:tc>
        <w:tc>
          <w:tcPr>
            <w:tcW w:w="2300" w:type="dxa"/>
            <w:vAlign w:val="bottom"/>
            <w:tcBorders>
              <w:top w:val="single" w:sz="8" w:color="0000EE"/>
              <w:bottom w:val="single" w:sz="8" w:color="0000EE"/>
            </w:tcBorders>
            <w:gridSpan w:val="18"/>
          </w:tcPr>
          <w:p>
            <w:pPr>
              <w:spacing w:after="0"/>
              <w:rPr>
                <w:sz w:val="20"/>
                <w:szCs w:val="20"/>
                <w:color w:val="auto"/>
              </w:rPr>
            </w:pPr>
            <w:r>
              <w:rPr>
                <w:rFonts w:ascii="Calibri" w:cs="Calibri" w:eastAsia="Calibri" w:hAnsi="Calibri"/>
                <w:sz w:val="17"/>
                <w:szCs w:val="17"/>
                <w:color w:val="auto"/>
              </w:rPr>
              <w:t>Auditors; Audit Partner Rotaton</w:t>
            </w:r>
          </w:p>
        </w:tc>
        <w:tc>
          <w:tcPr>
            <w:tcW w:w="860" w:type="dxa"/>
            <w:vAlign w:val="bottom"/>
            <w:tcBorders>
              <w:top w:val="single" w:sz="8" w:color="0000EE"/>
            </w:tcBorders>
            <w:gridSpan w:val="10"/>
          </w:tcPr>
          <w:p>
            <w:pPr>
              <w:spacing w:after="0"/>
              <w:rPr>
                <w:sz w:val="18"/>
                <w:szCs w:val="18"/>
                <w:color w:val="auto"/>
              </w:rPr>
            </w:pPr>
          </w:p>
        </w:tc>
        <w:tc>
          <w:tcPr>
            <w:tcW w:w="6920" w:type="dxa"/>
            <w:vAlign w:val="bottom"/>
            <w:gridSpan w:val="16"/>
          </w:tcPr>
          <w:p>
            <w:pPr>
              <w:spacing w:after="0"/>
              <w:rPr>
                <w:sz w:val="18"/>
                <w:szCs w:val="18"/>
                <w:color w:val="auto"/>
              </w:rPr>
            </w:pPr>
          </w:p>
        </w:tc>
        <w:tc>
          <w:tcPr>
            <w:tcW w:w="1140" w:type="dxa"/>
            <w:vAlign w:val="bottom"/>
          </w:tcPr>
          <w:p>
            <w:pPr>
              <w:jc w:val="center"/>
              <w:ind w:left="392"/>
              <w:spacing w:after="0"/>
              <w:rPr>
                <w:sz w:val="20"/>
                <w:szCs w:val="20"/>
                <w:color w:val="auto"/>
              </w:rPr>
            </w:pPr>
            <w:r>
              <w:rPr>
                <w:rFonts w:ascii="Calibri" w:cs="Calibri" w:eastAsia="Calibri" w:hAnsi="Calibri"/>
                <w:sz w:val="17"/>
                <w:szCs w:val="17"/>
                <w:color w:val="auto"/>
              </w:rPr>
              <w:t>10</w:t>
            </w:r>
          </w:p>
        </w:tc>
      </w:tr>
      <w:tr>
        <w:trPr>
          <w:trHeight w:val="209"/>
        </w:trPr>
        <w:tc>
          <w:tcPr>
            <w:tcW w:w="20" w:type="dxa"/>
            <w:vAlign w:val="bottom"/>
          </w:tcPr>
          <w:p>
            <w:pPr>
              <w:spacing w:after="0"/>
              <w:rPr>
                <w:sz w:val="18"/>
                <w:szCs w:val="18"/>
                <w:color w:val="auto"/>
              </w:rPr>
            </w:pPr>
          </w:p>
        </w:tc>
        <w:tc>
          <w:tcPr>
            <w:tcW w:w="2740" w:type="dxa"/>
            <w:vAlign w:val="bottom"/>
            <w:tcBorders>
              <w:bottom w:val="single" w:sz="8" w:color="0000EE"/>
            </w:tcBorders>
            <w:gridSpan w:val="24"/>
          </w:tcPr>
          <w:p>
            <w:pPr>
              <w:spacing w:after="0"/>
              <w:rPr>
                <w:sz w:val="20"/>
                <w:szCs w:val="20"/>
                <w:color w:val="auto"/>
              </w:rPr>
            </w:pPr>
            <w:r>
              <w:rPr>
                <w:rFonts w:ascii="Calibri" w:cs="Calibri" w:eastAsia="Calibri" w:hAnsi="Calibri"/>
                <w:sz w:val="17"/>
                <w:szCs w:val="17"/>
                <w:color w:val="auto"/>
              </w:rPr>
              <w:t>Environmental, Social and Governance</w:t>
            </w:r>
          </w:p>
        </w:tc>
        <w:tc>
          <w:tcPr>
            <w:tcW w:w="7340" w:type="dxa"/>
            <w:vAlign w:val="bottom"/>
            <w:gridSpan w:val="20"/>
          </w:tcPr>
          <w:p>
            <w:pPr>
              <w:spacing w:after="0"/>
              <w:rPr>
                <w:sz w:val="18"/>
                <w:szCs w:val="18"/>
                <w:color w:val="auto"/>
              </w:rPr>
            </w:pPr>
          </w:p>
        </w:tc>
        <w:tc>
          <w:tcPr>
            <w:tcW w:w="1140" w:type="dxa"/>
            <w:vAlign w:val="bottom"/>
          </w:tcPr>
          <w:p>
            <w:pPr>
              <w:jc w:val="center"/>
              <w:ind w:left="392"/>
              <w:spacing w:after="0"/>
              <w:rPr>
                <w:sz w:val="20"/>
                <w:szCs w:val="20"/>
                <w:color w:val="auto"/>
              </w:rPr>
            </w:pPr>
            <w:r>
              <w:rPr>
                <w:rFonts w:ascii="Calibri" w:cs="Calibri" w:eastAsia="Calibri" w:hAnsi="Calibri"/>
                <w:sz w:val="17"/>
                <w:szCs w:val="17"/>
                <w:color w:val="auto"/>
              </w:rPr>
              <w:t>10</w:t>
            </w:r>
          </w:p>
        </w:tc>
      </w:tr>
      <w:tr>
        <w:trPr>
          <w:trHeight w:val="264"/>
        </w:trPr>
        <w:tc>
          <w:tcPr>
            <w:tcW w:w="20" w:type="dxa"/>
            <w:vAlign w:val="bottom"/>
          </w:tcPr>
          <w:p>
            <w:pPr>
              <w:spacing w:after="0"/>
              <w:rPr>
                <w:sz w:val="22"/>
                <w:szCs w:val="22"/>
                <w:color w:val="auto"/>
              </w:rPr>
            </w:pPr>
          </w:p>
        </w:tc>
        <w:tc>
          <w:tcPr>
            <w:tcW w:w="10080" w:type="dxa"/>
            <w:vAlign w:val="bottom"/>
            <w:gridSpan w:val="44"/>
          </w:tcPr>
          <w:p>
            <w:pPr>
              <w:spacing w:after="0" w:line="263" w:lineRule="exact"/>
              <w:rPr>
                <w:sz w:val="20"/>
                <w:szCs w:val="20"/>
                <w:color w:val="auto"/>
              </w:rPr>
            </w:pPr>
            <w:r>
              <w:rPr>
                <w:rFonts w:ascii="Calibri" w:cs="Calibri" w:eastAsia="Calibri" w:hAnsi="Calibri"/>
                <w:sz w:val="22"/>
                <w:szCs w:val="22"/>
                <w:b w:val="1"/>
                <w:bCs w:val="1"/>
                <w:color w:val="FF0000"/>
              </w:rPr>
              <w:t>Informaton Concerning the Board of Directors</w:t>
            </w:r>
          </w:p>
        </w:tc>
        <w:tc>
          <w:tcPr>
            <w:tcW w:w="1140" w:type="dxa"/>
            <w:vAlign w:val="bottom"/>
          </w:tcPr>
          <w:p>
            <w:pPr>
              <w:jc w:val="center"/>
              <w:ind w:left="392"/>
              <w:spacing w:after="0" w:line="263" w:lineRule="exact"/>
              <w:rPr>
                <w:sz w:val="20"/>
                <w:szCs w:val="20"/>
                <w:color w:val="auto"/>
              </w:rPr>
            </w:pPr>
            <w:r>
              <w:rPr>
                <w:rFonts w:ascii="Calibri" w:cs="Calibri" w:eastAsia="Calibri" w:hAnsi="Calibri"/>
                <w:sz w:val="22"/>
                <w:szCs w:val="22"/>
                <w:color w:val="FF0000"/>
                <w:w w:val="98"/>
              </w:rPr>
              <w:t>12</w:t>
            </w:r>
          </w:p>
        </w:tc>
      </w:tr>
      <w:tr>
        <w:trPr>
          <w:trHeight w:val="61"/>
        </w:trPr>
        <w:tc>
          <w:tcPr>
            <w:tcW w:w="20" w:type="dxa"/>
            <w:vAlign w:val="bottom"/>
            <w:tcBorders>
              <w:bottom w:val="single" w:sz="8" w:color="auto"/>
            </w:tcBorders>
          </w:tcPr>
          <w:p>
            <w:pPr>
              <w:spacing w:after="0"/>
              <w:rPr>
                <w:sz w:val="5"/>
                <w:szCs w:val="5"/>
                <w:color w:val="auto"/>
              </w:rPr>
            </w:pPr>
          </w:p>
        </w:tc>
        <w:tc>
          <w:tcPr>
            <w:tcW w:w="560" w:type="dxa"/>
            <w:vAlign w:val="bottom"/>
            <w:tcBorders>
              <w:top w:val="single" w:sz="8" w:color="0000EE"/>
              <w:bottom w:val="single" w:sz="8" w:color="auto"/>
            </w:tcBorders>
          </w:tcPr>
          <w:p>
            <w:pPr>
              <w:spacing w:after="0"/>
              <w:rPr>
                <w:sz w:val="5"/>
                <w:szCs w:val="5"/>
                <w:color w:val="auto"/>
              </w:rPr>
            </w:pPr>
          </w:p>
        </w:tc>
        <w:tc>
          <w:tcPr>
            <w:tcW w:w="320" w:type="dxa"/>
            <w:vAlign w:val="bottom"/>
            <w:tcBorders>
              <w:top w:val="single" w:sz="8" w:color="0000EE"/>
              <w:bottom w:val="single" w:sz="8" w:color="auto"/>
            </w:tcBorders>
          </w:tcPr>
          <w:p>
            <w:pPr>
              <w:spacing w:after="0"/>
              <w:rPr>
                <w:sz w:val="5"/>
                <w:szCs w:val="5"/>
                <w:color w:val="auto"/>
              </w:rPr>
            </w:pPr>
          </w:p>
        </w:tc>
        <w:tc>
          <w:tcPr>
            <w:tcW w:w="120" w:type="dxa"/>
            <w:vAlign w:val="bottom"/>
            <w:tcBorders>
              <w:top w:val="single" w:sz="8" w:color="0000EE"/>
              <w:bottom w:val="single" w:sz="8" w:color="auto"/>
            </w:tcBorders>
          </w:tcPr>
          <w:p>
            <w:pPr>
              <w:spacing w:after="0"/>
              <w:rPr>
                <w:sz w:val="5"/>
                <w:szCs w:val="5"/>
                <w:color w:val="auto"/>
              </w:rPr>
            </w:pPr>
          </w:p>
        </w:tc>
        <w:tc>
          <w:tcPr>
            <w:tcW w:w="300" w:type="dxa"/>
            <w:vAlign w:val="bottom"/>
            <w:tcBorders>
              <w:top w:val="single" w:sz="8" w:color="0000EE"/>
              <w:bottom w:val="single" w:sz="8" w:color="auto"/>
            </w:tcBorders>
          </w:tcPr>
          <w:p>
            <w:pPr>
              <w:spacing w:after="0"/>
              <w:rPr>
                <w:sz w:val="5"/>
                <w:szCs w:val="5"/>
                <w:color w:val="auto"/>
              </w:rPr>
            </w:pPr>
          </w:p>
        </w:tc>
        <w:tc>
          <w:tcPr>
            <w:tcW w:w="8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40" w:type="dxa"/>
            <w:vAlign w:val="bottom"/>
            <w:tcBorders>
              <w:top w:val="single" w:sz="8" w:color="0000EE"/>
              <w:bottom w:val="single" w:sz="8" w:color="auto"/>
            </w:tcBorders>
          </w:tcPr>
          <w:p>
            <w:pPr>
              <w:spacing w:after="0"/>
              <w:rPr>
                <w:sz w:val="5"/>
                <w:szCs w:val="5"/>
                <w:color w:val="auto"/>
              </w:rPr>
            </w:pPr>
          </w:p>
        </w:tc>
        <w:tc>
          <w:tcPr>
            <w:tcW w:w="12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140" w:type="dxa"/>
            <w:vAlign w:val="bottom"/>
            <w:tcBorders>
              <w:top w:val="single" w:sz="8" w:color="0000EE"/>
              <w:bottom w:val="single" w:sz="8" w:color="auto"/>
            </w:tcBorders>
          </w:tcPr>
          <w:p>
            <w:pPr>
              <w:spacing w:after="0"/>
              <w:rPr>
                <w:sz w:val="5"/>
                <w:szCs w:val="5"/>
                <w:color w:val="auto"/>
              </w:rPr>
            </w:pPr>
          </w:p>
        </w:tc>
        <w:tc>
          <w:tcPr>
            <w:tcW w:w="12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8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120" w:type="dxa"/>
            <w:vAlign w:val="bottom"/>
            <w:tcBorders>
              <w:top w:val="single" w:sz="8" w:color="0000EE"/>
              <w:bottom w:val="single" w:sz="8" w:color="auto"/>
            </w:tcBorders>
          </w:tcPr>
          <w:p>
            <w:pPr>
              <w:spacing w:after="0"/>
              <w:rPr>
                <w:sz w:val="5"/>
                <w:szCs w:val="5"/>
                <w:color w:val="auto"/>
              </w:rPr>
            </w:pPr>
          </w:p>
        </w:tc>
        <w:tc>
          <w:tcPr>
            <w:tcW w:w="80" w:type="dxa"/>
            <w:vAlign w:val="bottom"/>
            <w:tcBorders>
              <w:top w:val="single" w:sz="8" w:color="0000EE"/>
              <w:bottom w:val="single" w:sz="8" w:color="auto"/>
            </w:tcBorders>
          </w:tcPr>
          <w:p>
            <w:pPr>
              <w:spacing w:after="0"/>
              <w:rPr>
                <w:sz w:val="5"/>
                <w:szCs w:val="5"/>
                <w:color w:val="auto"/>
              </w:rPr>
            </w:pPr>
          </w:p>
        </w:tc>
        <w:tc>
          <w:tcPr>
            <w:tcW w:w="4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4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240" w:type="dxa"/>
            <w:vAlign w:val="bottom"/>
            <w:tcBorders>
              <w:top w:val="single" w:sz="8" w:color="0000EE"/>
              <w:bottom w:val="single" w:sz="8" w:color="auto"/>
            </w:tcBorders>
          </w:tcPr>
          <w:p>
            <w:pPr>
              <w:spacing w:after="0"/>
              <w:rPr>
                <w:sz w:val="5"/>
                <w:szCs w:val="5"/>
                <w:color w:val="auto"/>
              </w:rPr>
            </w:pPr>
          </w:p>
        </w:tc>
        <w:tc>
          <w:tcPr>
            <w:tcW w:w="4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120" w:type="dxa"/>
            <w:vAlign w:val="bottom"/>
            <w:tcBorders>
              <w:top w:val="single" w:sz="8" w:color="0000EE"/>
              <w:bottom w:val="single" w:sz="8" w:color="auto"/>
            </w:tcBorders>
          </w:tcPr>
          <w:p>
            <w:pPr>
              <w:spacing w:after="0"/>
              <w:rPr>
                <w:sz w:val="5"/>
                <w:szCs w:val="5"/>
                <w:color w:val="auto"/>
              </w:rPr>
            </w:pPr>
          </w:p>
        </w:tc>
        <w:tc>
          <w:tcPr>
            <w:tcW w:w="80" w:type="dxa"/>
            <w:vAlign w:val="bottom"/>
            <w:tcBorders>
              <w:top w:val="single" w:sz="8" w:color="0000EE"/>
              <w:bottom w:val="single" w:sz="8" w:color="auto"/>
            </w:tcBorders>
          </w:tcPr>
          <w:p>
            <w:pPr>
              <w:spacing w:after="0"/>
              <w:rPr>
                <w:sz w:val="5"/>
                <w:szCs w:val="5"/>
                <w:color w:val="auto"/>
              </w:rPr>
            </w:pPr>
          </w:p>
        </w:tc>
        <w:tc>
          <w:tcPr>
            <w:tcW w:w="12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320" w:type="dxa"/>
            <w:vAlign w:val="bottom"/>
            <w:tcBorders>
              <w:top w:val="single" w:sz="8" w:color="0000EE"/>
              <w:bottom w:val="single" w:sz="8" w:color="auto"/>
            </w:tcBorders>
          </w:tcPr>
          <w:p>
            <w:pPr>
              <w:spacing w:after="0"/>
              <w:rPr>
                <w:sz w:val="5"/>
                <w:szCs w:val="5"/>
                <w:color w:val="auto"/>
              </w:rPr>
            </w:pPr>
          </w:p>
        </w:tc>
        <w:tc>
          <w:tcPr>
            <w:tcW w:w="220" w:type="dxa"/>
            <w:vAlign w:val="bottom"/>
            <w:tcBorders>
              <w:top w:val="single" w:sz="8" w:color="0000EE"/>
              <w:bottom w:val="single" w:sz="8" w:color="auto"/>
            </w:tcBorders>
          </w:tcPr>
          <w:p>
            <w:pPr>
              <w:spacing w:after="0"/>
              <w:rPr>
                <w:sz w:val="5"/>
                <w:szCs w:val="5"/>
                <w:color w:val="auto"/>
              </w:rPr>
            </w:pPr>
          </w:p>
        </w:tc>
        <w:tc>
          <w:tcPr>
            <w:tcW w:w="140" w:type="dxa"/>
            <w:vAlign w:val="bottom"/>
            <w:tcBorders>
              <w:top w:val="single" w:sz="8" w:color="0000EE"/>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28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155"/>
        </w:trPr>
        <w:tc>
          <w:tcPr>
            <w:tcW w:w="20" w:type="dxa"/>
            <w:vAlign w:val="bottom"/>
          </w:tcPr>
          <w:p>
            <w:pPr>
              <w:spacing w:after="0"/>
              <w:rPr>
                <w:sz w:val="13"/>
                <w:szCs w:val="13"/>
                <w:color w:val="auto"/>
              </w:rPr>
            </w:pPr>
          </w:p>
        </w:tc>
        <w:tc>
          <w:tcPr>
            <w:tcW w:w="560" w:type="dxa"/>
            <w:vAlign w:val="bottom"/>
            <w:tcBorders>
              <w:bottom w:val="single" w:sz="8" w:color="0000EE"/>
            </w:tcBorders>
          </w:tcPr>
          <w:p>
            <w:pPr>
              <w:spacing w:after="0" w:line="156" w:lineRule="exact"/>
              <w:rPr>
                <w:sz w:val="20"/>
                <w:szCs w:val="20"/>
                <w:color w:val="auto"/>
              </w:rPr>
            </w:pPr>
            <w:r>
              <w:rPr>
                <w:rFonts w:ascii="Calibri" w:cs="Calibri" w:eastAsia="Calibri" w:hAnsi="Calibri"/>
                <w:sz w:val="16"/>
                <w:szCs w:val="16"/>
                <w:color w:val="auto"/>
              </w:rPr>
              <w:t>General</w:t>
            </w:r>
          </w:p>
        </w:tc>
        <w:tc>
          <w:tcPr>
            <w:tcW w:w="9520" w:type="dxa"/>
            <w:vAlign w:val="bottom"/>
            <w:gridSpan w:val="43"/>
          </w:tcPr>
          <w:p>
            <w:pPr>
              <w:spacing w:after="0"/>
              <w:rPr>
                <w:sz w:val="13"/>
                <w:szCs w:val="13"/>
                <w:color w:val="auto"/>
              </w:rPr>
            </w:pPr>
          </w:p>
        </w:tc>
        <w:tc>
          <w:tcPr>
            <w:tcW w:w="1140" w:type="dxa"/>
            <w:vAlign w:val="bottom"/>
          </w:tcPr>
          <w:p>
            <w:pPr>
              <w:jc w:val="center"/>
              <w:ind w:left="392"/>
              <w:spacing w:after="0" w:line="156" w:lineRule="exact"/>
              <w:rPr>
                <w:sz w:val="20"/>
                <w:szCs w:val="20"/>
                <w:color w:val="auto"/>
              </w:rPr>
            </w:pPr>
            <w:r>
              <w:rPr>
                <w:rFonts w:ascii="Calibri" w:cs="Calibri" w:eastAsia="Calibri" w:hAnsi="Calibri"/>
                <w:sz w:val="16"/>
                <w:szCs w:val="16"/>
                <w:color w:val="auto"/>
              </w:rPr>
              <w:t>12</w:t>
            </w:r>
          </w:p>
        </w:tc>
      </w:tr>
      <w:tr>
        <w:trPr>
          <w:trHeight w:val="210"/>
        </w:trPr>
        <w:tc>
          <w:tcPr>
            <w:tcW w:w="20" w:type="dxa"/>
            <w:vAlign w:val="bottom"/>
          </w:tcPr>
          <w:p>
            <w:pPr>
              <w:spacing w:after="0"/>
              <w:rPr>
                <w:sz w:val="18"/>
                <w:szCs w:val="18"/>
                <w:color w:val="auto"/>
              </w:rPr>
            </w:pPr>
          </w:p>
        </w:tc>
        <w:tc>
          <w:tcPr>
            <w:tcW w:w="880" w:type="dxa"/>
            <w:vAlign w:val="bottom"/>
            <w:tcBorders>
              <w:bottom w:val="single" w:sz="8" w:color="0000EE"/>
            </w:tcBorders>
            <w:gridSpan w:val="2"/>
          </w:tcPr>
          <w:p>
            <w:pPr>
              <w:spacing w:after="0"/>
              <w:rPr>
                <w:sz w:val="20"/>
                <w:szCs w:val="20"/>
                <w:color w:val="auto"/>
              </w:rPr>
            </w:pPr>
            <w:r>
              <w:rPr>
                <w:rFonts w:ascii="Calibri" w:cs="Calibri" w:eastAsia="Calibri" w:hAnsi="Calibri"/>
                <w:sz w:val="17"/>
                <w:szCs w:val="17"/>
                <w:color w:val="auto"/>
              </w:rPr>
              <w:t>Commitees</w:t>
            </w:r>
          </w:p>
        </w:tc>
        <w:tc>
          <w:tcPr>
            <w:tcW w:w="9200" w:type="dxa"/>
            <w:vAlign w:val="bottom"/>
            <w:gridSpan w:val="42"/>
          </w:tcPr>
          <w:p>
            <w:pPr>
              <w:spacing w:after="0"/>
              <w:rPr>
                <w:sz w:val="18"/>
                <w:szCs w:val="18"/>
                <w:color w:val="auto"/>
              </w:rPr>
            </w:pPr>
          </w:p>
        </w:tc>
        <w:tc>
          <w:tcPr>
            <w:tcW w:w="1140" w:type="dxa"/>
            <w:vAlign w:val="bottom"/>
          </w:tcPr>
          <w:p>
            <w:pPr>
              <w:jc w:val="center"/>
              <w:ind w:left="392"/>
              <w:spacing w:after="0"/>
              <w:rPr>
                <w:sz w:val="20"/>
                <w:szCs w:val="20"/>
                <w:color w:val="auto"/>
              </w:rPr>
            </w:pPr>
            <w:r>
              <w:rPr>
                <w:rFonts w:ascii="Calibri" w:cs="Calibri" w:eastAsia="Calibri" w:hAnsi="Calibri"/>
                <w:sz w:val="17"/>
                <w:szCs w:val="17"/>
                <w:color w:val="auto"/>
              </w:rPr>
              <w:t>13</w:t>
            </w:r>
          </w:p>
        </w:tc>
      </w:tr>
      <w:tr>
        <w:trPr>
          <w:trHeight w:val="210"/>
        </w:trPr>
        <w:tc>
          <w:tcPr>
            <w:tcW w:w="20" w:type="dxa"/>
            <w:vAlign w:val="bottom"/>
          </w:tcPr>
          <w:p>
            <w:pPr>
              <w:spacing w:after="0"/>
              <w:rPr>
                <w:sz w:val="18"/>
                <w:szCs w:val="18"/>
                <w:color w:val="auto"/>
              </w:rPr>
            </w:pPr>
          </w:p>
        </w:tc>
        <w:tc>
          <w:tcPr>
            <w:tcW w:w="1660" w:type="dxa"/>
            <w:vAlign w:val="bottom"/>
            <w:tcBorders>
              <w:bottom w:val="single" w:sz="8" w:color="0000EE"/>
            </w:tcBorders>
            <w:gridSpan w:val="9"/>
          </w:tcPr>
          <w:p>
            <w:pPr>
              <w:spacing w:after="0"/>
              <w:rPr>
                <w:sz w:val="20"/>
                <w:szCs w:val="20"/>
                <w:color w:val="auto"/>
              </w:rPr>
            </w:pPr>
            <w:r>
              <w:rPr>
                <w:rFonts w:ascii="Calibri" w:cs="Calibri" w:eastAsia="Calibri" w:hAnsi="Calibri"/>
                <w:sz w:val="17"/>
                <w:szCs w:val="17"/>
                <w:color w:val="auto"/>
              </w:rPr>
              <w:t>Director Compensaton</w:t>
            </w:r>
          </w:p>
        </w:tc>
        <w:tc>
          <w:tcPr>
            <w:tcW w:w="8420" w:type="dxa"/>
            <w:vAlign w:val="bottom"/>
            <w:gridSpan w:val="35"/>
          </w:tcPr>
          <w:p>
            <w:pPr>
              <w:spacing w:after="0"/>
              <w:rPr>
                <w:sz w:val="18"/>
                <w:szCs w:val="18"/>
                <w:color w:val="auto"/>
              </w:rPr>
            </w:pPr>
          </w:p>
        </w:tc>
        <w:tc>
          <w:tcPr>
            <w:tcW w:w="1140" w:type="dxa"/>
            <w:vAlign w:val="bottom"/>
          </w:tcPr>
          <w:p>
            <w:pPr>
              <w:jc w:val="center"/>
              <w:ind w:left="392"/>
              <w:spacing w:after="0"/>
              <w:rPr>
                <w:sz w:val="20"/>
                <w:szCs w:val="20"/>
                <w:color w:val="auto"/>
              </w:rPr>
            </w:pPr>
            <w:r>
              <w:rPr>
                <w:rFonts w:ascii="Calibri" w:cs="Calibri" w:eastAsia="Calibri" w:hAnsi="Calibri"/>
                <w:sz w:val="17"/>
                <w:szCs w:val="17"/>
                <w:color w:val="auto"/>
              </w:rPr>
              <w:t>14</w:t>
            </w:r>
          </w:p>
        </w:tc>
      </w:tr>
      <w:tr>
        <w:trPr>
          <w:trHeight w:val="302"/>
        </w:trPr>
        <w:tc>
          <w:tcPr>
            <w:tcW w:w="20" w:type="dxa"/>
            <w:vAlign w:val="bottom"/>
          </w:tcPr>
          <w:p>
            <w:pPr>
              <w:spacing w:after="0"/>
              <w:rPr>
                <w:sz w:val="24"/>
                <w:szCs w:val="24"/>
                <w:color w:val="auto"/>
              </w:rPr>
            </w:pPr>
          </w:p>
        </w:tc>
        <w:tc>
          <w:tcPr>
            <w:tcW w:w="10080" w:type="dxa"/>
            <w:vAlign w:val="bottom"/>
            <w:gridSpan w:val="44"/>
          </w:tcPr>
          <w:p>
            <w:pPr>
              <w:spacing w:after="0"/>
              <w:rPr>
                <w:sz w:val="20"/>
                <w:szCs w:val="20"/>
                <w:color w:val="auto"/>
              </w:rPr>
            </w:pPr>
            <w:r>
              <w:rPr>
                <w:rFonts w:ascii="Calibri" w:cs="Calibri" w:eastAsia="Calibri" w:hAnsi="Calibri"/>
                <w:sz w:val="22"/>
                <w:szCs w:val="22"/>
                <w:b w:val="1"/>
                <w:bCs w:val="1"/>
                <w:color w:val="EE2724"/>
              </w:rPr>
              <w:t>Items of Business to be Considered at the Annual Meetng</w:t>
            </w:r>
          </w:p>
        </w:tc>
        <w:tc>
          <w:tcPr>
            <w:tcW w:w="1140" w:type="dxa"/>
            <w:vAlign w:val="bottom"/>
          </w:tcPr>
          <w:p>
            <w:pPr>
              <w:spacing w:after="0"/>
              <w:rPr>
                <w:sz w:val="24"/>
                <w:szCs w:val="24"/>
                <w:color w:val="auto"/>
              </w:rPr>
            </w:pPr>
          </w:p>
        </w:tc>
      </w:tr>
      <w:tr>
        <w:trPr>
          <w:trHeight w:val="43"/>
        </w:trPr>
        <w:tc>
          <w:tcPr>
            <w:tcW w:w="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55"/>
        </w:trPr>
        <w:tc>
          <w:tcPr>
            <w:tcW w:w="20" w:type="dxa"/>
            <w:vAlign w:val="bottom"/>
          </w:tcPr>
          <w:p>
            <w:pPr>
              <w:spacing w:after="0"/>
              <w:rPr>
                <w:sz w:val="13"/>
                <w:szCs w:val="13"/>
                <w:color w:val="auto"/>
              </w:rPr>
            </w:pPr>
          </w:p>
        </w:tc>
        <w:tc>
          <w:tcPr>
            <w:tcW w:w="2620" w:type="dxa"/>
            <w:vAlign w:val="bottom"/>
            <w:tcBorders>
              <w:bottom w:val="single" w:sz="8" w:color="0000EE"/>
            </w:tcBorders>
            <w:gridSpan w:val="22"/>
          </w:tcPr>
          <w:p>
            <w:pPr>
              <w:spacing w:after="0" w:line="156" w:lineRule="exact"/>
              <w:rPr>
                <w:sz w:val="20"/>
                <w:szCs w:val="20"/>
                <w:color w:val="auto"/>
              </w:rPr>
            </w:pPr>
            <w:r>
              <w:rPr>
                <w:rFonts w:ascii="Calibri" w:cs="Calibri" w:eastAsia="Calibri" w:hAnsi="Calibri"/>
                <w:sz w:val="16"/>
                <w:szCs w:val="16"/>
                <w:color w:val="auto"/>
              </w:rPr>
              <w:t>Proposal No. 1 - Electon of Directors</w:t>
            </w:r>
          </w:p>
        </w:tc>
        <w:tc>
          <w:tcPr>
            <w:tcW w:w="7460" w:type="dxa"/>
            <w:vAlign w:val="bottom"/>
            <w:gridSpan w:val="22"/>
          </w:tcPr>
          <w:p>
            <w:pPr>
              <w:spacing w:after="0"/>
              <w:rPr>
                <w:sz w:val="13"/>
                <w:szCs w:val="13"/>
                <w:color w:val="auto"/>
              </w:rPr>
            </w:pPr>
          </w:p>
        </w:tc>
        <w:tc>
          <w:tcPr>
            <w:tcW w:w="1140" w:type="dxa"/>
            <w:vAlign w:val="bottom"/>
          </w:tcPr>
          <w:p>
            <w:pPr>
              <w:jc w:val="center"/>
              <w:ind w:left="392"/>
              <w:spacing w:after="0" w:line="156" w:lineRule="exact"/>
              <w:rPr>
                <w:sz w:val="20"/>
                <w:szCs w:val="20"/>
                <w:color w:val="auto"/>
              </w:rPr>
            </w:pPr>
            <w:r>
              <w:rPr>
                <w:rFonts w:ascii="Calibri" w:cs="Calibri" w:eastAsia="Calibri" w:hAnsi="Calibri"/>
                <w:sz w:val="16"/>
                <w:szCs w:val="16"/>
                <w:color w:val="auto"/>
              </w:rPr>
              <w:t>15</w:t>
            </w:r>
          </w:p>
        </w:tc>
      </w:tr>
      <w:tr>
        <w:trPr>
          <w:trHeight w:val="210"/>
        </w:trPr>
        <w:tc>
          <w:tcPr>
            <w:tcW w:w="20" w:type="dxa"/>
            <w:vAlign w:val="bottom"/>
          </w:tcPr>
          <w:p>
            <w:pPr>
              <w:spacing w:after="0"/>
              <w:rPr>
                <w:sz w:val="18"/>
                <w:szCs w:val="18"/>
                <w:color w:val="auto"/>
              </w:rPr>
            </w:pPr>
          </w:p>
        </w:tc>
        <w:tc>
          <w:tcPr>
            <w:tcW w:w="10080" w:type="dxa"/>
            <w:vAlign w:val="bottom"/>
            <w:gridSpan w:val="44"/>
          </w:tcPr>
          <w:p>
            <w:pPr>
              <w:spacing w:after="0"/>
              <w:rPr>
                <w:sz w:val="20"/>
                <w:szCs w:val="20"/>
                <w:color w:val="auto"/>
              </w:rPr>
            </w:pPr>
            <w:r>
              <w:rPr>
                <w:rFonts w:ascii="Calibri" w:cs="Calibri" w:eastAsia="Calibri" w:hAnsi="Calibri"/>
                <w:sz w:val="17"/>
                <w:szCs w:val="17"/>
                <w:color w:val="auto"/>
              </w:rPr>
              <w:t>Proposal No. 2 - Ratfcaton of the Appointment of Ernst &amp; Young LLP as the Company's Principal Independent Accountants for 2024</w:t>
            </w:r>
          </w:p>
        </w:tc>
        <w:tc>
          <w:tcPr>
            <w:tcW w:w="1140" w:type="dxa"/>
            <w:vAlign w:val="bottom"/>
          </w:tcPr>
          <w:p>
            <w:pPr>
              <w:jc w:val="center"/>
              <w:ind w:left="392"/>
              <w:spacing w:after="0"/>
              <w:rPr>
                <w:sz w:val="20"/>
                <w:szCs w:val="20"/>
                <w:color w:val="auto"/>
              </w:rPr>
            </w:pPr>
            <w:r>
              <w:rPr>
                <w:rFonts w:ascii="Calibri" w:cs="Calibri" w:eastAsia="Calibri" w:hAnsi="Calibri"/>
                <w:sz w:val="17"/>
                <w:szCs w:val="17"/>
                <w:color w:val="auto"/>
              </w:rPr>
              <w:t>21</w:t>
            </w:r>
          </w:p>
        </w:tc>
      </w:tr>
      <w:tr>
        <w:trPr>
          <w:trHeight w:val="209"/>
        </w:trPr>
        <w:tc>
          <w:tcPr>
            <w:tcW w:w="20" w:type="dxa"/>
            <w:vAlign w:val="bottom"/>
          </w:tcPr>
          <w:p>
            <w:pPr>
              <w:spacing w:after="0"/>
              <w:rPr>
                <w:sz w:val="18"/>
                <w:szCs w:val="18"/>
                <w:color w:val="auto"/>
              </w:rPr>
            </w:pPr>
          </w:p>
        </w:tc>
        <w:tc>
          <w:tcPr>
            <w:tcW w:w="9300" w:type="dxa"/>
            <w:vAlign w:val="bottom"/>
            <w:tcBorders>
              <w:top w:val="single" w:sz="8" w:color="0000EE"/>
            </w:tcBorders>
            <w:gridSpan w:val="43"/>
          </w:tcPr>
          <w:p>
            <w:pPr>
              <w:spacing w:after="0"/>
              <w:rPr>
                <w:sz w:val="20"/>
                <w:szCs w:val="20"/>
                <w:color w:val="auto"/>
              </w:rPr>
            </w:pPr>
            <w:r>
              <w:rPr>
                <w:rFonts w:ascii="Calibri" w:cs="Calibri" w:eastAsia="Calibri" w:hAnsi="Calibri"/>
                <w:sz w:val="17"/>
                <w:szCs w:val="17"/>
                <w:color w:val="auto"/>
              </w:rPr>
              <w:t>Proposal No. 3 - Advisory Vote to Approve Named Executve Ofcer Compensaton</w:t>
            </w:r>
          </w:p>
        </w:tc>
        <w:tc>
          <w:tcPr>
            <w:tcW w:w="780" w:type="dxa"/>
            <w:vAlign w:val="bottom"/>
          </w:tcPr>
          <w:p>
            <w:pPr>
              <w:spacing w:after="0"/>
              <w:rPr>
                <w:sz w:val="18"/>
                <w:szCs w:val="18"/>
                <w:color w:val="auto"/>
              </w:rPr>
            </w:pPr>
          </w:p>
        </w:tc>
        <w:tc>
          <w:tcPr>
            <w:tcW w:w="1140" w:type="dxa"/>
            <w:vAlign w:val="bottom"/>
          </w:tcPr>
          <w:p>
            <w:pPr>
              <w:jc w:val="center"/>
              <w:ind w:left="392"/>
              <w:spacing w:after="0"/>
              <w:rPr>
                <w:sz w:val="20"/>
                <w:szCs w:val="20"/>
                <w:color w:val="auto"/>
              </w:rPr>
            </w:pPr>
            <w:r>
              <w:rPr>
                <w:rFonts w:ascii="Calibri" w:cs="Calibri" w:eastAsia="Calibri" w:hAnsi="Calibri"/>
                <w:sz w:val="17"/>
                <w:szCs w:val="17"/>
                <w:color w:val="auto"/>
              </w:rPr>
              <w:t>22</w:t>
            </w:r>
          </w:p>
        </w:tc>
      </w:tr>
      <w:tr>
        <w:trPr>
          <w:trHeight w:val="210"/>
        </w:trPr>
        <w:tc>
          <w:tcPr>
            <w:tcW w:w="20" w:type="dxa"/>
            <w:vAlign w:val="bottom"/>
          </w:tcPr>
          <w:p>
            <w:pPr>
              <w:spacing w:after="0"/>
              <w:rPr>
                <w:sz w:val="18"/>
                <w:szCs w:val="18"/>
                <w:color w:val="auto"/>
              </w:rPr>
            </w:pPr>
          </w:p>
        </w:tc>
        <w:tc>
          <w:tcPr>
            <w:tcW w:w="5840" w:type="dxa"/>
            <w:vAlign w:val="bottom"/>
            <w:tcBorders>
              <w:top w:val="single" w:sz="8" w:color="0000EE"/>
            </w:tcBorders>
            <w:gridSpan w:val="40"/>
          </w:tcPr>
          <w:p>
            <w:pPr>
              <w:spacing w:after="0"/>
              <w:rPr>
                <w:sz w:val="20"/>
                <w:szCs w:val="20"/>
                <w:color w:val="auto"/>
              </w:rPr>
            </w:pPr>
            <w:r>
              <w:rPr>
                <w:rFonts w:ascii="Calibri" w:cs="Calibri" w:eastAsia="Calibri" w:hAnsi="Calibri"/>
                <w:sz w:val="17"/>
                <w:szCs w:val="17"/>
                <w:color w:val="auto"/>
              </w:rPr>
              <w:t>Proposal No. 4 - Shareholder Proposal Regarding Simple Majority Vote</w:t>
            </w:r>
          </w:p>
        </w:tc>
        <w:tc>
          <w:tcPr>
            <w:tcW w:w="4240" w:type="dxa"/>
            <w:vAlign w:val="bottom"/>
            <w:gridSpan w:val="4"/>
          </w:tcPr>
          <w:p>
            <w:pPr>
              <w:spacing w:after="0"/>
              <w:rPr>
                <w:sz w:val="18"/>
                <w:szCs w:val="18"/>
                <w:color w:val="auto"/>
              </w:rPr>
            </w:pPr>
          </w:p>
        </w:tc>
        <w:tc>
          <w:tcPr>
            <w:tcW w:w="1140" w:type="dxa"/>
            <w:vAlign w:val="bottom"/>
          </w:tcPr>
          <w:p>
            <w:pPr>
              <w:jc w:val="center"/>
              <w:ind w:left="392"/>
              <w:spacing w:after="0"/>
              <w:rPr>
                <w:sz w:val="20"/>
                <w:szCs w:val="20"/>
                <w:color w:val="auto"/>
              </w:rPr>
            </w:pPr>
            <w:r>
              <w:rPr>
                <w:rFonts w:ascii="Calibri" w:cs="Calibri" w:eastAsia="Calibri" w:hAnsi="Calibri"/>
                <w:sz w:val="17"/>
                <w:szCs w:val="17"/>
                <w:color w:val="auto"/>
              </w:rPr>
              <w:t>24</w:t>
            </w:r>
          </w:p>
        </w:tc>
      </w:tr>
      <w:tr>
        <w:trPr>
          <w:trHeight w:val="263"/>
        </w:trPr>
        <w:tc>
          <w:tcPr>
            <w:tcW w:w="20" w:type="dxa"/>
            <w:vAlign w:val="bottom"/>
          </w:tcPr>
          <w:p>
            <w:pPr>
              <w:spacing w:after="0"/>
              <w:rPr>
                <w:sz w:val="22"/>
                <w:szCs w:val="22"/>
                <w:color w:val="auto"/>
              </w:rPr>
            </w:pPr>
          </w:p>
        </w:tc>
        <w:tc>
          <w:tcPr>
            <w:tcW w:w="4980" w:type="dxa"/>
            <w:vAlign w:val="bottom"/>
            <w:tcBorders>
              <w:top w:val="single" w:sz="8" w:color="0000EE"/>
            </w:tcBorders>
            <w:gridSpan w:val="39"/>
          </w:tcPr>
          <w:p>
            <w:pPr>
              <w:spacing w:after="0" w:line="263" w:lineRule="exact"/>
              <w:rPr>
                <w:sz w:val="20"/>
                <w:szCs w:val="20"/>
                <w:color w:val="auto"/>
              </w:rPr>
            </w:pPr>
            <w:r>
              <w:rPr>
                <w:rFonts w:ascii="Calibri" w:cs="Calibri" w:eastAsia="Calibri" w:hAnsi="Calibri"/>
                <w:sz w:val="22"/>
                <w:szCs w:val="22"/>
                <w:b w:val="1"/>
                <w:bCs w:val="1"/>
                <w:color w:val="FF0000"/>
              </w:rPr>
              <w:t>Report of Audit Commitee</w:t>
            </w:r>
          </w:p>
        </w:tc>
        <w:tc>
          <w:tcPr>
            <w:tcW w:w="5100" w:type="dxa"/>
            <w:vAlign w:val="bottom"/>
            <w:gridSpan w:val="5"/>
          </w:tcPr>
          <w:p>
            <w:pPr>
              <w:spacing w:after="0"/>
              <w:rPr>
                <w:sz w:val="22"/>
                <w:szCs w:val="22"/>
                <w:color w:val="auto"/>
              </w:rPr>
            </w:pPr>
          </w:p>
        </w:tc>
        <w:tc>
          <w:tcPr>
            <w:tcW w:w="1140" w:type="dxa"/>
            <w:vAlign w:val="bottom"/>
          </w:tcPr>
          <w:p>
            <w:pPr>
              <w:jc w:val="center"/>
              <w:ind w:left="392"/>
              <w:spacing w:after="0" w:line="263" w:lineRule="exact"/>
              <w:rPr>
                <w:sz w:val="20"/>
                <w:szCs w:val="20"/>
                <w:color w:val="auto"/>
              </w:rPr>
            </w:pPr>
            <w:r>
              <w:rPr>
                <w:rFonts w:ascii="Calibri" w:cs="Calibri" w:eastAsia="Calibri" w:hAnsi="Calibri"/>
                <w:sz w:val="22"/>
                <w:szCs w:val="22"/>
                <w:color w:val="FF0000"/>
                <w:w w:val="98"/>
              </w:rPr>
              <w:t>28</w:t>
            </w:r>
          </w:p>
        </w:tc>
      </w:tr>
      <w:tr>
        <w:trPr>
          <w:trHeight w:val="61"/>
        </w:trPr>
        <w:tc>
          <w:tcPr>
            <w:tcW w:w="20" w:type="dxa"/>
            <w:vAlign w:val="bottom"/>
            <w:tcBorders>
              <w:bottom w:val="single" w:sz="8" w:color="auto"/>
            </w:tcBorders>
          </w:tcPr>
          <w:p>
            <w:pPr>
              <w:spacing w:after="0"/>
              <w:rPr>
                <w:sz w:val="5"/>
                <w:szCs w:val="5"/>
                <w:color w:val="auto"/>
              </w:rPr>
            </w:pPr>
          </w:p>
        </w:tc>
        <w:tc>
          <w:tcPr>
            <w:tcW w:w="560" w:type="dxa"/>
            <w:vAlign w:val="bottom"/>
            <w:tcBorders>
              <w:top w:val="single" w:sz="8" w:color="0000EE"/>
              <w:bottom w:val="single" w:sz="8" w:color="auto"/>
            </w:tcBorders>
          </w:tcPr>
          <w:p>
            <w:pPr>
              <w:spacing w:after="0"/>
              <w:rPr>
                <w:sz w:val="5"/>
                <w:szCs w:val="5"/>
                <w:color w:val="auto"/>
              </w:rPr>
            </w:pPr>
          </w:p>
        </w:tc>
        <w:tc>
          <w:tcPr>
            <w:tcW w:w="320" w:type="dxa"/>
            <w:vAlign w:val="bottom"/>
            <w:tcBorders>
              <w:top w:val="single" w:sz="8" w:color="0000EE"/>
              <w:bottom w:val="single" w:sz="8" w:color="auto"/>
            </w:tcBorders>
          </w:tcPr>
          <w:p>
            <w:pPr>
              <w:spacing w:after="0"/>
              <w:rPr>
                <w:sz w:val="5"/>
                <w:szCs w:val="5"/>
                <w:color w:val="auto"/>
              </w:rPr>
            </w:pPr>
          </w:p>
        </w:tc>
        <w:tc>
          <w:tcPr>
            <w:tcW w:w="120" w:type="dxa"/>
            <w:vAlign w:val="bottom"/>
            <w:tcBorders>
              <w:top w:val="single" w:sz="8" w:color="0000EE"/>
              <w:bottom w:val="single" w:sz="8" w:color="auto"/>
            </w:tcBorders>
          </w:tcPr>
          <w:p>
            <w:pPr>
              <w:spacing w:after="0"/>
              <w:rPr>
                <w:sz w:val="5"/>
                <w:szCs w:val="5"/>
                <w:color w:val="auto"/>
              </w:rPr>
            </w:pPr>
          </w:p>
        </w:tc>
        <w:tc>
          <w:tcPr>
            <w:tcW w:w="300" w:type="dxa"/>
            <w:vAlign w:val="bottom"/>
            <w:tcBorders>
              <w:top w:val="single" w:sz="8" w:color="0000EE"/>
              <w:bottom w:val="single" w:sz="8" w:color="auto"/>
            </w:tcBorders>
          </w:tcPr>
          <w:p>
            <w:pPr>
              <w:spacing w:after="0"/>
              <w:rPr>
                <w:sz w:val="5"/>
                <w:szCs w:val="5"/>
                <w:color w:val="auto"/>
              </w:rPr>
            </w:pPr>
          </w:p>
        </w:tc>
        <w:tc>
          <w:tcPr>
            <w:tcW w:w="8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40" w:type="dxa"/>
            <w:vAlign w:val="bottom"/>
            <w:tcBorders>
              <w:top w:val="single" w:sz="8" w:color="0000EE"/>
              <w:bottom w:val="single" w:sz="8" w:color="auto"/>
            </w:tcBorders>
          </w:tcPr>
          <w:p>
            <w:pPr>
              <w:spacing w:after="0"/>
              <w:rPr>
                <w:sz w:val="5"/>
                <w:szCs w:val="5"/>
                <w:color w:val="auto"/>
              </w:rPr>
            </w:pPr>
          </w:p>
        </w:tc>
        <w:tc>
          <w:tcPr>
            <w:tcW w:w="12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140" w:type="dxa"/>
            <w:vAlign w:val="bottom"/>
            <w:tcBorders>
              <w:top w:val="single" w:sz="8" w:color="0000EE"/>
              <w:bottom w:val="single" w:sz="8" w:color="auto"/>
            </w:tcBorders>
          </w:tcPr>
          <w:p>
            <w:pPr>
              <w:spacing w:after="0"/>
              <w:rPr>
                <w:sz w:val="5"/>
                <w:szCs w:val="5"/>
                <w:color w:val="auto"/>
              </w:rPr>
            </w:pPr>
          </w:p>
        </w:tc>
        <w:tc>
          <w:tcPr>
            <w:tcW w:w="12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8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120" w:type="dxa"/>
            <w:vAlign w:val="bottom"/>
            <w:tcBorders>
              <w:top w:val="single" w:sz="8" w:color="0000EE"/>
              <w:bottom w:val="single" w:sz="8" w:color="auto"/>
            </w:tcBorders>
          </w:tcPr>
          <w:p>
            <w:pPr>
              <w:spacing w:after="0"/>
              <w:rPr>
                <w:sz w:val="5"/>
                <w:szCs w:val="5"/>
                <w:color w:val="auto"/>
              </w:rPr>
            </w:pPr>
          </w:p>
        </w:tc>
        <w:tc>
          <w:tcPr>
            <w:tcW w:w="80" w:type="dxa"/>
            <w:vAlign w:val="bottom"/>
            <w:tcBorders>
              <w:top w:val="single" w:sz="8" w:color="0000EE"/>
              <w:bottom w:val="single" w:sz="8" w:color="auto"/>
            </w:tcBorders>
          </w:tcPr>
          <w:p>
            <w:pPr>
              <w:spacing w:after="0"/>
              <w:rPr>
                <w:sz w:val="5"/>
                <w:szCs w:val="5"/>
                <w:color w:val="auto"/>
              </w:rPr>
            </w:pPr>
          </w:p>
        </w:tc>
        <w:tc>
          <w:tcPr>
            <w:tcW w:w="40" w:type="dxa"/>
            <w:vAlign w:val="bottom"/>
            <w:tcBorders>
              <w:top w:val="single" w:sz="8" w:color="0000EE"/>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28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210"/>
        </w:trPr>
        <w:tc>
          <w:tcPr>
            <w:tcW w:w="20" w:type="dxa"/>
            <w:vAlign w:val="bottom"/>
          </w:tcPr>
          <w:p>
            <w:pPr>
              <w:spacing w:after="0"/>
              <w:rPr>
                <w:sz w:val="18"/>
                <w:szCs w:val="18"/>
                <w:color w:val="auto"/>
              </w:rPr>
            </w:pPr>
          </w:p>
        </w:tc>
        <w:tc>
          <w:tcPr>
            <w:tcW w:w="10080" w:type="dxa"/>
            <w:vAlign w:val="bottom"/>
            <w:gridSpan w:val="44"/>
          </w:tcPr>
          <w:p>
            <w:pPr>
              <w:spacing w:after="0" w:line="210" w:lineRule="exact"/>
              <w:rPr>
                <w:sz w:val="20"/>
                <w:szCs w:val="20"/>
                <w:color w:val="auto"/>
              </w:rPr>
            </w:pPr>
            <w:r>
              <w:rPr>
                <w:rFonts w:ascii="Calibri" w:cs="Calibri" w:eastAsia="Calibri" w:hAnsi="Calibri"/>
                <w:sz w:val="22"/>
                <w:szCs w:val="22"/>
                <w:b w:val="1"/>
                <w:bCs w:val="1"/>
                <w:color w:val="FF0000"/>
              </w:rPr>
              <w:t>Executve Ofcers' Compensaton</w:t>
            </w:r>
          </w:p>
        </w:tc>
        <w:tc>
          <w:tcPr>
            <w:tcW w:w="1140" w:type="dxa"/>
            <w:vAlign w:val="bottom"/>
          </w:tcPr>
          <w:p>
            <w:pPr>
              <w:jc w:val="center"/>
              <w:ind w:left="392"/>
              <w:spacing w:after="0" w:line="210" w:lineRule="exact"/>
              <w:rPr>
                <w:sz w:val="20"/>
                <w:szCs w:val="20"/>
                <w:color w:val="auto"/>
              </w:rPr>
            </w:pPr>
            <w:r>
              <w:rPr>
                <w:rFonts w:ascii="Calibri" w:cs="Calibri" w:eastAsia="Calibri" w:hAnsi="Calibri"/>
                <w:sz w:val="22"/>
                <w:szCs w:val="22"/>
                <w:color w:val="FF0000"/>
                <w:w w:val="98"/>
              </w:rPr>
              <w:t>30</w:t>
            </w:r>
          </w:p>
        </w:tc>
      </w:tr>
      <w:tr>
        <w:trPr>
          <w:trHeight w:val="61"/>
        </w:trPr>
        <w:tc>
          <w:tcPr>
            <w:tcW w:w="20" w:type="dxa"/>
            <w:vAlign w:val="bottom"/>
            <w:tcBorders>
              <w:bottom w:val="single" w:sz="8" w:color="auto"/>
            </w:tcBorders>
          </w:tcPr>
          <w:p>
            <w:pPr>
              <w:spacing w:after="0"/>
              <w:rPr>
                <w:sz w:val="5"/>
                <w:szCs w:val="5"/>
                <w:color w:val="auto"/>
              </w:rPr>
            </w:pPr>
          </w:p>
        </w:tc>
        <w:tc>
          <w:tcPr>
            <w:tcW w:w="560" w:type="dxa"/>
            <w:vAlign w:val="bottom"/>
            <w:tcBorders>
              <w:top w:val="single" w:sz="8" w:color="0000EE"/>
              <w:bottom w:val="single" w:sz="8" w:color="auto"/>
            </w:tcBorders>
          </w:tcPr>
          <w:p>
            <w:pPr>
              <w:spacing w:after="0"/>
              <w:rPr>
                <w:sz w:val="5"/>
                <w:szCs w:val="5"/>
                <w:color w:val="auto"/>
              </w:rPr>
            </w:pPr>
          </w:p>
        </w:tc>
        <w:tc>
          <w:tcPr>
            <w:tcW w:w="320" w:type="dxa"/>
            <w:vAlign w:val="bottom"/>
            <w:tcBorders>
              <w:top w:val="single" w:sz="8" w:color="0000EE"/>
              <w:bottom w:val="single" w:sz="8" w:color="auto"/>
            </w:tcBorders>
          </w:tcPr>
          <w:p>
            <w:pPr>
              <w:spacing w:after="0"/>
              <w:rPr>
                <w:sz w:val="5"/>
                <w:szCs w:val="5"/>
                <w:color w:val="auto"/>
              </w:rPr>
            </w:pPr>
          </w:p>
        </w:tc>
        <w:tc>
          <w:tcPr>
            <w:tcW w:w="120" w:type="dxa"/>
            <w:vAlign w:val="bottom"/>
            <w:tcBorders>
              <w:top w:val="single" w:sz="8" w:color="0000EE"/>
              <w:bottom w:val="single" w:sz="8" w:color="auto"/>
            </w:tcBorders>
          </w:tcPr>
          <w:p>
            <w:pPr>
              <w:spacing w:after="0"/>
              <w:rPr>
                <w:sz w:val="5"/>
                <w:szCs w:val="5"/>
                <w:color w:val="auto"/>
              </w:rPr>
            </w:pPr>
          </w:p>
        </w:tc>
        <w:tc>
          <w:tcPr>
            <w:tcW w:w="300" w:type="dxa"/>
            <w:vAlign w:val="bottom"/>
            <w:tcBorders>
              <w:top w:val="single" w:sz="8" w:color="0000EE"/>
              <w:bottom w:val="single" w:sz="8" w:color="auto"/>
            </w:tcBorders>
          </w:tcPr>
          <w:p>
            <w:pPr>
              <w:spacing w:after="0"/>
              <w:rPr>
                <w:sz w:val="5"/>
                <w:szCs w:val="5"/>
                <w:color w:val="auto"/>
              </w:rPr>
            </w:pPr>
          </w:p>
        </w:tc>
        <w:tc>
          <w:tcPr>
            <w:tcW w:w="8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40" w:type="dxa"/>
            <w:vAlign w:val="bottom"/>
            <w:tcBorders>
              <w:top w:val="single" w:sz="8" w:color="0000EE"/>
              <w:bottom w:val="single" w:sz="8" w:color="auto"/>
            </w:tcBorders>
          </w:tcPr>
          <w:p>
            <w:pPr>
              <w:spacing w:after="0"/>
              <w:rPr>
                <w:sz w:val="5"/>
                <w:szCs w:val="5"/>
                <w:color w:val="auto"/>
              </w:rPr>
            </w:pPr>
          </w:p>
        </w:tc>
        <w:tc>
          <w:tcPr>
            <w:tcW w:w="12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140" w:type="dxa"/>
            <w:vAlign w:val="bottom"/>
            <w:tcBorders>
              <w:top w:val="single" w:sz="8" w:color="0000EE"/>
              <w:bottom w:val="single" w:sz="8" w:color="auto"/>
            </w:tcBorders>
          </w:tcPr>
          <w:p>
            <w:pPr>
              <w:spacing w:after="0"/>
              <w:rPr>
                <w:sz w:val="5"/>
                <w:szCs w:val="5"/>
                <w:color w:val="auto"/>
              </w:rPr>
            </w:pPr>
          </w:p>
        </w:tc>
        <w:tc>
          <w:tcPr>
            <w:tcW w:w="12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8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120" w:type="dxa"/>
            <w:vAlign w:val="bottom"/>
            <w:tcBorders>
              <w:top w:val="single" w:sz="8" w:color="0000EE"/>
              <w:bottom w:val="single" w:sz="8" w:color="auto"/>
            </w:tcBorders>
          </w:tcPr>
          <w:p>
            <w:pPr>
              <w:spacing w:after="0"/>
              <w:rPr>
                <w:sz w:val="5"/>
                <w:szCs w:val="5"/>
                <w:color w:val="auto"/>
              </w:rPr>
            </w:pPr>
          </w:p>
        </w:tc>
        <w:tc>
          <w:tcPr>
            <w:tcW w:w="80" w:type="dxa"/>
            <w:vAlign w:val="bottom"/>
            <w:tcBorders>
              <w:top w:val="single" w:sz="8" w:color="0000EE"/>
              <w:bottom w:val="single" w:sz="8" w:color="auto"/>
            </w:tcBorders>
          </w:tcPr>
          <w:p>
            <w:pPr>
              <w:spacing w:after="0"/>
              <w:rPr>
                <w:sz w:val="5"/>
                <w:szCs w:val="5"/>
                <w:color w:val="auto"/>
              </w:rPr>
            </w:pPr>
          </w:p>
        </w:tc>
        <w:tc>
          <w:tcPr>
            <w:tcW w:w="4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4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240" w:type="dxa"/>
            <w:vAlign w:val="bottom"/>
            <w:tcBorders>
              <w:top w:val="single" w:sz="8" w:color="0000EE"/>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28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155"/>
        </w:trPr>
        <w:tc>
          <w:tcPr>
            <w:tcW w:w="20" w:type="dxa"/>
            <w:vAlign w:val="bottom"/>
          </w:tcPr>
          <w:p>
            <w:pPr>
              <w:spacing w:after="0"/>
              <w:rPr>
                <w:sz w:val="13"/>
                <w:szCs w:val="13"/>
                <w:color w:val="auto"/>
              </w:rPr>
            </w:pPr>
          </w:p>
        </w:tc>
        <w:tc>
          <w:tcPr>
            <w:tcW w:w="2740" w:type="dxa"/>
            <w:vAlign w:val="bottom"/>
            <w:tcBorders>
              <w:bottom w:val="single" w:sz="8" w:color="0000EE"/>
            </w:tcBorders>
            <w:gridSpan w:val="24"/>
          </w:tcPr>
          <w:p>
            <w:pPr>
              <w:spacing w:after="0" w:line="156" w:lineRule="exact"/>
              <w:rPr>
                <w:sz w:val="20"/>
                <w:szCs w:val="20"/>
                <w:color w:val="auto"/>
              </w:rPr>
            </w:pPr>
            <w:r>
              <w:rPr>
                <w:rFonts w:ascii="Calibri" w:cs="Calibri" w:eastAsia="Calibri" w:hAnsi="Calibri"/>
                <w:sz w:val="16"/>
                <w:szCs w:val="16"/>
                <w:color w:val="auto"/>
              </w:rPr>
              <w:t>Compensaton Discussion and Analysis</w:t>
            </w:r>
          </w:p>
        </w:tc>
        <w:tc>
          <w:tcPr>
            <w:tcW w:w="7340" w:type="dxa"/>
            <w:vAlign w:val="bottom"/>
            <w:gridSpan w:val="20"/>
          </w:tcPr>
          <w:p>
            <w:pPr>
              <w:spacing w:after="0"/>
              <w:rPr>
                <w:sz w:val="13"/>
                <w:szCs w:val="13"/>
                <w:color w:val="auto"/>
              </w:rPr>
            </w:pPr>
          </w:p>
        </w:tc>
        <w:tc>
          <w:tcPr>
            <w:tcW w:w="1140" w:type="dxa"/>
            <w:vAlign w:val="bottom"/>
          </w:tcPr>
          <w:p>
            <w:pPr>
              <w:jc w:val="center"/>
              <w:ind w:left="392"/>
              <w:spacing w:after="0" w:line="156" w:lineRule="exact"/>
              <w:rPr>
                <w:sz w:val="20"/>
                <w:szCs w:val="20"/>
                <w:color w:val="auto"/>
              </w:rPr>
            </w:pPr>
            <w:r>
              <w:rPr>
                <w:rFonts w:ascii="Calibri" w:cs="Calibri" w:eastAsia="Calibri" w:hAnsi="Calibri"/>
                <w:sz w:val="16"/>
                <w:szCs w:val="16"/>
                <w:color w:val="auto"/>
              </w:rPr>
              <w:t>30</w:t>
            </w:r>
          </w:p>
        </w:tc>
      </w:tr>
      <w:tr>
        <w:trPr>
          <w:trHeight w:val="210"/>
        </w:trPr>
        <w:tc>
          <w:tcPr>
            <w:tcW w:w="20" w:type="dxa"/>
            <w:vAlign w:val="bottom"/>
          </w:tcPr>
          <w:p>
            <w:pPr>
              <w:spacing w:after="0"/>
              <w:rPr>
                <w:sz w:val="18"/>
                <w:szCs w:val="18"/>
                <w:color w:val="auto"/>
              </w:rPr>
            </w:pPr>
          </w:p>
        </w:tc>
        <w:tc>
          <w:tcPr>
            <w:tcW w:w="10080" w:type="dxa"/>
            <w:vAlign w:val="bottom"/>
            <w:gridSpan w:val="44"/>
          </w:tcPr>
          <w:p>
            <w:pPr>
              <w:spacing w:after="0"/>
              <w:rPr>
                <w:sz w:val="20"/>
                <w:szCs w:val="20"/>
                <w:color w:val="auto"/>
              </w:rPr>
            </w:pPr>
            <w:r>
              <w:rPr>
                <w:rFonts w:ascii="Calibri" w:cs="Calibri" w:eastAsia="Calibri" w:hAnsi="Calibri"/>
                <w:sz w:val="17"/>
                <w:szCs w:val="17"/>
                <w:color w:val="auto"/>
              </w:rPr>
              <w:t>Summary Compensaton Table</w:t>
            </w:r>
          </w:p>
        </w:tc>
        <w:tc>
          <w:tcPr>
            <w:tcW w:w="1140" w:type="dxa"/>
            <w:vAlign w:val="bottom"/>
          </w:tcPr>
          <w:p>
            <w:pPr>
              <w:jc w:val="center"/>
              <w:ind w:left="392"/>
              <w:spacing w:after="0"/>
              <w:rPr>
                <w:sz w:val="20"/>
                <w:szCs w:val="20"/>
                <w:color w:val="auto"/>
              </w:rPr>
            </w:pPr>
            <w:r>
              <w:rPr>
                <w:rFonts w:ascii="Calibri" w:cs="Calibri" w:eastAsia="Calibri" w:hAnsi="Calibri"/>
                <w:sz w:val="17"/>
                <w:szCs w:val="17"/>
                <w:color w:val="auto"/>
              </w:rPr>
              <w:t>43</w:t>
            </w:r>
          </w:p>
        </w:tc>
      </w:tr>
      <w:tr>
        <w:trPr>
          <w:trHeight w:val="20"/>
        </w:trPr>
        <w:tc>
          <w:tcPr>
            <w:tcW w:w="20" w:type="dxa"/>
            <w:vAlign w:val="bottom"/>
          </w:tcPr>
          <w:p>
            <w:pPr>
              <w:spacing w:after="0" w:line="20" w:lineRule="exact"/>
              <w:rPr>
                <w:sz w:val="1"/>
                <w:szCs w:val="1"/>
                <w:color w:val="auto"/>
              </w:rPr>
            </w:pPr>
          </w:p>
        </w:tc>
        <w:tc>
          <w:tcPr>
            <w:tcW w:w="1380" w:type="dxa"/>
            <w:vAlign w:val="bottom"/>
            <w:gridSpan w:val="5"/>
            <w:shd w:val="clear" w:color="auto" w:fill="0000EE"/>
          </w:tcPr>
          <w:p>
            <w:pPr>
              <w:spacing w:after="0" w:line="20" w:lineRule="exact"/>
              <w:rPr>
                <w:sz w:val="1"/>
                <w:szCs w:val="1"/>
                <w:color w:val="auto"/>
              </w:rPr>
            </w:pPr>
          </w:p>
        </w:tc>
        <w:tc>
          <w:tcPr>
            <w:tcW w:w="340" w:type="dxa"/>
            <w:vAlign w:val="bottom"/>
            <w:tcBorders>
              <w:left w:val="single" w:sz="8" w:color="0000EE"/>
            </w:tcBorders>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220" w:type="dxa"/>
            <w:vAlign w:val="bottom"/>
            <w:gridSpan w:val="6"/>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80" w:type="dxa"/>
            <w:vAlign w:val="bottom"/>
            <w:gridSpan w:val="44"/>
          </w:tcPr>
          <w:p>
            <w:pPr>
              <w:spacing w:after="0"/>
              <w:rPr>
                <w:sz w:val="20"/>
                <w:szCs w:val="20"/>
                <w:color w:val="auto"/>
              </w:rPr>
            </w:pPr>
            <w:r>
              <w:rPr>
                <w:rFonts w:ascii="Calibri" w:cs="Calibri" w:eastAsia="Calibri" w:hAnsi="Calibri"/>
                <w:sz w:val="17"/>
                <w:szCs w:val="17"/>
                <w:color w:val="auto"/>
              </w:rPr>
              <w:t>Grants of Plan-Based Awards Table for 2023</w:t>
            </w:r>
          </w:p>
        </w:tc>
        <w:tc>
          <w:tcPr>
            <w:tcW w:w="1140" w:type="dxa"/>
            <w:vAlign w:val="bottom"/>
          </w:tcPr>
          <w:p>
            <w:pPr>
              <w:jc w:val="center"/>
              <w:ind w:left="392"/>
              <w:spacing w:after="0"/>
              <w:rPr>
                <w:sz w:val="20"/>
                <w:szCs w:val="20"/>
                <w:color w:val="auto"/>
              </w:rPr>
            </w:pPr>
            <w:r>
              <w:rPr>
                <w:rFonts w:ascii="Calibri" w:cs="Calibri" w:eastAsia="Calibri" w:hAnsi="Calibri"/>
                <w:sz w:val="17"/>
                <w:szCs w:val="17"/>
                <w:color w:val="auto"/>
              </w:rPr>
              <w:t>44</w:t>
            </w:r>
          </w:p>
        </w:tc>
      </w:tr>
      <w:tr>
        <w:trPr>
          <w:trHeight w:val="20"/>
        </w:trPr>
        <w:tc>
          <w:tcPr>
            <w:tcW w:w="20" w:type="dxa"/>
            <w:vAlign w:val="bottom"/>
          </w:tcPr>
          <w:p>
            <w:pPr>
              <w:spacing w:after="0" w:line="20" w:lineRule="exact"/>
              <w:rPr>
                <w:sz w:val="1"/>
                <w:szCs w:val="1"/>
                <w:color w:val="auto"/>
              </w:rPr>
            </w:pPr>
          </w:p>
        </w:tc>
        <w:tc>
          <w:tcPr>
            <w:tcW w:w="1380" w:type="dxa"/>
            <w:vAlign w:val="bottom"/>
            <w:gridSpan w:val="5"/>
            <w:shd w:val="clear" w:color="auto" w:fill="0000EE"/>
          </w:tcPr>
          <w:p>
            <w:pPr>
              <w:spacing w:after="0" w:line="20" w:lineRule="exact"/>
              <w:rPr>
                <w:sz w:val="1"/>
                <w:szCs w:val="1"/>
                <w:color w:val="auto"/>
              </w:rPr>
            </w:pPr>
          </w:p>
        </w:tc>
        <w:tc>
          <w:tcPr>
            <w:tcW w:w="340" w:type="dxa"/>
            <w:vAlign w:val="bottom"/>
            <w:tcBorders>
              <w:left w:val="single" w:sz="8" w:color="0000EE"/>
            </w:tcBorders>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80" w:type="dxa"/>
            <w:vAlign w:val="bottom"/>
            <w:tcBorders>
              <w:right w:val="single" w:sz="8" w:color="0000EE"/>
            </w:tcBorders>
            <w:gridSpan w:val="6"/>
            <w:shd w:val="clear" w:color="auto" w:fill="0000EE"/>
          </w:tcPr>
          <w:p>
            <w:pPr>
              <w:spacing w:after="0" w:line="20" w:lineRule="exact"/>
              <w:rPr>
                <w:sz w:val="1"/>
                <w:szCs w:val="1"/>
                <w:color w:val="auto"/>
              </w:rPr>
            </w:pPr>
          </w:p>
        </w:tc>
        <w:tc>
          <w:tcPr>
            <w:tcW w:w="360" w:type="dxa"/>
            <w:vAlign w:val="bottom"/>
            <w:tcBorders>
              <w:left w:val="single" w:sz="8" w:color="0000EE"/>
            </w:tcBorders>
            <w:gridSpan w:val="5"/>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220" w:type="dxa"/>
            <w:vAlign w:val="bottom"/>
            <w:gridSpan w:val="6"/>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020" w:type="dxa"/>
            <w:vAlign w:val="bottom"/>
            <w:tcBorders>
              <w:bottom w:val="single" w:sz="8" w:color="0000EE"/>
            </w:tcBorders>
            <w:gridSpan w:val="34"/>
          </w:tcPr>
          <w:p>
            <w:pPr>
              <w:spacing w:after="0"/>
              <w:rPr>
                <w:sz w:val="20"/>
                <w:szCs w:val="20"/>
                <w:color w:val="auto"/>
              </w:rPr>
            </w:pPr>
            <w:r>
              <w:rPr>
                <w:rFonts w:ascii="Calibri" w:cs="Calibri" w:eastAsia="Calibri" w:hAnsi="Calibri"/>
                <w:sz w:val="17"/>
                <w:szCs w:val="17"/>
                <w:color w:val="auto"/>
              </w:rPr>
              <w:t>Outstanding Equity Awards at 2023 Fiscal Year-End Table</w:t>
            </w:r>
          </w:p>
        </w:tc>
        <w:tc>
          <w:tcPr>
            <w:tcW w:w="6060" w:type="dxa"/>
            <w:vAlign w:val="bottom"/>
            <w:gridSpan w:val="10"/>
          </w:tcPr>
          <w:p>
            <w:pPr>
              <w:spacing w:after="0"/>
              <w:rPr>
                <w:sz w:val="18"/>
                <w:szCs w:val="18"/>
                <w:color w:val="auto"/>
              </w:rPr>
            </w:pPr>
          </w:p>
        </w:tc>
        <w:tc>
          <w:tcPr>
            <w:tcW w:w="1140" w:type="dxa"/>
            <w:vAlign w:val="bottom"/>
          </w:tcPr>
          <w:p>
            <w:pPr>
              <w:jc w:val="center"/>
              <w:ind w:left="392"/>
              <w:spacing w:after="0"/>
              <w:rPr>
                <w:sz w:val="20"/>
                <w:szCs w:val="20"/>
                <w:color w:val="auto"/>
              </w:rPr>
            </w:pPr>
            <w:r>
              <w:rPr>
                <w:rFonts w:ascii="Calibri" w:cs="Calibri" w:eastAsia="Calibri" w:hAnsi="Calibri"/>
                <w:sz w:val="17"/>
                <w:szCs w:val="17"/>
                <w:color w:val="auto"/>
              </w:rPr>
              <w:t>45</w:t>
            </w:r>
          </w:p>
        </w:tc>
      </w:tr>
      <w:tr>
        <w:trPr>
          <w:trHeight w:val="210"/>
        </w:trPr>
        <w:tc>
          <w:tcPr>
            <w:tcW w:w="20" w:type="dxa"/>
            <w:vAlign w:val="bottom"/>
          </w:tcPr>
          <w:p>
            <w:pPr>
              <w:spacing w:after="0"/>
              <w:rPr>
                <w:sz w:val="18"/>
                <w:szCs w:val="18"/>
                <w:color w:val="auto"/>
              </w:rPr>
            </w:pPr>
          </w:p>
        </w:tc>
        <w:tc>
          <w:tcPr>
            <w:tcW w:w="3240" w:type="dxa"/>
            <w:vAlign w:val="bottom"/>
            <w:tcBorders>
              <w:bottom w:val="single" w:sz="8" w:color="0000EE"/>
            </w:tcBorders>
            <w:gridSpan w:val="29"/>
          </w:tcPr>
          <w:p>
            <w:pPr>
              <w:spacing w:after="0"/>
              <w:rPr>
                <w:sz w:val="20"/>
                <w:szCs w:val="20"/>
                <w:color w:val="auto"/>
              </w:rPr>
            </w:pPr>
            <w:r>
              <w:rPr>
                <w:rFonts w:ascii="Calibri" w:cs="Calibri" w:eastAsia="Calibri" w:hAnsi="Calibri"/>
                <w:sz w:val="17"/>
                <w:szCs w:val="17"/>
                <w:color w:val="auto"/>
              </w:rPr>
              <w:t>2023 Opton Exercises and Stock Vested Table</w:t>
            </w:r>
          </w:p>
        </w:tc>
        <w:tc>
          <w:tcPr>
            <w:tcW w:w="6840" w:type="dxa"/>
            <w:vAlign w:val="bottom"/>
            <w:gridSpan w:val="15"/>
          </w:tcPr>
          <w:p>
            <w:pPr>
              <w:spacing w:after="0"/>
              <w:rPr>
                <w:sz w:val="18"/>
                <w:szCs w:val="18"/>
                <w:color w:val="auto"/>
              </w:rPr>
            </w:pPr>
          </w:p>
        </w:tc>
        <w:tc>
          <w:tcPr>
            <w:tcW w:w="1140" w:type="dxa"/>
            <w:vAlign w:val="bottom"/>
          </w:tcPr>
          <w:p>
            <w:pPr>
              <w:jc w:val="center"/>
              <w:ind w:left="392"/>
              <w:spacing w:after="0"/>
              <w:rPr>
                <w:sz w:val="20"/>
                <w:szCs w:val="20"/>
                <w:color w:val="auto"/>
              </w:rPr>
            </w:pPr>
            <w:r>
              <w:rPr>
                <w:rFonts w:ascii="Calibri" w:cs="Calibri" w:eastAsia="Calibri" w:hAnsi="Calibri"/>
                <w:sz w:val="17"/>
                <w:szCs w:val="17"/>
                <w:color w:val="auto"/>
              </w:rPr>
              <w:t>46</w:t>
            </w:r>
          </w:p>
        </w:tc>
      </w:tr>
      <w:tr>
        <w:trPr>
          <w:trHeight w:val="210"/>
        </w:trPr>
        <w:tc>
          <w:tcPr>
            <w:tcW w:w="20" w:type="dxa"/>
            <w:vAlign w:val="bottom"/>
          </w:tcPr>
          <w:p>
            <w:pPr>
              <w:spacing w:after="0"/>
              <w:rPr>
                <w:sz w:val="18"/>
                <w:szCs w:val="18"/>
                <w:color w:val="auto"/>
              </w:rPr>
            </w:pPr>
          </w:p>
        </w:tc>
        <w:tc>
          <w:tcPr>
            <w:tcW w:w="2000" w:type="dxa"/>
            <w:vAlign w:val="bottom"/>
            <w:tcBorders>
              <w:bottom w:val="single" w:sz="8" w:color="0000EE"/>
            </w:tcBorders>
            <w:gridSpan w:val="13"/>
          </w:tcPr>
          <w:p>
            <w:pPr>
              <w:spacing w:after="0"/>
              <w:rPr>
                <w:sz w:val="20"/>
                <w:szCs w:val="20"/>
                <w:color w:val="auto"/>
              </w:rPr>
            </w:pPr>
            <w:r>
              <w:rPr>
                <w:rFonts w:ascii="Calibri" w:cs="Calibri" w:eastAsia="Calibri" w:hAnsi="Calibri"/>
                <w:sz w:val="17"/>
                <w:szCs w:val="17"/>
                <w:color w:val="auto"/>
              </w:rPr>
              <w:t>2023 Pension Benefts Table</w:t>
            </w:r>
          </w:p>
        </w:tc>
        <w:tc>
          <w:tcPr>
            <w:tcW w:w="8080" w:type="dxa"/>
            <w:vAlign w:val="bottom"/>
            <w:gridSpan w:val="31"/>
          </w:tcPr>
          <w:p>
            <w:pPr>
              <w:spacing w:after="0"/>
              <w:rPr>
                <w:sz w:val="18"/>
                <w:szCs w:val="18"/>
                <w:color w:val="auto"/>
              </w:rPr>
            </w:pPr>
          </w:p>
        </w:tc>
        <w:tc>
          <w:tcPr>
            <w:tcW w:w="1140" w:type="dxa"/>
            <w:vAlign w:val="bottom"/>
          </w:tcPr>
          <w:p>
            <w:pPr>
              <w:jc w:val="center"/>
              <w:ind w:left="392"/>
              <w:spacing w:after="0"/>
              <w:rPr>
                <w:sz w:val="20"/>
                <w:szCs w:val="20"/>
                <w:color w:val="auto"/>
              </w:rPr>
            </w:pPr>
            <w:r>
              <w:rPr>
                <w:rFonts w:ascii="Calibri" w:cs="Calibri" w:eastAsia="Calibri" w:hAnsi="Calibri"/>
                <w:sz w:val="17"/>
                <w:szCs w:val="17"/>
                <w:color w:val="auto"/>
              </w:rPr>
              <w:t>46</w:t>
            </w:r>
          </w:p>
        </w:tc>
      </w:tr>
      <w:tr>
        <w:trPr>
          <w:trHeight w:val="210"/>
        </w:trPr>
        <w:tc>
          <w:tcPr>
            <w:tcW w:w="20" w:type="dxa"/>
            <w:vAlign w:val="bottom"/>
          </w:tcPr>
          <w:p>
            <w:pPr>
              <w:spacing w:after="0"/>
              <w:rPr>
                <w:sz w:val="18"/>
                <w:szCs w:val="18"/>
                <w:color w:val="auto"/>
              </w:rPr>
            </w:pPr>
          </w:p>
        </w:tc>
        <w:tc>
          <w:tcPr>
            <w:tcW w:w="3480" w:type="dxa"/>
            <w:vAlign w:val="bottom"/>
            <w:tcBorders>
              <w:bottom w:val="single" w:sz="8" w:color="0000EE"/>
            </w:tcBorders>
            <w:gridSpan w:val="32"/>
          </w:tcPr>
          <w:p>
            <w:pPr>
              <w:spacing w:after="0"/>
              <w:rPr>
                <w:sz w:val="20"/>
                <w:szCs w:val="20"/>
                <w:color w:val="auto"/>
              </w:rPr>
            </w:pPr>
            <w:r>
              <w:rPr>
                <w:rFonts w:ascii="Calibri" w:cs="Calibri" w:eastAsia="Calibri" w:hAnsi="Calibri"/>
                <w:sz w:val="17"/>
                <w:szCs w:val="17"/>
                <w:color w:val="auto"/>
              </w:rPr>
              <w:t>2023 Nonqualifed Deferred Compensaton Table</w:t>
            </w:r>
          </w:p>
        </w:tc>
        <w:tc>
          <w:tcPr>
            <w:tcW w:w="6600" w:type="dxa"/>
            <w:vAlign w:val="bottom"/>
            <w:gridSpan w:val="12"/>
          </w:tcPr>
          <w:p>
            <w:pPr>
              <w:spacing w:after="0"/>
              <w:rPr>
                <w:sz w:val="18"/>
                <w:szCs w:val="18"/>
                <w:color w:val="auto"/>
              </w:rPr>
            </w:pPr>
          </w:p>
        </w:tc>
        <w:tc>
          <w:tcPr>
            <w:tcW w:w="1140" w:type="dxa"/>
            <w:vAlign w:val="bottom"/>
          </w:tcPr>
          <w:p>
            <w:pPr>
              <w:jc w:val="center"/>
              <w:ind w:left="392"/>
              <w:spacing w:after="0"/>
              <w:rPr>
                <w:sz w:val="20"/>
                <w:szCs w:val="20"/>
                <w:color w:val="auto"/>
              </w:rPr>
            </w:pPr>
            <w:r>
              <w:rPr>
                <w:rFonts w:ascii="Calibri" w:cs="Calibri" w:eastAsia="Calibri" w:hAnsi="Calibri"/>
                <w:sz w:val="17"/>
                <w:szCs w:val="17"/>
                <w:color w:val="auto"/>
              </w:rPr>
              <w:t>47</w:t>
            </w:r>
          </w:p>
        </w:tc>
      </w:tr>
      <w:tr>
        <w:trPr>
          <w:trHeight w:val="209"/>
        </w:trPr>
        <w:tc>
          <w:tcPr>
            <w:tcW w:w="20" w:type="dxa"/>
            <w:vAlign w:val="bottom"/>
          </w:tcPr>
          <w:p>
            <w:pPr>
              <w:spacing w:after="0"/>
              <w:rPr>
                <w:sz w:val="18"/>
                <w:szCs w:val="18"/>
                <w:color w:val="auto"/>
              </w:rPr>
            </w:pPr>
          </w:p>
        </w:tc>
        <w:tc>
          <w:tcPr>
            <w:tcW w:w="1720" w:type="dxa"/>
            <w:vAlign w:val="bottom"/>
            <w:tcBorders>
              <w:bottom w:val="single" w:sz="8" w:color="0000EE"/>
            </w:tcBorders>
            <w:gridSpan w:val="10"/>
          </w:tcPr>
          <w:p>
            <w:pPr>
              <w:spacing w:after="0"/>
              <w:rPr>
                <w:sz w:val="20"/>
                <w:szCs w:val="20"/>
                <w:color w:val="auto"/>
              </w:rPr>
            </w:pPr>
            <w:r>
              <w:rPr>
                <w:rFonts w:ascii="Calibri" w:cs="Calibri" w:eastAsia="Calibri" w:hAnsi="Calibri"/>
                <w:sz w:val="17"/>
                <w:szCs w:val="17"/>
                <w:color w:val="auto"/>
              </w:rPr>
              <w:t>Pay Versus Performance</w:t>
            </w:r>
          </w:p>
        </w:tc>
        <w:tc>
          <w:tcPr>
            <w:tcW w:w="8360" w:type="dxa"/>
            <w:vAlign w:val="bottom"/>
            <w:gridSpan w:val="34"/>
          </w:tcPr>
          <w:p>
            <w:pPr>
              <w:spacing w:after="0"/>
              <w:rPr>
                <w:sz w:val="18"/>
                <w:szCs w:val="18"/>
                <w:color w:val="auto"/>
              </w:rPr>
            </w:pPr>
          </w:p>
        </w:tc>
        <w:tc>
          <w:tcPr>
            <w:tcW w:w="1140" w:type="dxa"/>
            <w:vAlign w:val="bottom"/>
          </w:tcPr>
          <w:p>
            <w:pPr>
              <w:jc w:val="center"/>
              <w:ind w:left="392"/>
              <w:spacing w:after="0"/>
              <w:rPr>
                <w:sz w:val="20"/>
                <w:szCs w:val="20"/>
                <w:color w:val="auto"/>
              </w:rPr>
            </w:pPr>
            <w:r>
              <w:rPr>
                <w:rFonts w:ascii="Calibri" w:cs="Calibri" w:eastAsia="Calibri" w:hAnsi="Calibri"/>
                <w:sz w:val="17"/>
                <w:szCs w:val="17"/>
                <w:color w:val="auto"/>
              </w:rPr>
              <w:t>49</w:t>
            </w:r>
          </w:p>
        </w:tc>
      </w:tr>
      <w:tr>
        <w:trPr>
          <w:trHeight w:val="209"/>
        </w:trPr>
        <w:tc>
          <w:tcPr>
            <w:tcW w:w="20" w:type="dxa"/>
            <w:vAlign w:val="bottom"/>
          </w:tcPr>
          <w:p>
            <w:pPr>
              <w:spacing w:after="0"/>
              <w:rPr>
                <w:sz w:val="18"/>
                <w:szCs w:val="18"/>
                <w:color w:val="auto"/>
              </w:rPr>
            </w:pPr>
          </w:p>
        </w:tc>
        <w:tc>
          <w:tcPr>
            <w:tcW w:w="10080" w:type="dxa"/>
            <w:vAlign w:val="bottom"/>
            <w:gridSpan w:val="44"/>
          </w:tcPr>
          <w:p>
            <w:pPr>
              <w:spacing w:after="0"/>
              <w:rPr>
                <w:sz w:val="20"/>
                <w:szCs w:val="20"/>
                <w:color w:val="auto"/>
              </w:rPr>
            </w:pPr>
            <w:r>
              <w:rPr>
                <w:rFonts w:ascii="Calibri" w:cs="Calibri" w:eastAsia="Calibri" w:hAnsi="Calibri"/>
                <w:sz w:val="17"/>
                <w:szCs w:val="17"/>
                <w:color w:val="auto"/>
              </w:rPr>
              <w:t>Compensaton Commitee Report</w:t>
            </w:r>
          </w:p>
        </w:tc>
        <w:tc>
          <w:tcPr>
            <w:tcW w:w="1140" w:type="dxa"/>
            <w:vAlign w:val="bottom"/>
          </w:tcPr>
          <w:p>
            <w:pPr>
              <w:jc w:val="center"/>
              <w:ind w:left="392"/>
              <w:spacing w:after="0"/>
              <w:rPr>
                <w:sz w:val="20"/>
                <w:szCs w:val="20"/>
                <w:color w:val="auto"/>
              </w:rPr>
            </w:pPr>
            <w:r>
              <w:rPr>
                <w:rFonts w:ascii="Calibri" w:cs="Calibri" w:eastAsia="Calibri" w:hAnsi="Calibri"/>
                <w:sz w:val="17"/>
                <w:szCs w:val="17"/>
                <w:color w:val="auto"/>
              </w:rPr>
              <w:t>53</w:t>
            </w:r>
          </w:p>
        </w:tc>
      </w:tr>
      <w:tr>
        <w:trPr>
          <w:trHeight w:val="20"/>
        </w:trPr>
        <w:tc>
          <w:tcPr>
            <w:tcW w:w="20" w:type="dxa"/>
            <w:vAlign w:val="bottom"/>
          </w:tcPr>
          <w:p>
            <w:pPr>
              <w:spacing w:after="0" w:line="20" w:lineRule="exact"/>
              <w:rPr>
                <w:sz w:val="1"/>
                <w:szCs w:val="1"/>
                <w:color w:val="auto"/>
              </w:rPr>
            </w:pPr>
          </w:p>
        </w:tc>
        <w:tc>
          <w:tcPr>
            <w:tcW w:w="1380" w:type="dxa"/>
            <w:vAlign w:val="bottom"/>
            <w:gridSpan w:val="5"/>
            <w:shd w:val="clear" w:color="auto" w:fill="0000EE"/>
          </w:tcPr>
          <w:p>
            <w:pPr>
              <w:spacing w:after="0" w:line="20" w:lineRule="exact"/>
              <w:rPr>
                <w:sz w:val="1"/>
                <w:szCs w:val="1"/>
                <w:color w:val="auto"/>
              </w:rPr>
            </w:pPr>
          </w:p>
        </w:tc>
        <w:tc>
          <w:tcPr>
            <w:tcW w:w="480" w:type="dxa"/>
            <w:vAlign w:val="bottom"/>
            <w:tcBorders>
              <w:left w:val="single" w:sz="8" w:color="0000EE"/>
            </w:tcBorders>
            <w:gridSpan w:val="6"/>
            <w:shd w:val="clear" w:color="auto" w:fill="0000EE"/>
          </w:tcPr>
          <w:p>
            <w:pPr>
              <w:spacing w:after="0" w:line="20" w:lineRule="exact"/>
              <w:rPr>
                <w:sz w:val="1"/>
                <w:szCs w:val="1"/>
                <w:color w:val="auto"/>
              </w:rPr>
            </w:pPr>
          </w:p>
        </w:tc>
        <w:tc>
          <w:tcPr>
            <w:tcW w:w="520" w:type="dxa"/>
            <w:vAlign w:val="bottom"/>
            <w:tcBorders>
              <w:right w:val="single" w:sz="8" w:color="0000EE"/>
            </w:tcBorders>
            <w:gridSpan w:val="8"/>
            <w:shd w:val="clear" w:color="auto" w:fill="0000EE"/>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640" w:type="dxa"/>
            <w:vAlign w:val="bottom"/>
            <w:gridSpan w:val="7"/>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220" w:type="dxa"/>
            <w:vAlign w:val="bottom"/>
            <w:gridSpan w:val="6"/>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Borders>
              <w:bottom w:val="single" w:sz="8" w:color="0000EE"/>
            </w:tcBorders>
            <w:gridSpan w:val="36"/>
          </w:tcPr>
          <w:p>
            <w:pPr>
              <w:spacing w:after="0"/>
              <w:rPr>
                <w:sz w:val="20"/>
                <w:szCs w:val="20"/>
                <w:color w:val="auto"/>
              </w:rPr>
            </w:pPr>
            <w:r>
              <w:rPr>
                <w:rFonts w:ascii="Calibri" w:cs="Calibri" w:eastAsia="Calibri" w:hAnsi="Calibri"/>
                <w:sz w:val="17"/>
                <w:szCs w:val="17"/>
                <w:color w:val="auto"/>
              </w:rPr>
              <w:t>Potental Payments upon Terminaton or Change of Control</w:t>
            </w:r>
          </w:p>
        </w:tc>
        <w:tc>
          <w:tcPr>
            <w:tcW w:w="5880" w:type="dxa"/>
            <w:vAlign w:val="bottom"/>
            <w:gridSpan w:val="8"/>
          </w:tcPr>
          <w:p>
            <w:pPr>
              <w:spacing w:after="0"/>
              <w:rPr>
                <w:sz w:val="18"/>
                <w:szCs w:val="18"/>
                <w:color w:val="auto"/>
              </w:rPr>
            </w:pPr>
          </w:p>
        </w:tc>
        <w:tc>
          <w:tcPr>
            <w:tcW w:w="1140" w:type="dxa"/>
            <w:vAlign w:val="bottom"/>
          </w:tcPr>
          <w:p>
            <w:pPr>
              <w:jc w:val="center"/>
              <w:ind w:left="392"/>
              <w:spacing w:after="0"/>
              <w:rPr>
                <w:sz w:val="20"/>
                <w:szCs w:val="20"/>
                <w:color w:val="auto"/>
              </w:rPr>
            </w:pPr>
            <w:r>
              <w:rPr>
                <w:rFonts w:ascii="Calibri" w:cs="Calibri" w:eastAsia="Calibri" w:hAnsi="Calibri"/>
                <w:sz w:val="17"/>
                <w:szCs w:val="17"/>
                <w:color w:val="auto"/>
              </w:rPr>
              <w:t>54</w:t>
            </w:r>
          </w:p>
        </w:tc>
      </w:tr>
      <w:tr>
        <w:trPr>
          <w:trHeight w:val="263"/>
        </w:trPr>
        <w:tc>
          <w:tcPr>
            <w:tcW w:w="20" w:type="dxa"/>
            <w:vAlign w:val="bottom"/>
          </w:tcPr>
          <w:p>
            <w:pPr>
              <w:spacing w:after="0"/>
              <w:rPr>
                <w:sz w:val="22"/>
                <w:szCs w:val="22"/>
                <w:color w:val="auto"/>
              </w:rPr>
            </w:pPr>
          </w:p>
        </w:tc>
        <w:tc>
          <w:tcPr>
            <w:tcW w:w="10080" w:type="dxa"/>
            <w:vAlign w:val="bottom"/>
            <w:gridSpan w:val="44"/>
          </w:tcPr>
          <w:p>
            <w:pPr>
              <w:spacing w:after="0" w:line="263" w:lineRule="exact"/>
              <w:rPr>
                <w:sz w:val="20"/>
                <w:szCs w:val="20"/>
                <w:color w:val="auto"/>
              </w:rPr>
            </w:pPr>
            <w:r>
              <w:rPr>
                <w:rFonts w:ascii="Calibri" w:cs="Calibri" w:eastAsia="Calibri" w:hAnsi="Calibri"/>
                <w:sz w:val="22"/>
                <w:szCs w:val="22"/>
                <w:b w:val="1"/>
                <w:bCs w:val="1"/>
                <w:color w:val="FF0000"/>
              </w:rPr>
              <w:t>Informaton About Shareholdings and Related Maters</w:t>
            </w:r>
          </w:p>
        </w:tc>
        <w:tc>
          <w:tcPr>
            <w:tcW w:w="1140" w:type="dxa"/>
            <w:vAlign w:val="bottom"/>
          </w:tcPr>
          <w:p>
            <w:pPr>
              <w:jc w:val="center"/>
              <w:ind w:left="392"/>
              <w:spacing w:after="0" w:line="263" w:lineRule="exact"/>
              <w:rPr>
                <w:sz w:val="20"/>
                <w:szCs w:val="20"/>
                <w:color w:val="auto"/>
              </w:rPr>
            </w:pPr>
            <w:r>
              <w:rPr>
                <w:rFonts w:ascii="Calibri" w:cs="Calibri" w:eastAsia="Calibri" w:hAnsi="Calibri"/>
                <w:sz w:val="22"/>
                <w:szCs w:val="22"/>
                <w:color w:val="FF0000"/>
                <w:w w:val="98"/>
              </w:rPr>
              <w:t>56</w:t>
            </w:r>
          </w:p>
        </w:tc>
      </w:tr>
      <w:tr>
        <w:trPr>
          <w:trHeight w:val="61"/>
        </w:trPr>
        <w:tc>
          <w:tcPr>
            <w:tcW w:w="20" w:type="dxa"/>
            <w:vAlign w:val="bottom"/>
            <w:tcBorders>
              <w:bottom w:val="single" w:sz="8" w:color="auto"/>
            </w:tcBorders>
          </w:tcPr>
          <w:p>
            <w:pPr>
              <w:spacing w:after="0"/>
              <w:rPr>
                <w:sz w:val="5"/>
                <w:szCs w:val="5"/>
                <w:color w:val="auto"/>
              </w:rPr>
            </w:pPr>
          </w:p>
        </w:tc>
        <w:tc>
          <w:tcPr>
            <w:tcW w:w="560" w:type="dxa"/>
            <w:vAlign w:val="bottom"/>
            <w:tcBorders>
              <w:top w:val="single" w:sz="8" w:color="0000EE"/>
              <w:bottom w:val="single" w:sz="8" w:color="auto"/>
            </w:tcBorders>
          </w:tcPr>
          <w:p>
            <w:pPr>
              <w:spacing w:after="0"/>
              <w:rPr>
                <w:sz w:val="5"/>
                <w:szCs w:val="5"/>
                <w:color w:val="auto"/>
              </w:rPr>
            </w:pPr>
          </w:p>
        </w:tc>
        <w:tc>
          <w:tcPr>
            <w:tcW w:w="320" w:type="dxa"/>
            <w:vAlign w:val="bottom"/>
            <w:tcBorders>
              <w:top w:val="single" w:sz="8" w:color="0000EE"/>
              <w:bottom w:val="single" w:sz="8" w:color="auto"/>
            </w:tcBorders>
          </w:tcPr>
          <w:p>
            <w:pPr>
              <w:spacing w:after="0"/>
              <w:rPr>
                <w:sz w:val="5"/>
                <w:szCs w:val="5"/>
                <w:color w:val="auto"/>
              </w:rPr>
            </w:pPr>
          </w:p>
        </w:tc>
        <w:tc>
          <w:tcPr>
            <w:tcW w:w="120" w:type="dxa"/>
            <w:vAlign w:val="bottom"/>
            <w:tcBorders>
              <w:top w:val="single" w:sz="8" w:color="0000EE"/>
              <w:bottom w:val="single" w:sz="8" w:color="auto"/>
            </w:tcBorders>
          </w:tcPr>
          <w:p>
            <w:pPr>
              <w:spacing w:after="0"/>
              <w:rPr>
                <w:sz w:val="5"/>
                <w:szCs w:val="5"/>
                <w:color w:val="auto"/>
              </w:rPr>
            </w:pPr>
          </w:p>
        </w:tc>
        <w:tc>
          <w:tcPr>
            <w:tcW w:w="300" w:type="dxa"/>
            <w:vAlign w:val="bottom"/>
            <w:tcBorders>
              <w:top w:val="single" w:sz="8" w:color="0000EE"/>
              <w:bottom w:val="single" w:sz="8" w:color="auto"/>
            </w:tcBorders>
          </w:tcPr>
          <w:p>
            <w:pPr>
              <w:spacing w:after="0"/>
              <w:rPr>
                <w:sz w:val="5"/>
                <w:szCs w:val="5"/>
                <w:color w:val="auto"/>
              </w:rPr>
            </w:pPr>
          </w:p>
        </w:tc>
        <w:tc>
          <w:tcPr>
            <w:tcW w:w="8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40" w:type="dxa"/>
            <w:vAlign w:val="bottom"/>
            <w:tcBorders>
              <w:top w:val="single" w:sz="8" w:color="0000EE"/>
              <w:bottom w:val="single" w:sz="8" w:color="auto"/>
            </w:tcBorders>
          </w:tcPr>
          <w:p>
            <w:pPr>
              <w:spacing w:after="0"/>
              <w:rPr>
                <w:sz w:val="5"/>
                <w:szCs w:val="5"/>
                <w:color w:val="auto"/>
              </w:rPr>
            </w:pPr>
          </w:p>
        </w:tc>
        <w:tc>
          <w:tcPr>
            <w:tcW w:w="12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140" w:type="dxa"/>
            <w:vAlign w:val="bottom"/>
            <w:tcBorders>
              <w:top w:val="single" w:sz="8" w:color="0000EE"/>
              <w:bottom w:val="single" w:sz="8" w:color="auto"/>
            </w:tcBorders>
          </w:tcPr>
          <w:p>
            <w:pPr>
              <w:spacing w:after="0"/>
              <w:rPr>
                <w:sz w:val="5"/>
                <w:szCs w:val="5"/>
                <w:color w:val="auto"/>
              </w:rPr>
            </w:pPr>
          </w:p>
        </w:tc>
        <w:tc>
          <w:tcPr>
            <w:tcW w:w="12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8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120" w:type="dxa"/>
            <w:vAlign w:val="bottom"/>
            <w:tcBorders>
              <w:top w:val="single" w:sz="8" w:color="0000EE"/>
              <w:bottom w:val="single" w:sz="8" w:color="auto"/>
            </w:tcBorders>
          </w:tcPr>
          <w:p>
            <w:pPr>
              <w:spacing w:after="0"/>
              <w:rPr>
                <w:sz w:val="5"/>
                <w:szCs w:val="5"/>
                <w:color w:val="auto"/>
              </w:rPr>
            </w:pPr>
          </w:p>
        </w:tc>
        <w:tc>
          <w:tcPr>
            <w:tcW w:w="80" w:type="dxa"/>
            <w:vAlign w:val="bottom"/>
            <w:tcBorders>
              <w:top w:val="single" w:sz="8" w:color="0000EE"/>
              <w:bottom w:val="single" w:sz="8" w:color="auto"/>
            </w:tcBorders>
          </w:tcPr>
          <w:p>
            <w:pPr>
              <w:spacing w:after="0"/>
              <w:rPr>
                <w:sz w:val="5"/>
                <w:szCs w:val="5"/>
                <w:color w:val="auto"/>
              </w:rPr>
            </w:pPr>
          </w:p>
        </w:tc>
        <w:tc>
          <w:tcPr>
            <w:tcW w:w="4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4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240" w:type="dxa"/>
            <w:vAlign w:val="bottom"/>
            <w:tcBorders>
              <w:top w:val="single" w:sz="8" w:color="0000EE"/>
              <w:bottom w:val="single" w:sz="8" w:color="auto"/>
            </w:tcBorders>
          </w:tcPr>
          <w:p>
            <w:pPr>
              <w:spacing w:after="0"/>
              <w:rPr>
                <w:sz w:val="5"/>
                <w:szCs w:val="5"/>
                <w:color w:val="auto"/>
              </w:rPr>
            </w:pPr>
          </w:p>
        </w:tc>
        <w:tc>
          <w:tcPr>
            <w:tcW w:w="4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120" w:type="dxa"/>
            <w:vAlign w:val="bottom"/>
            <w:tcBorders>
              <w:top w:val="single" w:sz="8" w:color="0000EE"/>
              <w:bottom w:val="single" w:sz="8" w:color="auto"/>
            </w:tcBorders>
          </w:tcPr>
          <w:p>
            <w:pPr>
              <w:spacing w:after="0"/>
              <w:rPr>
                <w:sz w:val="5"/>
                <w:szCs w:val="5"/>
                <w:color w:val="auto"/>
              </w:rPr>
            </w:pPr>
          </w:p>
        </w:tc>
        <w:tc>
          <w:tcPr>
            <w:tcW w:w="80" w:type="dxa"/>
            <w:vAlign w:val="bottom"/>
            <w:tcBorders>
              <w:top w:val="single" w:sz="8" w:color="0000EE"/>
              <w:bottom w:val="single" w:sz="8" w:color="auto"/>
            </w:tcBorders>
          </w:tcPr>
          <w:p>
            <w:pPr>
              <w:spacing w:after="0"/>
              <w:rPr>
                <w:sz w:val="5"/>
                <w:szCs w:val="5"/>
                <w:color w:val="auto"/>
              </w:rPr>
            </w:pPr>
          </w:p>
        </w:tc>
        <w:tc>
          <w:tcPr>
            <w:tcW w:w="12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320" w:type="dxa"/>
            <w:vAlign w:val="bottom"/>
            <w:tcBorders>
              <w:top w:val="single" w:sz="8" w:color="0000EE"/>
              <w:bottom w:val="single" w:sz="8" w:color="auto"/>
            </w:tcBorders>
          </w:tcPr>
          <w:p>
            <w:pPr>
              <w:spacing w:after="0"/>
              <w:rPr>
                <w:sz w:val="5"/>
                <w:szCs w:val="5"/>
                <w:color w:val="auto"/>
              </w:rPr>
            </w:pPr>
          </w:p>
        </w:tc>
        <w:tc>
          <w:tcPr>
            <w:tcW w:w="220" w:type="dxa"/>
            <w:vAlign w:val="bottom"/>
            <w:tcBorders>
              <w:top w:val="single" w:sz="8" w:color="0000EE"/>
              <w:bottom w:val="single" w:sz="8" w:color="auto"/>
            </w:tcBorders>
          </w:tcPr>
          <w:p>
            <w:pPr>
              <w:spacing w:after="0"/>
              <w:rPr>
                <w:sz w:val="5"/>
                <w:szCs w:val="5"/>
                <w:color w:val="auto"/>
              </w:rPr>
            </w:pPr>
          </w:p>
        </w:tc>
        <w:tc>
          <w:tcPr>
            <w:tcW w:w="140" w:type="dxa"/>
            <w:vAlign w:val="bottom"/>
            <w:tcBorders>
              <w:top w:val="single" w:sz="8" w:color="0000EE"/>
              <w:bottom w:val="single" w:sz="8" w:color="auto"/>
            </w:tcBorders>
          </w:tcPr>
          <w:p>
            <w:pPr>
              <w:spacing w:after="0"/>
              <w:rPr>
                <w:sz w:val="5"/>
                <w:szCs w:val="5"/>
                <w:color w:val="auto"/>
              </w:rPr>
            </w:pPr>
          </w:p>
        </w:tc>
        <w:tc>
          <w:tcPr>
            <w:tcW w:w="40" w:type="dxa"/>
            <w:vAlign w:val="bottom"/>
            <w:tcBorders>
              <w:top w:val="single" w:sz="8" w:color="0000EE"/>
              <w:bottom w:val="single" w:sz="8" w:color="auto"/>
            </w:tcBorders>
          </w:tcPr>
          <w:p>
            <w:pPr>
              <w:spacing w:after="0"/>
              <w:rPr>
                <w:sz w:val="5"/>
                <w:szCs w:val="5"/>
                <w:color w:val="auto"/>
              </w:rPr>
            </w:pPr>
          </w:p>
        </w:tc>
        <w:tc>
          <w:tcPr>
            <w:tcW w:w="340" w:type="dxa"/>
            <w:vAlign w:val="bottom"/>
            <w:tcBorders>
              <w:top w:val="single" w:sz="8" w:color="0000EE"/>
              <w:bottom w:val="single" w:sz="8" w:color="auto"/>
            </w:tcBorders>
          </w:tcPr>
          <w:p>
            <w:pPr>
              <w:spacing w:after="0"/>
              <w:rPr>
                <w:sz w:val="5"/>
                <w:szCs w:val="5"/>
                <w:color w:val="auto"/>
              </w:rPr>
            </w:pPr>
          </w:p>
        </w:tc>
        <w:tc>
          <w:tcPr>
            <w:tcW w:w="320" w:type="dxa"/>
            <w:vAlign w:val="bottom"/>
            <w:tcBorders>
              <w:top w:val="single" w:sz="8" w:color="0000EE"/>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28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156"/>
        </w:trPr>
        <w:tc>
          <w:tcPr>
            <w:tcW w:w="20" w:type="dxa"/>
            <w:vAlign w:val="bottom"/>
          </w:tcPr>
          <w:p>
            <w:pPr>
              <w:spacing w:after="0"/>
              <w:rPr>
                <w:sz w:val="13"/>
                <w:szCs w:val="13"/>
                <w:color w:val="auto"/>
              </w:rPr>
            </w:pPr>
          </w:p>
        </w:tc>
        <w:tc>
          <w:tcPr>
            <w:tcW w:w="10080" w:type="dxa"/>
            <w:vAlign w:val="bottom"/>
            <w:gridSpan w:val="44"/>
          </w:tcPr>
          <w:p>
            <w:pPr>
              <w:spacing w:after="0" w:line="156" w:lineRule="exact"/>
              <w:rPr>
                <w:sz w:val="20"/>
                <w:szCs w:val="20"/>
                <w:color w:val="auto"/>
              </w:rPr>
            </w:pPr>
            <w:r>
              <w:rPr>
                <w:rFonts w:ascii="Calibri" w:cs="Calibri" w:eastAsia="Calibri" w:hAnsi="Calibri"/>
                <w:sz w:val="16"/>
                <w:szCs w:val="16"/>
                <w:color w:val="auto"/>
              </w:rPr>
              <w:t>Security Ownership</w:t>
            </w:r>
          </w:p>
        </w:tc>
        <w:tc>
          <w:tcPr>
            <w:tcW w:w="1140" w:type="dxa"/>
            <w:vAlign w:val="bottom"/>
          </w:tcPr>
          <w:p>
            <w:pPr>
              <w:jc w:val="center"/>
              <w:ind w:left="392"/>
              <w:spacing w:after="0" w:line="156" w:lineRule="exact"/>
              <w:rPr>
                <w:sz w:val="20"/>
                <w:szCs w:val="20"/>
                <w:color w:val="auto"/>
              </w:rPr>
            </w:pPr>
            <w:r>
              <w:rPr>
                <w:rFonts w:ascii="Calibri" w:cs="Calibri" w:eastAsia="Calibri" w:hAnsi="Calibri"/>
                <w:sz w:val="16"/>
                <w:szCs w:val="16"/>
                <w:color w:val="auto"/>
              </w:rPr>
              <w:t>56</w:t>
            </w:r>
          </w:p>
        </w:tc>
      </w:tr>
      <w:tr>
        <w:trPr>
          <w:trHeight w:val="20"/>
        </w:trPr>
        <w:tc>
          <w:tcPr>
            <w:tcW w:w="20" w:type="dxa"/>
            <w:vAlign w:val="bottom"/>
          </w:tcPr>
          <w:p>
            <w:pPr>
              <w:spacing w:after="0" w:line="20" w:lineRule="exact"/>
              <w:rPr>
                <w:sz w:val="1"/>
                <w:szCs w:val="1"/>
                <w:color w:val="auto"/>
              </w:rPr>
            </w:pPr>
          </w:p>
        </w:tc>
        <w:tc>
          <w:tcPr>
            <w:tcW w:w="1380" w:type="dxa"/>
            <w:vAlign w:val="bottom"/>
            <w:gridSpan w:val="5"/>
            <w:shd w:val="clear" w:color="auto" w:fill="0000EE"/>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520" w:type="dxa"/>
            <w:vAlign w:val="bottom"/>
            <w:gridSpan w:val="8"/>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640" w:type="dxa"/>
            <w:vAlign w:val="bottom"/>
            <w:gridSpan w:val="7"/>
          </w:tcPr>
          <w:p>
            <w:pPr>
              <w:spacing w:after="0" w:line="20" w:lineRule="exact"/>
              <w:rPr>
                <w:sz w:val="1"/>
                <w:szCs w:val="1"/>
                <w:color w:val="auto"/>
              </w:rPr>
            </w:pPr>
          </w:p>
        </w:tc>
        <w:tc>
          <w:tcPr>
            <w:tcW w:w="6700" w:type="dxa"/>
            <w:vAlign w:val="bottom"/>
            <w:gridSpan w:val="1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80" w:type="dxa"/>
            <w:vAlign w:val="bottom"/>
            <w:gridSpan w:val="44"/>
          </w:tcPr>
          <w:p>
            <w:pPr>
              <w:spacing w:after="0"/>
              <w:rPr>
                <w:sz w:val="20"/>
                <w:szCs w:val="20"/>
                <w:color w:val="auto"/>
              </w:rPr>
            </w:pPr>
            <w:r>
              <w:rPr>
                <w:rFonts w:ascii="Calibri" w:cs="Calibri" w:eastAsia="Calibri" w:hAnsi="Calibri"/>
                <w:sz w:val="17"/>
                <w:szCs w:val="17"/>
                <w:color w:val="auto"/>
              </w:rPr>
              <w:t>Equity Compensaton Plan Informaton</w:t>
            </w:r>
          </w:p>
        </w:tc>
        <w:tc>
          <w:tcPr>
            <w:tcW w:w="1140" w:type="dxa"/>
            <w:vAlign w:val="bottom"/>
          </w:tcPr>
          <w:p>
            <w:pPr>
              <w:jc w:val="center"/>
              <w:ind w:left="392"/>
              <w:spacing w:after="0"/>
              <w:rPr>
                <w:sz w:val="20"/>
                <w:szCs w:val="20"/>
                <w:color w:val="auto"/>
              </w:rPr>
            </w:pPr>
            <w:r>
              <w:rPr>
                <w:rFonts w:ascii="Calibri" w:cs="Calibri" w:eastAsia="Calibri" w:hAnsi="Calibri"/>
                <w:sz w:val="17"/>
                <w:szCs w:val="17"/>
                <w:color w:val="auto"/>
              </w:rPr>
              <w:t>57</w:t>
            </w:r>
          </w:p>
        </w:tc>
      </w:tr>
      <w:tr>
        <w:trPr>
          <w:trHeight w:val="210"/>
        </w:trPr>
        <w:tc>
          <w:tcPr>
            <w:tcW w:w="20" w:type="dxa"/>
            <w:vAlign w:val="bottom"/>
          </w:tcPr>
          <w:p>
            <w:pPr>
              <w:spacing w:after="0"/>
              <w:rPr>
                <w:sz w:val="18"/>
                <w:szCs w:val="18"/>
                <w:color w:val="auto"/>
              </w:rPr>
            </w:pPr>
          </w:p>
        </w:tc>
        <w:tc>
          <w:tcPr>
            <w:tcW w:w="2380" w:type="dxa"/>
            <w:vAlign w:val="bottom"/>
            <w:tcBorders>
              <w:top w:val="single" w:sz="8" w:color="0000EE"/>
              <w:bottom w:val="single" w:sz="8" w:color="0000EE"/>
            </w:tcBorders>
            <w:gridSpan w:val="19"/>
          </w:tcPr>
          <w:p>
            <w:pPr>
              <w:spacing w:after="0"/>
              <w:rPr>
                <w:sz w:val="20"/>
                <w:szCs w:val="20"/>
                <w:color w:val="auto"/>
              </w:rPr>
            </w:pPr>
            <w:r>
              <w:rPr>
                <w:rFonts w:ascii="Calibri" w:cs="Calibri" w:eastAsia="Calibri" w:hAnsi="Calibri"/>
                <w:sz w:val="17"/>
                <w:szCs w:val="17"/>
                <w:color w:val="auto"/>
              </w:rPr>
              <w:t>Delinquent Secton 16(a) Reports</w:t>
            </w:r>
          </w:p>
        </w:tc>
        <w:tc>
          <w:tcPr>
            <w:tcW w:w="360" w:type="dxa"/>
            <w:vAlign w:val="bottom"/>
            <w:tcBorders>
              <w:top w:val="single" w:sz="8" w:color="0000EE"/>
            </w:tcBorders>
            <w:gridSpan w:val="5"/>
          </w:tcPr>
          <w:p>
            <w:pPr>
              <w:spacing w:after="0"/>
              <w:rPr>
                <w:sz w:val="18"/>
                <w:szCs w:val="18"/>
                <w:color w:val="auto"/>
              </w:rPr>
            </w:pPr>
          </w:p>
        </w:tc>
        <w:tc>
          <w:tcPr>
            <w:tcW w:w="7340" w:type="dxa"/>
            <w:vAlign w:val="bottom"/>
            <w:gridSpan w:val="20"/>
          </w:tcPr>
          <w:p>
            <w:pPr>
              <w:spacing w:after="0"/>
              <w:rPr>
                <w:sz w:val="18"/>
                <w:szCs w:val="18"/>
                <w:color w:val="auto"/>
              </w:rPr>
            </w:pPr>
          </w:p>
        </w:tc>
        <w:tc>
          <w:tcPr>
            <w:tcW w:w="1140" w:type="dxa"/>
            <w:vAlign w:val="bottom"/>
          </w:tcPr>
          <w:p>
            <w:pPr>
              <w:jc w:val="center"/>
              <w:ind w:left="392"/>
              <w:spacing w:after="0"/>
              <w:rPr>
                <w:sz w:val="20"/>
                <w:szCs w:val="20"/>
                <w:color w:val="auto"/>
              </w:rPr>
            </w:pPr>
            <w:r>
              <w:rPr>
                <w:rFonts w:ascii="Calibri" w:cs="Calibri" w:eastAsia="Calibri" w:hAnsi="Calibri"/>
                <w:sz w:val="17"/>
                <w:szCs w:val="17"/>
                <w:color w:val="auto"/>
              </w:rPr>
              <w:t>57</w:t>
            </w:r>
          </w:p>
        </w:tc>
      </w:tr>
      <w:tr>
        <w:trPr>
          <w:trHeight w:val="209"/>
        </w:trPr>
        <w:tc>
          <w:tcPr>
            <w:tcW w:w="20" w:type="dxa"/>
            <w:vAlign w:val="bottom"/>
          </w:tcPr>
          <w:p>
            <w:pPr>
              <w:spacing w:after="0"/>
              <w:rPr>
                <w:sz w:val="18"/>
                <w:szCs w:val="18"/>
                <w:color w:val="auto"/>
              </w:rPr>
            </w:pPr>
          </w:p>
        </w:tc>
        <w:tc>
          <w:tcPr>
            <w:tcW w:w="3380" w:type="dxa"/>
            <w:vAlign w:val="bottom"/>
            <w:tcBorders>
              <w:bottom w:val="single" w:sz="8" w:color="0000EE"/>
            </w:tcBorders>
            <w:gridSpan w:val="31"/>
          </w:tcPr>
          <w:p>
            <w:pPr>
              <w:spacing w:after="0"/>
              <w:rPr>
                <w:sz w:val="20"/>
                <w:szCs w:val="20"/>
                <w:color w:val="auto"/>
              </w:rPr>
            </w:pPr>
            <w:r>
              <w:rPr>
                <w:rFonts w:ascii="Calibri" w:cs="Calibri" w:eastAsia="Calibri" w:hAnsi="Calibri"/>
                <w:sz w:val="17"/>
                <w:szCs w:val="17"/>
                <w:color w:val="auto"/>
              </w:rPr>
              <w:t>Shareholder Proposals/Nominaton of Directors</w:t>
            </w:r>
          </w:p>
        </w:tc>
        <w:tc>
          <w:tcPr>
            <w:tcW w:w="6700" w:type="dxa"/>
            <w:vAlign w:val="bottom"/>
            <w:gridSpan w:val="13"/>
          </w:tcPr>
          <w:p>
            <w:pPr>
              <w:spacing w:after="0"/>
              <w:rPr>
                <w:sz w:val="18"/>
                <w:szCs w:val="18"/>
                <w:color w:val="auto"/>
              </w:rPr>
            </w:pPr>
          </w:p>
        </w:tc>
        <w:tc>
          <w:tcPr>
            <w:tcW w:w="1140" w:type="dxa"/>
            <w:vAlign w:val="bottom"/>
          </w:tcPr>
          <w:p>
            <w:pPr>
              <w:jc w:val="center"/>
              <w:ind w:left="392"/>
              <w:spacing w:after="0"/>
              <w:rPr>
                <w:sz w:val="20"/>
                <w:szCs w:val="20"/>
                <w:color w:val="auto"/>
              </w:rPr>
            </w:pPr>
            <w:r>
              <w:rPr>
                <w:rFonts w:ascii="Calibri" w:cs="Calibri" w:eastAsia="Calibri" w:hAnsi="Calibri"/>
                <w:sz w:val="17"/>
                <w:szCs w:val="17"/>
                <w:color w:val="auto"/>
              </w:rPr>
              <w:t>57</w:t>
            </w:r>
          </w:p>
        </w:tc>
      </w:tr>
      <w:tr>
        <w:trPr>
          <w:trHeight w:val="210"/>
        </w:trPr>
        <w:tc>
          <w:tcPr>
            <w:tcW w:w="20" w:type="dxa"/>
            <w:vAlign w:val="bottom"/>
          </w:tcPr>
          <w:p>
            <w:pPr>
              <w:spacing w:after="0"/>
              <w:rPr>
                <w:sz w:val="18"/>
                <w:szCs w:val="18"/>
                <w:color w:val="auto"/>
              </w:rPr>
            </w:pPr>
          </w:p>
        </w:tc>
        <w:tc>
          <w:tcPr>
            <w:tcW w:w="10080" w:type="dxa"/>
            <w:vAlign w:val="bottom"/>
            <w:gridSpan w:val="44"/>
          </w:tcPr>
          <w:p>
            <w:pPr>
              <w:spacing w:after="0"/>
              <w:rPr>
                <w:sz w:val="20"/>
                <w:szCs w:val="20"/>
                <w:color w:val="auto"/>
              </w:rPr>
            </w:pPr>
            <w:r>
              <w:rPr>
                <w:rFonts w:ascii="Calibri" w:cs="Calibri" w:eastAsia="Calibri" w:hAnsi="Calibri"/>
                <w:sz w:val="17"/>
                <w:szCs w:val="17"/>
                <w:color w:val="auto"/>
              </w:rPr>
              <w:t>Householding Informaton</w:t>
            </w:r>
          </w:p>
        </w:tc>
        <w:tc>
          <w:tcPr>
            <w:tcW w:w="1140" w:type="dxa"/>
            <w:vAlign w:val="bottom"/>
          </w:tcPr>
          <w:p>
            <w:pPr>
              <w:jc w:val="center"/>
              <w:ind w:left="392"/>
              <w:spacing w:after="0"/>
              <w:rPr>
                <w:sz w:val="20"/>
                <w:szCs w:val="20"/>
                <w:color w:val="auto"/>
              </w:rPr>
            </w:pPr>
            <w:r>
              <w:rPr>
                <w:rFonts w:ascii="Calibri" w:cs="Calibri" w:eastAsia="Calibri" w:hAnsi="Calibri"/>
                <w:sz w:val="17"/>
                <w:szCs w:val="17"/>
                <w:color w:val="auto"/>
              </w:rPr>
              <w:t>57</w:t>
            </w: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1050290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6819900</wp:posOffset>
            </wp:positionH>
            <wp:positionV relativeFrom="paragraph">
              <wp:posOffset>179705</wp:posOffset>
            </wp:positionV>
            <wp:extent cx="214630" cy="2228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4630" cy="22288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488"/>
        </w:trPr>
        <w:tc>
          <w:tcPr>
            <w:tcW w:w="8720" w:type="dxa"/>
            <w:vAlign w:val="bottom"/>
          </w:tcPr>
          <w:p>
            <w:pPr>
              <w:ind w:left="20"/>
              <w:spacing w:after="0"/>
              <w:rPr>
                <w:sz w:val="20"/>
                <w:szCs w:val="20"/>
                <w:color w:val="auto"/>
              </w:rPr>
            </w:pPr>
            <w:r>
              <w:rPr>
                <w:rFonts w:ascii="Calibri" w:cs="Calibri" w:eastAsia="Calibri" w:hAnsi="Calibri"/>
                <w:sz w:val="40"/>
                <w:szCs w:val="40"/>
                <w:b w:val="1"/>
                <w:bCs w:val="1"/>
                <w:color w:val="DE3831"/>
              </w:rPr>
              <w:t>Proxy Statement</w:t>
            </w:r>
          </w:p>
        </w:tc>
        <w:tc>
          <w:tcPr>
            <w:tcW w:w="2500" w:type="dxa"/>
            <w:vAlign w:val="bottom"/>
            <w:vMerge w:val="restart"/>
          </w:tcPr>
          <w:p>
            <w:pPr>
              <w:ind w:left="1600"/>
              <w:spacing w:after="0"/>
              <w:rPr>
                <w:sz w:val="20"/>
                <w:szCs w:val="20"/>
                <w:color w:val="auto"/>
              </w:rPr>
            </w:pPr>
            <w:r>
              <w:rPr>
                <w:rFonts w:ascii="Calibri" w:cs="Calibri" w:eastAsia="Calibri" w:hAnsi="Calibri"/>
                <w:sz w:val="18"/>
                <w:szCs w:val="18"/>
                <w:color w:val="auto"/>
                <w:w w:val="94"/>
              </w:rPr>
              <w:t>April 1, 2024</w:t>
            </w:r>
          </w:p>
        </w:tc>
        <w:tc>
          <w:tcPr>
            <w:tcW w:w="0" w:type="dxa"/>
            <w:vAlign w:val="bottom"/>
          </w:tcPr>
          <w:p>
            <w:pPr>
              <w:spacing w:after="0"/>
              <w:rPr>
                <w:sz w:val="1"/>
                <w:szCs w:val="1"/>
                <w:color w:val="auto"/>
              </w:rPr>
            </w:pPr>
          </w:p>
        </w:tc>
      </w:tr>
      <w:tr>
        <w:trPr>
          <w:trHeight w:val="44"/>
        </w:trPr>
        <w:tc>
          <w:tcPr>
            <w:tcW w:w="8720" w:type="dxa"/>
            <w:vAlign w:val="bottom"/>
          </w:tcPr>
          <w:p>
            <w:pPr>
              <w:spacing w:after="0"/>
              <w:rPr>
                <w:sz w:val="3"/>
                <w:szCs w:val="3"/>
                <w:color w:val="auto"/>
              </w:rPr>
            </w:pPr>
          </w:p>
        </w:tc>
        <w:tc>
          <w:tcPr>
            <w:tcW w:w="25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82"/>
        </w:trPr>
        <w:tc>
          <w:tcPr>
            <w:tcW w:w="8720" w:type="dxa"/>
            <w:vAlign w:val="bottom"/>
          </w:tcPr>
          <w:p>
            <w:pPr>
              <w:spacing w:after="0"/>
              <w:rPr>
                <w:sz w:val="20"/>
                <w:szCs w:val="20"/>
                <w:color w:val="auto"/>
              </w:rPr>
            </w:pPr>
            <w:r>
              <w:rPr>
                <w:rFonts w:ascii="Calibri" w:cs="Calibri" w:eastAsia="Calibri" w:hAnsi="Calibri"/>
                <w:sz w:val="20"/>
                <w:szCs w:val="20"/>
                <w:b w:val="1"/>
                <w:bCs w:val="1"/>
                <w:color w:val="auto"/>
              </w:rPr>
              <w:t>GENERAL INFORMATION ABOUT THE ANNUAL MEETING AND THE PROXY MATERIALS</w:t>
            </w: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Introducton</w:t>
      </w:r>
    </w:p>
    <w:p>
      <w:pPr>
        <w:spacing w:after="0" w:line="177"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The Annual Meetng of Shareholders of OGE Energy Corp. (the "Company") will be held on May 16, 2024, at 10:00 a.m. CDT. The meetng will be a virtual meetng conducted exclusively via live webcast at www.virtualshareholdermeetng.com/OGE2024. At the meetng, we intend to present the frst four items in the accompanying notce of annual meetng for acton by the owners of the Company's common stock, par value $0.01 per share ("Common Stock"). The Board of Directors does not now know of any other maters to be presented at the meetng, but, if any other maters are properly presented to the meetng for acton, the persons named in the accompanying proxy will vote upon them in accordance with their best judgment.</w:t>
      </w:r>
    </w:p>
    <w:p>
      <w:pPr>
        <w:spacing w:after="0" w:line="220"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Your Board of Directors is providing you these proxy materials in connecton with the solicitaton of your proxy for use at the Annual Meetng of Shareholders. When you vote by Internet, telephone or mail (all as more partcularly described below), you appoint Sean Trauschke and Judy R. McReynolds as your representatves at the Annual Meetng of Shareholders. Mr. Trauschke and Ms. McReynolds will vote your shares, as you have instructed them, at the Annual Meetng of Shareholders. This way, your shares will be voted whether or not you atend and partcipate in the virtual Annual Meetng of Shareholders online. Even if you plan to atend and partcipate in the virtual Annual Meetng of Shareholders online, it is a good idea to vote your shares in advance of the meetng, just in case your plans change. If an issue comes up for vote at the meetng that is not on the proxy card, Mr. Trauschke and Ms. McReynolds will vote your shares, under your proxy, in accordance with their best judgment.</w:t>
      </w:r>
    </w:p>
    <w:p>
      <w:pPr>
        <w:spacing w:after="0" w:line="23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Votng Procedures</w:t>
      </w:r>
    </w:p>
    <w:p>
      <w:pPr>
        <w:spacing w:after="0" w:line="217"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You may vote by mail, by telephone, by Internet, or online during the meetng. Please refer to the summary instructons below and those included on your Notce of Internet Availability of Proxy Materials or your proxy card or, for shares held in street name, the votng instructon card you received from your broker or nominee. To vote by mail, simply complete and sign the proxy card and mail it in the prepaid and pre-addressed envelope. If you received a Notce of Internet Availability of Proxy Materials, you may request a proxy card by following the instructons in your Notce. If you mark your votng instructons on the proxy card, your shares will be voted as you instruct. If you return a signed card but do not provide votng instructons, your shares will be voted for each proposal in accordance with the recommendatons of the Board for such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400" w:type="dxa"/>
            <w:vAlign w:val="bottom"/>
          </w:tcPr>
          <w:p>
            <w:pPr>
              <w:spacing w:after="0"/>
              <w:rPr>
                <w:sz w:val="19"/>
                <w:szCs w:val="19"/>
                <w:color w:val="auto"/>
              </w:rPr>
            </w:pPr>
          </w:p>
        </w:tc>
        <w:tc>
          <w:tcPr>
            <w:tcW w:w="2120" w:type="dxa"/>
            <w:vAlign w:val="bottom"/>
          </w:tcPr>
          <w:p>
            <w:pPr>
              <w:ind w:left="660"/>
              <w:spacing w:after="0"/>
              <w:rPr>
                <w:sz w:val="20"/>
                <w:szCs w:val="20"/>
                <w:color w:val="auto"/>
              </w:rPr>
            </w:pPr>
            <w:r>
              <w:rPr>
                <w:rFonts w:ascii="Calibri" w:cs="Calibri" w:eastAsia="Calibri" w:hAnsi="Calibri"/>
                <w:sz w:val="18"/>
                <w:szCs w:val="18"/>
                <w:color w:val="auto"/>
              </w:rPr>
              <w:t>Final Date to</w:t>
            </w:r>
          </w:p>
        </w:tc>
        <w:tc>
          <w:tcPr>
            <w:tcW w:w="28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00" w:type="dxa"/>
            <w:vAlign w:val="bottom"/>
          </w:tcPr>
          <w:p>
            <w:pPr>
              <w:jc w:val="center"/>
              <w:ind w:left="10"/>
              <w:spacing w:after="0" w:line="216" w:lineRule="exact"/>
              <w:rPr>
                <w:sz w:val="20"/>
                <w:szCs w:val="20"/>
                <w:color w:val="auto"/>
              </w:rPr>
            </w:pPr>
            <w:r>
              <w:rPr>
                <w:rFonts w:ascii="Calibri" w:cs="Calibri" w:eastAsia="Calibri" w:hAnsi="Calibri"/>
                <w:sz w:val="18"/>
                <w:szCs w:val="18"/>
                <w:color w:val="auto"/>
                <w:w w:val="96"/>
              </w:rPr>
              <w:t>Type of Shares Voted</w:t>
            </w:r>
          </w:p>
        </w:tc>
        <w:tc>
          <w:tcPr>
            <w:tcW w:w="2120" w:type="dxa"/>
            <w:vAlign w:val="bottom"/>
          </w:tcPr>
          <w:p>
            <w:pPr>
              <w:ind w:left="260"/>
              <w:spacing w:after="0" w:line="216" w:lineRule="exact"/>
              <w:rPr>
                <w:sz w:val="20"/>
                <w:szCs w:val="20"/>
                <w:color w:val="auto"/>
              </w:rPr>
            </w:pPr>
            <w:r>
              <w:rPr>
                <w:rFonts w:ascii="Calibri" w:cs="Calibri" w:eastAsia="Calibri" w:hAnsi="Calibri"/>
                <w:sz w:val="18"/>
                <w:szCs w:val="18"/>
                <w:color w:val="auto"/>
              </w:rPr>
              <w:t>Internet/Telephone Vote</w:t>
            </w:r>
          </w:p>
        </w:tc>
        <w:tc>
          <w:tcPr>
            <w:tcW w:w="2860" w:type="dxa"/>
            <w:vAlign w:val="bottom"/>
          </w:tcPr>
          <w:p>
            <w:pPr>
              <w:jc w:val="center"/>
              <w:spacing w:after="0" w:line="216" w:lineRule="exact"/>
              <w:rPr>
                <w:sz w:val="20"/>
                <w:szCs w:val="20"/>
                <w:color w:val="auto"/>
              </w:rPr>
            </w:pPr>
            <w:r>
              <w:rPr>
                <w:rFonts w:ascii="Calibri" w:cs="Calibri" w:eastAsia="Calibri" w:hAnsi="Calibri"/>
                <w:sz w:val="18"/>
                <w:szCs w:val="18"/>
                <w:color w:val="auto"/>
                <w:w w:val="96"/>
              </w:rPr>
              <w:t>To Vote Your Shares</w:t>
            </w:r>
          </w:p>
        </w:tc>
        <w:tc>
          <w:tcPr>
            <w:tcW w:w="3860" w:type="dxa"/>
            <w:vAlign w:val="bottom"/>
          </w:tcPr>
          <w:p>
            <w:pPr>
              <w:jc w:val="center"/>
              <w:spacing w:after="0" w:line="216" w:lineRule="exact"/>
              <w:rPr>
                <w:sz w:val="20"/>
                <w:szCs w:val="20"/>
                <w:color w:val="auto"/>
              </w:rPr>
            </w:pPr>
            <w:r>
              <w:rPr>
                <w:rFonts w:ascii="Calibri" w:cs="Calibri" w:eastAsia="Calibri" w:hAnsi="Calibri"/>
                <w:sz w:val="18"/>
                <w:szCs w:val="18"/>
                <w:color w:val="auto"/>
                <w:w w:val="96"/>
              </w:rPr>
              <w:t>If No Vote is Received</w:t>
            </w:r>
          </w:p>
        </w:tc>
        <w:tc>
          <w:tcPr>
            <w:tcW w:w="0" w:type="dxa"/>
            <w:vAlign w:val="bottom"/>
          </w:tcPr>
          <w:p>
            <w:pPr>
              <w:spacing w:after="0"/>
              <w:rPr>
                <w:sz w:val="1"/>
                <w:szCs w:val="1"/>
                <w:color w:val="auto"/>
              </w:rPr>
            </w:pPr>
          </w:p>
        </w:tc>
      </w:tr>
      <w:tr>
        <w:trPr>
          <w:trHeight w:val="50"/>
        </w:trPr>
        <w:tc>
          <w:tcPr>
            <w:tcW w:w="240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2860" w:type="dxa"/>
            <w:vAlign w:val="bottom"/>
            <w:tcBorders>
              <w:bottom w:val="single" w:sz="8" w:color="auto"/>
            </w:tcBorders>
          </w:tcPr>
          <w:p>
            <w:pPr>
              <w:spacing w:after="0"/>
              <w:rPr>
                <w:sz w:val="4"/>
                <w:szCs w:val="4"/>
                <w:color w:val="auto"/>
              </w:rPr>
            </w:pPr>
          </w:p>
        </w:tc>
        <w:tc>
          <w:tcPr>
            <w:tcW w:w="3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2400" w:type="dxa"/>
            <w:vAlign w:val="bottom"/>
            <w:vMerge w:val="restart"/>
            <w:shd w:val="clear" w:color="auto" w:fill="E5E5E5"/>
          </w:tcPr>
          <w:p>
            <w:pPr>
              <w:jc w:val="center"/>
              <w:ind w:left="10"/>
              <w:spacing w:after="0"/>
              <w:rPr>
                <w:sz w:val="20"/>
                <w:szCs w:val="20"/>
                <w:color w:val="auto"/>
              </w:rPr>
            </w:pPr>
            <w:r>
              <w:rPr>
                <w:rFonts w:ascii="Calibri" w:cs="Calibri" w:eastAsia="Calibri" w:hAnsi="Calibri"/>
                <w:sz w:val="18"/>
                <w:szCs w:val="18"/>
                <w:color w:val="auto"/>
                <w:w w:val="97"/>
              </w:rPr>
              <w:t>Record Shareholder</w:t>
            </w:r>
          </w:p>
        </w:tc>
        <w:tc>
          <w:tcPr>
            <w:tcW w:w="2120" w:type="dxa"/>
            <w:vAlign w:val="bottom"/>
            <w:vMerge w:val="restart"/>
            <w:shd w:val="clear" w:color="auto" w:fill="E5E5E5"/>
          </w:tcPr>
          <w:p>
            <w:pPr>
              <w:ind w:left="660"/>
              <w:spacing w:after="0"/>
              <w:rPr>
                <w:sz w:val="20"/>
                <w:szCs w:val="20"/>
                <w:color w:val="auto"/>
              </w:rPr>
            </w:pPr>
            <w:r>
              <w:rPr>
                <w:rFonts w:ascii="Calibri" w:cs="Calibri" w:eastAsia="Calibri" w:hAnsi="Calibri"/>
                <w:sz w:val="18"/>
                <w:szCs w:val="18"/>
                <w:color w:val="auto"/>
              </w:rPr>
              <w:t>May 15, 2024</w:t>
            </w:r>
          </w:p>
        </w:tc>
        <w:tc>
          <w:tcPr>
            <w:tcW w:w="2860" w:type="dxa"/>
            <w:vAlign w:val="bottom"/>
            <w:vMerge w:val="restart"/>
            <w:shd w:val="clear" w:color="auto" w:fill="E5E5E5"/>
          </w:tcPr>
          <w:p>
            <w:pPr>
              <w:jc w:val="center"/>
              <w:spacing w:after="0"/>
              <w:rPr>
                <w:sz w:val="20"/>
                <w:szCs w:val="20"/>
                <w:color w:val="auto"/>
              </w:rPr>
            </w:pPr>
            <w:r>
              <w:rPr>
                <w:rFonts w:ascii="Calibri" w:cs="Calibri" w:eastAsia="Calibri" w:hAnsi="Calibri"/>
                <w:sz w:val="18"/>
                <w:szCs w:val="18"/>
                <w:color w:val="auto"/>
                <w:w w:val="98"/>
              </w:rPr>
              <w:t>Follow Proxy Card Instructons</w:t>
            </w:r>
          </w:p>
        </w:tc>
        <w:tc>
          <w:tcPr>
            <w:tcW w:w="3860" w:type="dxa"/>
            <w:vAlign w:val="bottom"/>
            <w:shd w:val="clear" w:color="auto" w:fill="E5E5E5"/>
          </w:tcPr>
          <w:p>
            <w:pPr>
              <w:jc w:val="center"/>
              <w:spacing w:after="0" w:line="201" w:lineRule="exact"/>
              <w:rPr>
                <w:sz w:val="20"/>
                <w:szCs w:val="20"/>
                <w:color w:val="auto"/>
              </w:rPr>
            </w:pPr>
            <w:r>
              <w:rPr>
                <w:rFonts w:ascii="Calibri" w:cs="Calibri" w:eastAsia="Calibri" w:hAnsi="Calibri"/>
                <w:sz w:val="18"/>
                <w:szCs w:val="18"/>
                <w:color w:val="auto"/>
                <w:w w:val="99"/>
              </w:rPr>
              <w:t>If signed card received, but no votng instructons</w:t>
            </w:r>
          </w:p>
        </w:tc>
        <w:tc>
          <w:tcPr>
            <w:tcW w:w="0" w:type="dxa"/>
            <w:vAlign w:val="bottom"/>
          </w:tcPr>
          <w:p>
            <w:pPr>
              <w:spacing w:after="0"/>
              <w:rPr>
                <w:sz w:val="1"/>
                <w:szCs w:val="1"/>
                <w:color w:val="auto"/>
              </w:rPr>
            </w:pPr>
          </w:p>
        </w:tc>
      </w:tr>
      <w:tr>
        <w:trPr>
          <w:trHeight w:val="107"/>
        </w:trPr>
        <w:tc>
          <w:tcPr>
            <w:tcW w:w="2400" w:type="dxa"/>
            <w:vAlign w:val="bottom"/>
            <w:vMerge w:val="continue"/>
            <w:shd w:val="clear" w:color="auto" w:fill="E5E5E5"/>
          </w:tcPr>
          <w:p>
            <w:pPr>
              <w:spacing w:after="0"/>
              <w:rPr>
                <w:sz w:val="9"/>
                <w:szCs w:val="9"/>
                <w:color w:val="auto"/>
              </w:rPr>
            </w:pPr>
          </w:p>
        </w:tc>
        <w:tc>
          <w:tcPr>
            <w:tcW w:w="2120" w:type="dxa"/>
            <w:vAlign w:val="bottom"/>
            <w:vMerge w:val="continue"/>
            <w:shd w:val="clear" w:color="auto" w:fill="E5E5E5"/>
          </w:tcPr>
          <w:p>
            <w:pPr>
              <w:spacing w:after="0"/>
              <w:rPr>
                <w:sz w:val="9"/>
                <w:szCs w:val="9"/>
                <w:color w:val="auto"/>
              </w:rPr>
            </w:pPr>
          </w:p>
        </w:tc>
        <w:tc>
          <w:tcPr>
            <w:tcW w:w="2860" w:type="dxa"/>
            <w:vAlign w:val="bottom"/>
            <w:vMerge w:val="continue"/>
            <w:shd w:val="clear" w:color="auto" w:fill="E5E5E5"/>
          </w:tcPr>
          <w:p>
            <w:pPr>
              <w:spacing w:after="0"/>
              <w:rPr>
                <w:sz w:val="9"/>
                <w:szCs w:val="9"/>
                <w:color w:val="auto"/>
              </w:rPr>
            </w:pPr>
          </w:p>
        </w:tc>
        <w:tc>
          <w:tcPr>
            <w:tcW w:w="3860" w:type="dxa"/>
            <w:vAlign w:val="bottom"/>
            <w:vMerge w:val="restart"/>
            <w:shd w:val="clear" w:color="auto" w:fill="E5E5E5"/>
          </w:tcPr>
          <w:p>
            <w:pPr>
              <w:jc w:val="center"/>
              <w:spacing w:after="0" w:line="215" w:lineRule="exact"/>
              <w:rPr>
                <w:sz w:val="20"/>
                <w:szCs w:val="20"/>
                <w:color w:val="auto"/>
              </w:rPr>
            </w:pPr>
            <w:r>
              <w:rPr>
                <w:rFonts w:ascii="Calibri" w:cs="Calibri" w:eastAsia="Calibri" w:hAnsi="Calibri"/>
                <w:sz w:val="18"/>
                <w:szCs w:val="18"/>
                <w:color w:val="auto"/>
                <w:w w:val="98"/>
              </w:rPr>
              <w:t>indicated, voted along Board recommendatons</w:t>
            </w:r>
          </w:p>
        </w:tc>
        <w:tc>
          <w:tcPr>
            <w:tcW w:w="0" w:type="dxa"/>
            <w:vAlign w:val="bottom"/>
          </w:tcPr>
          <w:p>
            <w:pPr>
              <w:spacing w:after="0"/>
              <w:rPr>
                <w:sz w:val="1"/>
                <w:szCs w:val="1"/>
                <w:color w:val="auto"/>
              </w:rPr>
            </w:pPr>
          </w:p>
        </w:tc>
      </w:tr>
      <w:tr>
        <w:trPr>
          <w:trHeight w:val="125"/>
        </w:trPr>
        <w:tc>
          <w:tcPr>
            <w:tcW w:w="2400" w:type="dxa"/>
            <w:vAlign w:val="bottom"/>
            <w:tcBorders>
              <w:bottom w:val="single" w:sz="8" w:color="E5E5E5"/>
            </w:tcBorders>
            <w:shd w:val="clear" w:color="auto" w:fill="E5E5E5"/>
          </w:tcPr>
          <w:p>
            <w:pPr>
              <w:spacing w:after="0"/>
              <w:rPr>
                <w:sz w:val="10"/>
                <w:szCs w:val="10"/>
                <w:color w:val="auto"/>
              </w:rPr>
            </w:pPr>
          </w:p>
        </w:tc>
        <w:tc>
          <w:tcPr>
            <w:tcW w:w="2120" w:type="dxa"/>
            <w:vAlign w:val="bottom"/>
            <w:tcBorders>
              <w:bottom w:val="single" w:sz="8" w:color="E5E5E5"/>
            </w:tcBorders>
            <w:shd w:val="clear" w:color="auto" w:fill="E5E5E5"/>
          </w:tcPr>
          <w:p>
            <w:pPr>
              <w:spacing w:after="0"/>
              <w:rPr>
                <w:sz w:val="10"/>
                <w:szCs w:val="10"/>
                <w:color w:val="auto"/>
              </w:rPr>
            </w:pPr>
          </w:p>
        </w:tc>
        <w:tc>
          <w:tcPr>
            <w:tcW w:w="2860" w:type="dxa"/>
            <w:vAlign w:val="bottom"/>
            <w:tcBorders>
              <w:bottom w:val="single" w:sz="8" w:color="E5E5E5"/>
            </w:tcBorders>
            <w:shd w:val="clear" w:color="auto" w:fill="E5E5E5"/>
          </w:tcPr>
          <w:p>
            <w:pPr>
              <w:spacing w:after="0"/>
              <w:rPr>
                <w:sz w:val="10"/>
                <w:szCs w:val="10"/>
                <w:color w:val="auto"/>
              </w:rPr>
            </w:pPr>
          </w:p>
        </w:tc>
        <w:tc>
          <w:tcPr>
            <w:tcW w:w="3860" w:type="dxa"/>
            <w:vAlign w:val="bottom"/>
            <w:tcBorders>
              <w:bottom w:val="single" w:sz="8" w:color="E5E5E5"/>
            </w:tcBorders>
            <w:vMerge w:val="continue"/>
            <w:shd w:val="clear" w:color="auto" w:fill="E5E5E5"/>
          </w:tcPr>
          <w:p>
            <w:pPr>
              <w:spacing w:after="0"/>
              <w:rPr>
                <w:sz w:val="10"/>
                <w:szCs w:val="10"/>
                <w:color w:val="auto"/>
              </w:rPr>
            </w:pPr>
          </w:p>
        </w:tc>
        <w:tc>
          <w:tcPr>
            <w:tcW w:w="0" w:type="dxa"/>
            <w:vAlign w:val="bottom"/>
          </w:tcPr>
          <w:p>
            <w:pPr>
              <w:spacing w:after="0"/>
              <w:rPr>
                <w:sz w:val="1"/>
                <w:szCs w:val="1"/>
                <w:color w:val="auto"/>
              </w:rPr>
            </w:pPr>
          </w:p>
        </w:tc>
      </w:tr>
      <w:tr>
        <w:trPr>
          <w:trHeight w:val="301"/>
        </w:trPr>
        <w:tc>
          <w:tcPr>
            <w:tcW w:w="2400" w:type="dxa"/>
            <w:vAlign w:val="bottom"/>
          </w:tcPr>
          <w:p>
            <w:pPr>
              <w:jc w:val="center"/>
              <w:ind w:left="10"/>
              <w:spacing w:after="0"/>
              <w:rPr>
                <w:sz w:val="20"/>
                <w:szCs w:val="20"/>
                <w:color w:val="auto"/>
              </w:rPr>
            </w:pPr>
            <w:r>
              <w:rPr>
                <w:rFonts w:ascii="Calibri" w:cs="Calibri" w:eastAsia="Calibri" w:hAnsi="Calibri"/>
                <w:sz w:val="18"/>
                <w:szCs w:val="18"/>
                <w:color w:val="auto"/>
                <w:w w:val="97"/>
              </w:rPr>
              <w:t>DRIP/DSPP</w:t>
            </w:r>
          </w:p>
        </w:tc>
        <w:tc>
          <w:tcPr>
            <w:tcW w:w="2120" w:type="dxa"/>
            <w:vAlign w:val="bottom"/>
          </w:tcPr>
          <w:p>
            <w:pPr>
              <w:ind w:left="660"/>
              <w:spacing w:after="0"/>
              <w:rPr>
                <w:sz w:val="20"/>
                <w:szCs w:val="20"/>
                <w:color w:val="auto"/>
              </w:rPr>
            </w:pPr>
            <w:r>
              <w:rPr>
                <w:rFonts w:ascii="Calibri" w:cs="Calibri" w:eastAsia="Calibri" w:hAnsi="Calibri"/>
                <w:sz w:val="18"/>
                <w:szCs w:val="18"/>
                <w:color w:val="auto"/>
              </w:rPr>
              <w:t>May 13, 2024</w:t>
            </w:r>
          </w:p>
        </w:tc>
        <w:tc>
          <w:tcPr>
            <w:tcW w:w="2860" w:type="dxa"/>
            <w:vAlign w:val="bottom"/>
          </w:tcPr>
          <w:p>
            <w:pPr>
              <w:jc w:val="center"/>
              <w:spacing w:after="0"/>
              <w:rPr>
                <w:sz w:val="20"/>
                <w:szCs w:val="20"/>
                <w:color w:val="auto"/>
              </w:rPr>
            </w:pPr>
            <w:r>
              <w:rPr>
                <w:rFonts w:ascii="Calibri" w:cs="Calibri" w:eastAsia="Calibri" w:hAnsi="Calibri"/>
                <w:sz w:val="18"/>
                <w:szCs w:val="18"/>
                <w:color w:val="auto"/>
                <w:w w:val="98"/>
              </w:rPr>
              <w:t>Follow Proxy Card Instructons</w:t>
            </w:r>
          </w:p>
        </w:tc>
        <w:tc>
          <w:tcPr>
            <w:tcW w:w="3860" w:type="dxa"/>
            <w:vAlign w:val="bottom"/>
          </w:tcPr>
          <w:p>
            <w:pPr>
              <w:jc w:val="center"/>
              <w:spacing w:after="0"/>
              <w:rPr>
                <w:sz w:val="20"/>
                <w:szCs w:val="20"/>
                <w:color w:val="auto"/>
              </w:rPr>
            </w:pPr>
            <w:r>
              <w:rPr>
                <w:rFonts w:ascii="Calibri" w:cs="Calibri" w:eastAsia="Calibri" w:hAnsi="Calibri"/>
                <w:sz w:val="18"/>
                <w:szCs w:val="18"/>
                <w:color w:val="auto"/>
                <w:w w:val="95"/>
              </w:rPr>
              <w:t>Not Voted</w:t>
            </w:r>
          </w:p>
        </w:tc>
        <w:tc>
          <w:tcPr>
            <w:tcW w:w="0" w:type="dxa"/>
            <w:vAlign w:val="bottom"/>
          </w:tcPr>
          <w:p>
            <w:pPr>
              <w:spacing w:after="0"/>
              <w:rPr>
                <w:sz w:val="1"/>
                <w:szCs w:val="1"/>
                <w:color w:val="auto"/>
              </w:rPr>
            </w:pPr>
          </w:p>
        </w:tc>
      </w:tr>
      <w:tr>
        <w:trPr>
          <w:trHeight w:val="145"/>
        </w:trPr>
        <w:tc>
          <w:tcPr>
            <w:tcW w:w="24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400" w:type="dxa"/>
            <w:vAlign w:val="bottom"/>
            <w:vMerge w:val="restart"/>
            <w:shd w:val="clear" w:color="auto" w:fill="E5E5E5"/>
          </w:tcPr>
          <w:p>
            <w:pPr>
              <w:jc w:val="center"/>
              <w:ind w:left="10"/>
              <w:spacing w:after="0"/>
              <w:rPr>
                <w:sz w:val="20"/>
                <w:szCs w:val="20"/>
                <w:color w:val="auto"/>
              </w:rPr>
            </w:pPr>
            <w:r>
              <w:rPr>
                <w:rFonts w:ascii="Calibri" w:cs="Calibri" w:eastAsia="Calibri" w:hAnsi="Calibri"/>
                <w:sz w:val="18"/>
                <w:szCs w:val="18"/>
                <w:color w:val="auto"/>
                <w:w w:val="98"/>
              </w:rPr>
              <w:t>401(k)</w:t>
            </w:r>
          </w:p>
        </w:tc>
        <w:tc>
          <w:tcPr>
            <w:tcW w:w="2120" w:type="dxa"/>
            <w:vAlign w:val="bottom"/>
            <w:vMerge w:val="restart"/>
            <w:shd w:val="clear" w:color="auto" w:fill="E5E5E5"/>
          </w:tcPr>
          <w:p>
            <w:pPr>
              <w:ind w:left="660"/>
              <w:spacing w:after="0"/>
              <w:rPr>
                <w:sz w:val="20"/>
                <w:szCs w:val="20"/>
                <w:color w:val="auto"/>
              </w:rPr>
            </w:pPr>
            <w:r>
              <w:rPr>
                <w:rFonts w:ascii="Calibri" w:cs="Calibri" w:eastAsia="Calibri" w:hAnsi="Calibri"/>
                <w:sz w:val="18"/>
                <w:szCs w:val="18"/>
                <w:color w:val="auto"/>
              </w:rPr>
              <w:t>May 13, 2024</w:t>
            </w:r>
          </w:p>
        </w:tc>
        <w:tc>
          <w:tcPr>
            <w:tcW w:w="2860" w:type="dxa"/>
            <w:vAlign w:val="bottom"/>
            <w:vMerge w:val="restart"/>
            <w:shd w:val="clear" w:color="auto" w:fill="E5E5E5"/>
          </w:tcPr>
          <w:p>
            <w:pPr>
              <w:jc w:val="center"/>
              <w:spacing w:after="0"/>
              <w:rPr>
                <w:sz w:val="20"/>
                <w:szCs w:val="20"/>
                <w:color w:val="auto"/>
              </w:rPr>
            </w:pPr>
            <w:r>
              <w:rPr>
                <w:rFonts w:ascii="Calibri" w:cs="Calibri" w:eastAsia="Calibri" w:hAnsi="Calibri"/>
                <w:sz w:val="18"/>
                <w:szCs w:val="18"/>
                <w:color w:val="auto"/>
              </w:rPr>
              <w:t>Give Trustee Votng Directve</w:t>
            </w:r>
          </w:p>
        </w:tc>
        <w:tc>
          <w:tcPr>
            <w:tcW w:w="3860" w:type="dxa"/>
            <w:vAlign w:val="bottom"/>
            <w:shd w:val="clear" w:color="auto" w:fill="E5E5E5"/>
          </w:tcPr>
          <w:p>
            <w:pPr>
              <w:jc w:val="center"/>
              <w:spacing w:after="0" w:line="207" w:lineRule="exact"/>
              <w:rPr>
                <w:sz w:val="20"/>
                <w:szCs w:val="20"/>
                <w:color w:val="auto"/>
              </w:rPr>
            </w:pPr>
            <w:r>
              <w:rPr>
                <w:rFonts w:ascii="Calibri" w:cs="Calibri" w:eastAsia="Calibri" w:hAnsi="Calibri"/>
                <w:sz w:val="18"/>
                <w:szCs w:val="18"/>
                <w:color w:val="auto"/>
                <w:w w:val="97"/>
              </w:rPr>
              <w:t>Trustee will vote for you in the same proporton that</w:t>
            </w:r>
          </w:p>
        </w:tc>
        <w:tc>
          <w:tcPr>
            <w:tcW w:w="0" w:type="dxa"/>
            <w:vAlign w:val="bottom"/>
          </w:tcPr>
          <w:p>
            <w:pPr>
              <w:spacing w:after="0"/>
              <w:rPr>
                <w:sz w:val="1"/>
                <w:szCs w:val="1"/>
                <w:color w:val="auto"/>
              </w:rPr>
            </w:pPr>
          </w:p>
        </w:tc>
      </w:tr>
      <w:tr>
        <w:trPr>
          <w:trHeight w:val="107"/>
        </w:trPr>
        <w:tc>
          <w:tcPr>
            <w:tcW w:w="2400" w:type="dxa"/>
            <w:vAlign w:val="bottom"/>
            <w:vMerge w:val="continue"/>
            <w:shd w:val="clear" w:color="auto" w:fill="E5E5E5"/>
          </w:tcPr>
          <w:p>
            <w:pPr>
              <w:spacing w:after="0"/>
              <w:rPr>
                <w:sz w:val="9"/>
                <w:szCs w:val="9"/>
                <w:color w:val="auto"/>
              </w:rPr>
            </w:pPr>
          </w:p>
        </w:tc>
        <w:tc>
          <w:tcPr>
            <w:tcW w:w="2120" w:type="dxa"/>
            <w:vAlign w:val="bottom"/>
            <w:vMerge w:val="continue"/>
            <w:shd w:val="clear" w:color="auto" w:fill="E5E5E5"/>
          </w:tcPr>
          <w:p>
            <w:pPr>
              <w:spacing w:after="0"/>
              <w:rPr>
                <w:sz w:val="9"/>
                <w:szCs w:val="9"/>
                <w:color w:val="auto"/>
              </w:rPr>
            </w:pPr>
          </w:p>
        </w:tc>
        <w:tc>
          <w:tcPr>
            <w:tcW w:w="2860" w:type="dxa"/>
            <w:vAlign w:val="bottom"/>
            <w:vMerge w:val="continue"/>
            <w:shd w:val="clear" w:color="auto" w:fill="E5E5E5"/>
          </w:tcPr>
          <w:p>
            <w:pPr>
              <w:spacing w:after="0"/>
              <w:rPr>
                <w:sz w:val="9"/>
                <w:szCs w:val="9"/>
                <w:color w:val="auto"/>
              </w:rPr>
            </w:pPr>
          </w:p>
        </w:tc>
        <w:tc>
          <w:tcPr>
            <w:tcW w:w="3860" w:type="dxa"/>
            <w:vAlign w:val="bottom"/>
            <w:vMerge w:val="restart"/>
            <w:shd w:val="clear" w:color="auto" w:fill="E5E5E5"/>
          </w:tcPr>
          <w:p>
            <w:pPr>
              <w:jc w:val="center"/>
              <w:spacing w:after="0" w:line="215" w:lineRule="exact"/>
              <w:rPr>
                <w:sz w:val="20"/>
                <w:szCs w:val="20"/>
                <w:color w:val="auto"/>
              </w:rPr>
            </w:pPr>
            <w:r>
              <w:rPr>
                <w:rFonts w:ascii="Calibri" w:cs="Calibri" w:eastAsia="Calibri" w:hAnsi="Calibri"/>
                <w:sz w:val="18"/>
                <w:szCs w:val="18"/>
                <w:color w:val="auto"/>
                <w:w w:val="96"/>
              </w:rPr>
              <w:t>all plan shares are voted</w:t>
            </w:r>
          </w:p>
        </w:tc>
        <w:tc>
          <w:tcPr>
            <w:tcW w:w="0" w:type="dxa"/>
            <w:vAlign w:val="bottom"/>
          </w:tcPr>
          <w:p>
            <w:pPr>
              <w:spacing w:after="0"/>
              <w:rPr>
                <w:sz w:val="1"/>
                <w:szCs w:val="1"/>
                <w:color w:val="auto"/>
              </w:rPr>
            </w:pPr>
          </w:p>
        </w:tc>
      </w:tr>
      <w:tr>
        <w:trPr>
          <w:trHeight w:val="125"/>
        </w:trPr>
        <w:tc>
          <w:tcPr>
            <w:tcW w:w="2400" w:type="dxa"/>
            <w:vAlign w:val="bottom"/>
            <w:tcBorders>
              <w:bottom w:val="single" w:sz="8" w:color="E5E5E5"/>
            </w:tcBorders>
            <w:shd w:val="clear" w:color="auto" w:fill="E5E5E5"/>
          </w:tcPr>
          <w:p>
            <w:pPr>
              <w:spacing w:after="0"/>
              <w:rPr>
                <w:sz w:val="10"/>
                <w:szCs w:val="10"/>
                <w:color w:val="auto"/>
              </w:rPr>
            </w:pPr>
          </w:p>
        </w:tc>
        <w:tc>
          <w:tcPr>
            <w:tcW w:w="2120" w:type="dxa"/>
            <w:vAlign w:val="bottom"/>
            <w:tcBorders>
              <w:bottom w:val="single" w:sz="8" w:color="E5E5E5"/>
            </w:tcBorders>
            <w:shd w:val="clear" w:color="auto" w:fill="E5E5E5"/>
          </w:tcPr>
          <w:p>
            <w:pPr>
              <w:spacing w:after="0"/>
              <w:rPr>
                <w:sz w:val="10"/>
                <w:szCs w:val="10"/>
                <w:color w:val="auto"/>
              </w:rPr>
            </w:pPr>
          </w:p>
        </w:tc>
        <w:tc>
          <w:tcPr>
            <w:tcW w:w="2860" w:type="dxa"/>
            <w:vAlign w:val="bottom"/>
            <w:tcBorders>
              <w:bottom w:val="single" w:sz="8" w:color="E5E5E5"/>
            </w:tcBorders>
            <w:shd w:val="clear" w:color="auto" w:fill="E5E5E5"/>
          </w:tcPr>
          <w:p>
            <w:pPr>
              <w:spacing w:after="0"/>
              <w:rPr>
                <w:sz w:val="10"/>
                <w:szCs w:val="10"/>
                <w:color w:val="auto"/>
              </w:rPr>
            </w:pPr>
          </w:p>
        </w:tc>
        <w:tc>
          <w:tcPr>
            <w:tcW w:w="3860" w:type="dxa"/>
            <w:vAlign w:val="bottom"/>
            <w:tcBorders>
              <w:bottom w:val="single" w:sz="8" w:color="E5E5E5"/>
            </w:tcBorders>
            <w:vMerge w:val="continue"/>
            <w:shd w:val="clear" w:color="auto" w:fill="E5E5E5"/>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2400" w:type="dxa"/>
            <w:vAlign w:val="bottom"/>
            <w:vMerge w:val="restart"/>
          </w:tcPr>
          <w:p>
            <w:pPr>
              <w:jc w:val="center"/>
              <w:ind w:left="10"/>
              <w:spacing w:after="0"/>
              <w:rPr>
                <w:sz w:val="20"/>
                <w:szCs w:val="20"/>
                <w:color w:val="auto"/>
              </w:rPr>
            </w:pPr>
            <w:r>
              <w:rPr>
                <w:rFonts w:ascii="Calibri" w:cs="Calibri" w:eastAsia="Calibri" w:hAnsi="Calibri"/>
                <w:sz w:val="18"/>
                <w:szCs w:val="18"/>
                <w:color w:val="auto"/>
                <w:w w:val="97"/>
              </w:rPr>
              <w:t>Stock Brokerage Account</w:t>
            </w:r>
          </w:p>
        </w:tc>
        <w:tc>
          <w:tcPr>
            <w:tcW w:w="2120" w:type="dxa"/>
            <w:vAlign w:val="bottom"/>
            <w:vMerge w:val="restart"/>
          </w:tcPr>
          <w:p>
            <w:pPr>
              <w:ind w:left="660"/>
              <w:spacing w:after="0"/>
              <w:rPr>
                <w:sz w:val="20"/>
                <w:szCs w:val="20"/>
                <w:color w:val="auto"/>
              </w:rPr>
            </w:pPr>
            <w:r>
              <w:rPr>
                <w:rFonts w:ascii="Calibri" w:cs="Calibri" w:eastAsia="Calibri" w:hAnsi="Calibri"/>
                <w:sz w:val="18"/>
                <w:szCs w:val="18"/>
                <w:color w:val="auto"/>
              </w:rPr>
              <w:t>May 15, 2024</w:t>
            </w:r>
          </w:p>
        </w:tc>
        <w:tc>
          <w:tcPr>
            <w:tcW w:w="2860" w:type="dxa"/>
            <w:vAlign w:val="bottom"/>
          </w:tcPr>
          <w:p>
            <w:pPr>
              <w:jc w:val="center"/>
              <w:spacing w:after="0" w:line="207" w:lineRule="exact"/>
              <w:rPr>
                <w:sz w:val="20"/>
                <w:szCs w:val="20"/>
                <w:color w:val="auto"/>
              </w:rPr>
            </w:pPr>
            <w:r>
              <w:rPr>
                <w:rFonts w:ascii="Calibri" w:cs="Calibri" w:eastAsia="Calibri" w:hAnsi="Calibri"/>
                <w:sz w:val="18"/>
                <w:szCs w:val="18"/>
                <w:color w:val="auto"/>
                <w:w w:val="95"/>
              </w:rPr>
              <w:t>Let Brokerage Firm know how to Vote</w:t>
            </w:r>
          </w:p>
        </w:tc>
        <w:tc>
          <w:tcPr>
            <w:tcW w:w="3860" w:type="dxa"/>
            <w:vAlign w:val="bottom"/>
            <w:vMerge w:val="restart"/>
          </w:tcPr>
          <w:p>
            <w:pPr>
              <w:jc w:val="center"/>
              <w:spacing w:after="0"/>
              <w:rPr>
                <w:sz w:val="20"/>
                <w:szCs w:val="20"/>
                <w:color w:val="auto"/>
              </w:rPr>
            </w:pPr>
            <w:r>
              <w:rPr>
                <w:rFonts w:ascii="Calibri" w:cs="Calibri" w:eastAsia="Calibri" w:hAnsi="Calibri"/>
                <w:sz w:val="18"/>
                <w:szCs w:val="18"/>
                <w:color w:val="auto"/>
                <w:w w:val="99"/>
              </w:rPr>
              <w:t>Brokerage Firm will Vote on Routne Maters</w:t>
            </w:r>
          </w:p>
        </w:tc>
        <w:tc>
          <w:tcPr>
            <w:tcW w:w="0" w:type="dxa"/>
            <w:vAlign w:val="bottom"/>
          </w:tcPr>
          <w:p>
            <w:pPr>
              <w:spacing w:after="0"/>
              <w:rPr>
                <w:sz w:val="1"/>
                <w:szCs w:val="1"/>
                <w:color w:val="auto"/>
              </w:rPr>
            </w:pPr>
          </w:p>
        </w:tc>
      </w:tr>
      <w:tr>
        <w:trPr>
          <w:trHeight w:val="107"/>
        </w:trPr>
        <w:tc>
          <w:tcPr>
            <w:tcW w:w="2400" w:type="dxa"/>
            <w:vAlign w:val="bottom"/>
            <w:vMerge w:val="continue"/>
          </w:tcPr>
          <w:p>
            <w:pPr>
              <w:spacing w:after="0"/>
              <w:rPr>
                <w:sz w:val="9"/>
                <w:szCs w:val="9"/>
                <w:color w:val="auto"/>
              </w:rPr>
            </w:pPr>
          </w:p>
        </w:tc>
        <w:tc>
          <w:tcPr>
            <w:tcW w:w="2120" w:type="dxa"/>
            <w:vAlign w:val="bottom"/>
            <w:vMerge w:val="continue"/>
          </w:tcPr>
          <w:p>
            <w:pPr>
              <w:spacing w:after="0"/>
              <w:rPr>
                <w:sz w:val="9"/>
                <w:szCs w:val="9"/>
                <w:color w:val="auto"/>
              </w:rPr>
            </w:pPr>
          </w:p>
        </w:tc>
        <w:tc>
          <w:tcPr>
            <w:tcW w:w="2860" w:type="dxa"/>
            <w:vAlign w:val="bottom"/>
            <w:vMerge w:val="restart"/>
          </w:tcPr>
          <w:p>
            <w:pPr>
              <w:jc w:val="center"/>
              <w:spacing w:after="0" w:line="215" w:lineRule="exact"/>
              <w:rPr>
                <w:sz w:val="20"/>
                <w:szCs w:val="20"/>
                <w:color w:val="auto"/>
              </w:rPr>
            </w:pPr>
            <w:r>
              <w:rPr>
                <w:rFonts w:ascii="Calibri" w:cs="Calibri" w:eastAsia="Calibri" w:hAnsi="Calibri"/>
                <w:sz w:val="18"/>
                <w:szCs w:val="18"/>
                <w:color w:val="auto"/>
                <w:w w:val="94"/>
              </w:rPr>
              <w:t>Shares</w:t>
            </w:r>
          </w:p>
        </w:tc>
        <w:tc>
          <w:tcPr>
            <w:tcW w:w="3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00" w:type="dxa"/>
            <w:vAlign w:val="bottom"/>
          </w:tcPr>
          <w:p>
            <w:pPr>
              <w:spacing w:after="0"/>
              <w:rPr>
                <w:sz w:val="9"/>
                <w:szCs w:val="9"/>
                <w:color w:val="auto"/>
              </w:rPr>
            </w:pPr>
          </w:p>
        </w:tc>
        <w:tc>
          <w:tcPr>
            <w:tcW w:w="2120" w:type="dxa"/>
            <w:vAlign w:val="bottom"/>
          </w:tcPr>
          <w:p>
            <w:pPr>
              <w:spacing w:after="0"/>
              <w:rPr>
                <w:sz w:val="9"/>
                <w:szCs w:val="9"/>
                <w:color w:val="auto"/>
              </w:rPr>
            </w:pPr>
          </w:p>
        </w:tc>
        <w:tc>
          <w:tcPr>
            <w:tcW w:w="2860" w:type="dxa"/>
            <w:vAlign w:val="bottom"/>
            <w:vMerge w:val="continue"/>
          </w:tcPr>
          <w:p>
            <w:pPr>
              <w:spacing w:after="0"/>
              <w:rPr>
                <w:sz w:val="9"/>
                <w:szCs w:val="9"/>
                <w:color w:val="auto"/>
              </w:rPr>
            </w:pPr>
          </w:p>
        </w:tc>
        <w:tc>
          <w:tcPr>
            <w:tcW w:w="3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240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c>
          <w:tcPr>
            <w:tcW w:w="3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Shareholders of record also may vote by the Internet or by using the toll-free number listed on your Notce of Internet Availability of Proxy Materials or the proxy card. The telephone votng and Internet votng procedures are designed to verify shareholders through use of an identfcaton number that will be provided to you. During the meetng, you may vote online by following the instructons at www.virtualshareholdermeetng.com/OGE2024. Have your Notce, proxy card or votng instructon form available when you access the virtual meetng web page.</w:t>
      </w:r>
    </w:p>
    <w:p>
      <w:pPr>
        <w:spacing w:after="0" w:line="390" w:lineRule="exact"/>
        <w:rPr>
          <w:sz w:val="20"/>
          <w:szCs w:val="20"/>
          <w:color w:val="auto"/>
        </w:rPr>
      </w:pPr>
    </w:p>
    <w:p>
      <w:pPr>
        <w:ind w:left="600" w:hanging="592"/>
        <w:spacing w:after="0"/>
        <w:tabs>
          <w:tab w:leader="none" w:pos="600" w:val="left"/>
        </w:tabs>
        <w:numPr>
          <w:ilvl w:val="0"/>
          <w:numId w:val="8"/>
        </w:numPr>
        <w:rPr>
          <w:rFonts w:ascii="Calibri" w:cs="Calibri" w:eastAsia="Calibri" w:hAnsi="Calibri"/>
          <w:sz w:val="18"/>
          <w:szCs w:val="18"/>
          <w:color w:val="auto"/>
        </w:rPr>
      </w:pPr>
      <w:r>
        <w:rPr>
          <w:rFonts w:ascii="Calibri" w:cs="Calibri" w:eastAsia="Calibri" w:hAnsi="Calibri"/>
          <w:sz w:val="18"/>
          <w:szCs w:val="18"/>
          <w:b w:val="1"/>
          <w:bCs w:val="1"/>
          <w:color w:val="EE2724"/>
        </w:rPr>
        <w:t xml:space="preserve">OGE Energy Corp. </w:t>
      </w:r>
      <w:r>
        <w:rPr>
          <w:rFonts w:ascii="Calibri" w:cs="Calibri" w:eastAsia="Calibri" w:hAnsi="Calibri"/>
          <w:sz w:val="18"/>
          <w:szCs w:val="18"/>
          <w:color w:val="00000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7" w:right="339" w:bottom="1440" w:gutter="0" w:footer="0" w:header="0"/>
        </w:sectPr>
      </w:pPr>
    </w:p>
    <w:bookmarkStart w:id="7" w:name="page8"/>
    <w:bookmarkEnd w:id="7"/>
    <w:p>
      <w:pPr>
        <w:jc w:val="both"/>
        <w:ind w:firstLine="374"/>
        <w:spacing w:after="0" w:line="235" w:lineRule="auto"/>
        <w:rPr>
          <w:sz w:val="20"/>
          <w:szCs w:val="20"/>
          <w:color w:val="auto"/>
        </w:rPr>
      </w:pPr>
      <w:r>
        <w:rPr>
          <w:rFonts w:ascii="Calibri" w:cs="Calibri" w:eastAsia="Calibri" w:hAnsi="Calibri"/>
          <w:sz w:val="18"/>
          <w:szCs w:val="18"/>
          <w:color w:val="auto"/>
        </w:rPr>
        <w:t>Only shareholders of record or their legal proxy holders as of the record date may atend the annual meetng. To atend and partcipate in the virtual meetng, you will need the 16-digit control number included on your Notce, proxy card or votng instructon form. No recording of the annual meetng will be permited.</w:t>
      </w:r>
    </w:p>
    <w:p>
      <w:pPr>
        <w:spacing w:after="0" w:line="219" w:lineRule="exact"/>
        <w:rPr>
          <w:sz w:val="20"/>
          <w:szCs w:val="20"/>
          <w:color w:val="auto"/>
        </w:rPr>
      </w:pPr>
    </w:p>
    <w:p>
      <w:pPr>
        <w:jc w:val="both"/>
        <w:ind w:right="20" w:firstLine="374"/>
        <w:spacing w:after="0" w:line="235" w:lineRule="auto"/>
        <w:rPr>
          <w:sz w:val="20"/>
          <w:szCs w:val="20"/>
          <w:color w:val="auto"/>
        </w:rPr>
      </w:pPr>
      <w:r>
        <w:rPr>
          <w:rFonts w:ascii="Calibri" w:cs="Calibri" w:eastAsia="Calibri" w:hAnsi="Calibri"/>
          <w:sz w:val="18"/>
          <w:szCs w:val="18"/>
          <w:color w:val="auto"/>
        </w:rPr>
        <w:t>If your shares are held in a stock brokerage account or by a bank or other nominee, you are considered the benefcial owner of shares held in street name and your broker or nominee is considered, with respect to those shares, the shareholder of record.</w:t>
      </w:r>
    </w:p>
    <w:p>
      <w:pPr>
        <w:spacing w:after="0" w:line="177"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Brokerage frms have authority under New York Stock Exchange ("NYSE") rules to vote customers' shares for which they have not received votng instructons on certain "routne" maters, but may not vote for non-routne maters unless they have received votng instructon. The only "routne" mater at this year's annual meetng is the ratfcaton of the Company's principal independent accountants. Brokers will not be able to vote their customers' shares for the electon of directors, for the advisory vote on executve compensaton or for the shareholder proposal regarding simple majority votng unless their customers return votng instructons. Therefore, if your shares are held in street name by your bank or broker, it is important for you to return your votng instructons in order that your shares are voted for these maters.</w:t>
      </w:r>
    </w:p>
    <w:p>
      <w:pPr>
        <w:spacing w:after="0" w:line="21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Revocaton of Proxy</w:t>
      </w:r>
    </w:p>
    <w:p>
      <w:pPr>
        <w:spacing w:after="0" w:line="217"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If you change your mind afer votng your proxy, you can revoke your proxy and change your vote at any tme before the polls close at the meetng. You can revoke your proxy by either signing and sending another proxy with a later date, by votng via Internet, by telephone or by votng online during the meetng. Alternatvely, you may provide a writen statement to the Company (atenton William H. Sultemeier, General Counsel, Corporate Secretary and Chief Compliance Ofcer) revoking your proxy.</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Partcipaton in the Virtual Annual Meetng</w:t>
      </w:r>
    </w:p>
    <w:p>
      <w:pPr>
        <w:spacing w:after="0" w:line="217" w:lineRule="exact"/>
        <w:rPr>
          <w:sz w:val="20"/>
          <w:szCs w:val="20"/>
          <w:color w:val="auto"/>
        </w:rPr>
      </w:pPr>
    </w:p>
    <w:p>
      <w:pPr>
        <w:jc w:val="both"/>
        <w:ind w:firstLine="374"/>
        <w:spacing w:after="0" w:line="258" w:lineRule="auto"/>
        <w:rPr>
          <w:sz w:val="20"/>
          <w:szCs w:val="20"/>
          <w:color w:val="auto"/>
        </w:rPr>
      </w:pPr>
      <w:r>
        <w:rPr>
          <w:rFonts w:ascii="Calibri" w:cs="Calibri" w:eastAsia="Calibri" w:hAnsi="Calibri"/>
          <w:sz w:val="17"/>
          <w:szCs w:val="17"/>
          <w:color w:val="auto"/>
        </w:rPr>
        <w:t>As indicated above, the Board of Directors determined to hold a virtual annual meetng this year. We believe this will facilitate shareholder atendance and partcipaton by enabling shareholders to partcipate from any locaton and at no cost. We believe it will enable engagement with our shareholders.</w:t>
      </w:r>
    </w:p>
    <w:p>
      <w:pPr>
        <w:spacing w:after="0" w:line="202"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You will be able to atend the meetng online, vote your shares electronically and submit questons during the meetng by visitng www.virtualshareholdermeetng.com/OGE2024. To partcipate in the virtual meetng, you will need the 16-digit control number included on your Notce, proxy card or votng instructon form. The meetng webcast will begin promptly at 10:00 a.m., CDT. We encourage you to access the meetng prior to the start tme. Online check-in will begin at 9:45 a.m., CDT, and you should allow ample tme for the check-in procedures. If you encounter any difcultes accessing the virtual meetng during the check-in or meetng tme, please contact the technical support resource that is included on the Virtual Shareholders Meetng log-in page.</w:t>
      </w:r>
    </w:p>
    <w:p>
      <w:pPr>
        <w:spacing w:after="0" w:line="221"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We want to provide our shareholders with the same rights and opportunites to partcipate as they would at an in-person annual meetng. The Shareholders will be able to atend the meetng online, vote their shares electronically and may submit questons during the meetng by visitng www.virtualshareholdermeetng.com/OGE2024. We will try to answer, as tme permits, as many shareholder-submited questons that comply with the meetng rules of conduct. However, we reserve the right to edit inappropriate language or to exclude questons that are not pertnent to meetng maters, are otherwise inappropriate or fail to comply with the meetng rules of conduct. If we receive substantally similar questons, we will group such questons together and provide a single response to avoid repetton.</w:t>
      </w:r>
    </w:p>
    <w:p>
      <w:pPr>
        <w:spacing w:after="0" w:line="21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Internet Availability of Proxy Materials</w:t>
      </w:r>
    </w:p>
    <w:p>
      <w:pPr>
        <w:spacing w:after="0" w:line="217" w:lineRule="exact"/>
        <w:rPr>
          <w:sz w:val="20"/>
          <w:szCs w:val="20"/>
          <w:color w:val="auto"/>
        </w:rPr>
      </w:pPr>
    </w:p>
    <w:p>
      <w:pPr>
        <w:jc w:val="both"/>
        <w:ind w:firstLine="374"/>
        <w:spacing w:after="0" w:line="254" w:lineRule="auto"/>
        <w:rPr>
          <w:sz w:val="20"/>
          <w:szCs w:val="20"/>
          <w:color w:val="auto"/>
        </w:rPr>
      </w:pPr>
      <w:r>
        <w:rPr>
          <w:rFonts w:ascii="Calibri" w:cs="Calibri" w:eastAsia="Calibri" w:hAnsi="Calibri"/>
          <w:sz w:val="17"/>
          <w:szCs w:val="17"/>
          <w:color w:val="auto"/>
        </w:rPr>
        <w:t>On or about April 1, 2024, we will begin mailing to our shareholders of record a Notce of Internet Availability of Proxy Materials instead of a paper copy of the 2024 proxy statement and our 2023 annual report. The Notce of Internet Availability of Proxy Materials will include instructons on accessing and reviewing our proxy materials and our 2023 annual report to shareholders on the Internet and will provide instructons on submitng a proxy on the Internet.</w:t>
      </w:r>
    </w:p>
    <w:p>
      <w:pPr>
        <w:spacing w:after="0" w:line="376" w:lineRule="exact"/>
        <w:rPr>
          <w:sz w:val="20"/>
          <w:szCs w:val="20"/>
          <w:color w:val="auto"/>
        </w:rPr>
      </w:pPr>
    </w:p>
    <w:p>
      <w:pPr>
        <w:ind w:left="600" w:hanging="592"/>
        <w:spacing w:after="0"/>
        <w:tabs>
          <w:tab w:leader="none" w:pos="600" w:val="left"/>
        </w:tabs>
        <w:numPr>
          <w:ilvl w:val="0"/>
          <w:numId w:val="9"/>
        </w:numPr>
        <w:rPr>
          <w:rFonts w:ascii="Calibri" w:cs="Calibri" w:eastAsia="Calibri" w:hAnsi="Calibri"/>
          <w:sz w:val="18"/>
          <w:szCs w:val="18"/>
          <w:color w:val="auto"/>
        </w:rPr>
      </w:pPr>
      <w:r>
        <w:rPr>
          <w:rFonts w:ascii="Calibri" w:cs="Calibri" w:eastAsia="Calibri" w:hAnsi="Calibri"/>
          <w:sz w:val="18"/>
          <w:szCs w:val="18"/>
          <w:b w:val="1"/>
          <w:bCs w:val="1"/>
          <w:color w:val="EE2724"/>
        </w:rPr>
        <w:t xml:space="preserve">OGE Energy Corp. </w:t>
      </w:r>
      <w:r>
        <w:rPr>
          <w:rFonts w:ascii="Calibri" w:cs="Calibri" w:eastAsia="Calibri" w:hAnsi="Calibri"/>
          <w:sz w:val="18"/>
          <w:szCs w:val="18"/>
          <w:color w:val="00000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8" w:name="page9"/>
    <w:bookmarkEnd w:id="8"/>
    <w:p>
      <w:pPr>
        <w:jc w:val="both"/>
        <w:ind w:firstLine="374"/>
        <w:spacing w:after="0" w:line="235" w:lineRule="auto"/>
        <w:rPr>
          <w:sz w:val="20"/>
          <w:szCs w:val="20"/>
          <w:color w:val="auto"/>
        </w:rPr>
      </w:pPr>
      <w:r>
        <w:rPr>
          <w:rFonts w:ascii="Calibri" w:cs="Calibri" w:eastAsia="Calibri" w:hAnsi="Calibri"/>
          <w:sz w:val="18"/>
          <w:szCs w:val="18"/>
          <w:color w:val="auto"/>
        </w:rPr>
        <w:t xml:space="preserve">At the tme we begin mailing our Notce of Internet Availability of Proxy Materials, we will also frst make available on the Internet at </w:t>
      </w:r>
      <w:r>
        <w:rPr>
          <w:rFonts w:ascii="Calibri" w:cs="Calibri" w:eastAsia="Calibri" w:hAnsi="Calibri"/>
          <w:sz w:val="18"/>
          <w:szCs w:val="18"/>
          <w:i w:val="1"/>
          <w:iCs w:val="1"/>
          <w:u w:val="single" w:color="auto"/>
          <w:color w:val="auto"/>
        </w:rPr>
        <w:t>www.proxyvote.com</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our notce of annual meetng, our proxy statement and our 2023 annual report to shareholders. Any shareholder may also request a</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printed copy of these materials by any of the following methods:</w:t>
      </w:r>
    </w:p>
    <w:p>
      <w:pPr>
        <w:spacing w:after="0" w:line="8" w:lineRule="exact"/>
        <w:rPr>
          <w:sz w:val="20"/>
          <w:szCs w:val="20"/>
          <w:color w:val="auto"/>
        </w:rPr>
      </w:pPr>
    </w:p>
    <w:p>
      <w:pPr>
        <w:ind w:left="960" w:hanging="287"/>
        <w:spacing w:after="0"/>
        <w:tabs>
          <w:tab w:leader="none" w:pos="960" w:val="left"/>
        </w:tabs>
        <w:numPr>
          <w:ilvl w:val="0"/>
          <w:numId w:val="10"/>
        </w:numPr>
        <w:rPr>
          <w:rFonts w:ascii="Calibri" w:cs="Calibri" w:eastAsia="Calibri" w:hAnsi="Calibri"/>
          <w:sz w:val="36"/>
          <w:szCs w:val="36"/>
          <w:color w:val="auto"/>
          <w:vertAlign w:val="subscript"/>
        </w:rPr>
      </w:pPr>
      <w:r>
        <w:rPr>
          <w:rFonts w:ascii="Calibri" w:cs="Calibri" w:eastAsia="Calibri" w:hAnsi="Calibri"/>
          <w:sz w:val="18"/>
          <w:szCs w:val="18"/>
          <w:color w:val="auto"/>
        </w:rPr>
        <w:t>Internet at www.proxyvote.com;</w:t>
      </w:r>
    </w:p>
    <w:p>
      <w:pPr>
        <w:spacing w:after="0" w:line="104" w:lineRule="exact"/>
        <w:rPr>
          <w:rFonts w:ascii="Calibri" w:cs="Calibri" w:eastAsia="Calibri" w:hAnsi="Calibri"/>
          <w:sz w:val="36"/>
          <w:szCs w:val="36"/>
          <w:color w:val="auto"/>
          <w:vertAlign w:val="subscript"/>
        </w:rPr>
      </w:pPr>
    </w:p>
    <w:p>
      <w:pPr>
        <w:ind w:left="960" w:hanging="287"/>
        <w:spacing w:after="0"/>
        <w:tabs>
          <w:tab w:leader="none" w:pos="960" w:val="left"/>
        </w:tabs>
        <w:numPr>
          <w:ilvl w:val="0"/>
          <w:numId w:val="10"/>
        </w:numPr>
        <w:rPr>
          <w:rFonts w:ascii="Calibri" w:cs="Calibri" w:eastAsia="Calibri" w:hAnsi="Calibri"/>
          <w:sz w:val="18"/>
          <w:szCs w:val="18"/>
          <w:color w:val="auto"/>
        </w:rPr>
      </w:pPr>
      <w:r>
        <w:rPr>
          <w:rFonts w:ascii="Calibri" w:cs="Calibri" w:eastAsia="Calibri" w:hAnsi="Calibri"/>
          <w:sz w:val="18"/>
          <w:szCs w:val="18"/>
          <w:color w:val="auto"/>
        </w:rPr>
        <w:t xml:space="preserve">e-mail at </w:t>
      </w:r>
      <w:r>
        <w:rPr>
          <w:rFonts w:ascii="Calibri" w:cs="Calibri" w:eastAsia="Calibri" w:hAnsi="Calibri"/>
          <w:sz w:val="18"/>
          <w:szCs w:val="18"/>
          <w:i w:val="1"/>
          <w:iCs w:val="1"/>
          <w:u w:val="single" w:color="auto"/>
          <w:color w:val="auto"/>
        </w:rPr>
        <w:t>sendmaterial@proxyvote.com</w:t>
      </w:r>
      <w:r>
        <w:rPr>
          <w:rFonts w:ascii="Calibri" w:cs="Calibri" w:eastAsia="Calibri" w:hAnsi="Calibri"/>
          <w:sz w:val="18"/>
          <w:szCs w:val="18"/>
          <w:color w:val="auto"/>
        </w:rPr>
        <w:t>; or</w:t>
      </w:r>
    </w:p>
    <w:p>
      <w:pPr>
        <w:spacing w:after="0" w:line="77" w:lineRule="exact"/>
        <w:rPr>
          <w:rFonts w:ascii="Calibri" w:cs="Calibri" w:eastAsia="Calibri" w:hAnsi="Calibri"/>
          <w:sz w:val="18"/>
          <w:szCs w:val="18"/>
          <w:color w:val="auto"/>
        </w:rPr>
      </w:pPr>
    </w:p>
    <w:p>
      <w:pPr>
        <w:ind w:left="960" w:hanging="287"/>
        <w:spacing w:after="0"/>
        <w:tabs>
          <w:tab w:leader="none" w:pos="960" w:val="left"/>
        </w:tabs>
        <w:numPr>
          <w:ilvl w:val="0"/>
          <w:numId w:val="10"/>
        </w:numPr>
        <w:rPr>
          <w:rFonts w:ascii="Calibri" w:cs="Calibri" w:eastAsia="Calibri" w:hAnsi="Calibri"/>
          <w:sz w:val="18"/>
          <w:szCs w:val="18"/>
          <w:color w:val="auto"/>
        </w:rPr>
      </w:pPr>
      <w:r>
        <w:rPr>
          <w:rFonts w:ascii="Calibri" w:cs="Calibri" w:eastAsia="Calibri" w:hAnsi="Calibri"/>
          <w:sz w:val="18"/>
          <w:szCs w:val="18"/>
          <w:color w:val="auto"/>
        </w:rPr>
        <w:t>telephone at 1-800-579-1639.</w:t>
      </w:r>
    </w:p>
    <w:p>
      <w:pPr>
        <w:spacing w:after="0" w:line="258"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Pursuant to the SEC rules, our 2023 annual report to shareholders, which includes our audited consolidated fnancial statements, is not considered a part of, and is not incorporated by reference in, our proxy solicitaton materials.</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Record Date; Number of Votes</w:t>
      </w:r>
    </w:p>
    <w:p>
      <w:pPr>
        <w:spacing w:after="0" w:line="217"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If you owned shares of the Company's Common Stock at the close of business on March 18, 2024, you are enttled to one vote per share upon each mater presented at the meetng.</w:t>
      </w:r>
    </w:p>
    <w:p>
      <w:pPr>
        <w:spacing w:after="0" w:line="218"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As of March 18, 2024, there were 200,546,536 shares of the Company's Common Stock outstanding. The Company does not have any other outstanding class of votng stock. Other than as described below under the heading "Security Ownership," no person holds of record or, to our knowledge, benefcially owns more than fve percent of the Company's Common Stock.</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Expenses of Proxy Solicitaton</w:t>
      </w:r>
    </w:p>
    <w:p>
      <w:pPr>
        <w:spacing w:after="0" w:line="217" w:lineRule="exact"/>
        <w:rPr>
          <w:sz w:val="20"/>
          <w:szCs w:val="20"/>
          <w:color w:val="auto"/>
        </w:rPr>
      </w:pPr>
    </w:p>
    <w:p>
      <w:pPr>
        <w:jc w:val="both"/>
        <w:ind w:firstLine="374"/>
        <w:spacing w:after="0" w:line="251" w:lineRule="auto"/>
        <w:rPr>
          <w:sz w:val="20"/>
          <w:szCs w:val="20"/>
          <w:color w:val="auto"/>
        </w:rPr>
      </w:pPr>
      <w:r>
        <w:rPr>
          <w:rFonts w:ascii="Calibri" w:cs="Calibri" w:eastAsia="Calibri" w:hAnsi="Calibri"/>
          <w:sz w:val="17"/>
          <w:szCs w:val="17"/>
          <w:color w:val="auto"/>
        </w:rPr>
        <w:t>We will pay all costs associated with preparing, assembling, mailing and distributng the proxy cards and proxy statements except that certain expenses for Internet access may be incurred by you if you choose to access the proxy materials and/or vote via the Internet. We also will reimburse brokers, nominees, fduciaries and other custodians for their expenses in forwarding proxy materials to shareholders. Ofcers and other employees of the Company may solicit proxies by mail, personal interview, telephone and/or Internet. In additon, we have retained D.F. King &amp; Co., Inc. to assist in the solicitaton of proxies, at a fee of $12,500 plus associated costs and expenses. Our employees will not receive any additonal compensaton for solicitng proxies.</w:t>
      </w:r>
    </w:p>
    <w:p>
      <w:pPr>
        <w:spacing w:after="0" w:line="20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CORPORATE GOVERNANCE</w:t>
      </w:r>
    </w:p>
    <w:p>
      <w:pPr>
        <w:spacing w:after="0" w:line="217"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i w:val="1"/>
          <w:iCs w:val="1"/>
          <w:color w:val="auto"/>
        </w:rPr>
        <w:t>Corporate Governance Guidelines</w:t>
      </w:r>
      <w:r>
        <w:rPr>
          <w:rFonts w:ascii="Calibri" w:cs="Calibri" w:eastAsia="Calibri" w:hAnsi="Calibri"/>
          <w:sz w:val="18"/>
          <w:szCs w:val="18"/>
          <w:color w:val="auto"/>
        </w:rPr>
        <w:t>. The Board of Directors of the Company operates pursuant to a set of writen Corporate Governance Guidelines</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("Guidelines") that set forth the Company's corporate governance philosophy and the governance policies and practces that the Company has established to assist in governing the Company and its afliates. The Guidelines are detailed on our company website at www.oge.com, under the stewardship tab. Among the topics covered by our Corporate Governance Guidelines are our Board member selecton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22" w:lineRule="exact"/>
        <w:rPr>
          <w:sz w:val="20"/>
          <w:szCs w:val="20"/>
          <w:color w:val="auto"/>
        </w:rPr>
      </w:pPr>
    </w:p>
    <w:p>
      <w:pPr>
        <w:ind w:left="120"/>
        <w:spacing w:after="0"/>
        <w:tabs>
          <w:tab w:leader="none" w:pos="3240" w:val="left"/>
        </w:tabs>
        <w:rPr>
          <w:sz w:val="20"/>
          <w:szCs w:val="20"/>
          <w:color w:val="auto"/>
        </w:rPr>
      </w:pPr>
      <w:r>
        <w:rPr>
          <w:rFonts w:ascii="Calibri" w:cs="Calibri" w:eastAsia="Calibri" w:hAnsi="Calibri"/>
          <w:sz w:val="18"/>
          <w:szCs w:val="18"/>
          <w:b w:val="1"/>
          <w:bCs w:val="1"/>
          <w:color w:val="auto"/>
        </w:rPr>
        <w:t>Board Member Selecton Requirements</w:t>
      </w:r>
      <w:r>
        <w:rPr>
          <w:sz w:val="20"/>
          <w:szCs w:val="20"/>
          <w:color w:val="auto"/>
        </w:rPr>
        <w:tab/>
      </w:r>
      <w:r>
        <w:rPr>
          <w:rFonts w:ascii="Times New Roman" w:cs="Times New Roman" w:eastAsia="Times New Roman" w:hAnsi="Times New Roman"/>
          <w:sz w:val="18"/>
          <w:szCs w:val="18"/>
          <w:color w:val="auto"/>
        </w:rPr>
        <w:t xml:space="preserve">• </w:t>
      </w:r>
      <w:r>
        <w:rPr>
          <w:rFonts w:ascii="Calibri" w:cs="Calibri" w:eastAsia="Calibri" w:hAnsi="Calibri"/>
          <w:sz w:val="18"/>
          <w:szCs w:val="18"/>
          <w:color w:val="auto"/>
        </w:rPr>
        <w:t>Only executve ofcer on the Board is the CEO</w:t>
      </w:r>
    </w:p>
    <w:p>
      <w:pPr>
        <w:spacing w:after="0" w:line="59" w:lineRule="exact"/>
        <w:rPr>
          <w:sz w:val="20"/>
          <w:szCs w:val="20"/>
          <w:color w:val="auto"/>
        </w:rPr>
      </w:pPr>
    </w:p>
    <w:p>
      <w:pPr>
        <w:ind w:left="3380" w:hanging="123"/>
        <w:spacing w:after="0"/>
        <w:tabs>
          <w:tab w:leader="none" w:pos="338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Director will not be nominated if he or she would be 75 years of age or over at the tme of electon</w:t>
      </w:r>
    </w:p>
    <w:p>
      <w:pPr>
        <w:spacing w:after="0" w:line="50" w:lineRule="exact"/>
        <w:rPr>
          <w:rFonts w:ascii="Times New Roman" w:cs="Times New Roman" w:eastAsia="Times New Roman" w:hAnsi="Times New Roman"/>
          <w:sz w:val="18"/>
          <w:szCs w:val="18"/>
          <w:color w:val="auto"/>
        </w:rPr>
      </w:pPr>
    </w:p>
    <w:p>
      <w:pPr>
        <w:ind w:left="3380" w:hanging="123"/>
        <w:spacing w:after="0"/>
        <w:tabs>
          <w:tab w:leader="none" w:pos="338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Director may not serve on more than three other boards of publicly held companies</w:t>
      </w:r>
    </w:p>
    <w:p>
      <w:pPr>
        <w:spacing w:after="0" w:line="68" w:lineRule="exact"/>
        <w:rPr>
          <w:rFonts w:ascii="Times New Roman" w:cs="Times New Roman" w:eastAsia="Times New Roman" w:hAnsi="Times New Roman"/>
          <w:sz w:val="18"/>
          <w:szCs w:val="18"/>
          <w:color w:val="auto"/>
        </w:rPr>
      </w:pPr>
    </w:p>
    <w:p>
      <w:pPr>
        <w:ind w:left="3380" w:right="460" w:hanging="123"/>
        <w:spacing w:after="0" w:line="235" w:lineRule="auto"/>
        <w:tabs>
          <w:tab w:leader="none" w:pos="338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If a Director changes employment, they may be required to submit a leter of resignaton for the Board's consideraton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-464185</wp:posOffset>
            </wp:positionV>
            <wp:extent cx="5134610"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3461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5"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i w:val="1"/>
          <w:iCs w:val="1"/>
          <w:color w:val="auto"/>
        </w:rPr>
        <w:t xml:space="preserve">Director Qualifcatons and Nominaton Process. </w:t>
      </w:r>
      <w:r>
        <w:rPr>
          <w:rFonts w:ascii="Calibri" w:cs="Calibri" w:eastAsia="Calibri" w:hAnsi="Calibri"/>
          <w:sz w:val="18"/>
          <w:szCs w:val="18"/>
          <w:color w:val="auto"/>
        </w:rPr>
        <w:t>It is expected that the Nominatng, Corporate Governance and Stewardship Commitee will consider</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nominees recommended by shareholders in accordance with our bylaws. Our bylaws provide that, if you intend to nominate director candidates for electon at an Annual Meetng of Shareholders, you must deliver writen notce to the Corporate Secretary no later than 90 days in advance of the meetng. The notce must set forth the informaton concerning you and the nominee(s) that is required in our bylaws.</w:t>
      </w:r>
    </w:p>
    <w:p>
      <w:pPr>
        <w:spacing w:after="0" w:line="219"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Our bylaws permit a shareholder (or group of up to 20 shareholders) owning three percent or more of the Company's Common Stock contnuously for at least three years to nominate, and include in the Company's proxy materials for an Annual Meetng of Shareholders, director candidates up to an aggregate limit of the greater of (i) 20 percent (or if such amount is not</w:t>
      </w:r>
    </w:p>
    <w:p>
      <w:pPr>
        <w:spacing w:after="0" w:line="173" w:lineRule="exact"/>
        <w:rPr>
          <w:sz w:val="20"/>
          <w:szCs w:val="20"/>
          <w:color w:val="auto"/>
        </w:rPr>
      </w:pPr>
    </w:p>
    <w:p>
      <w:pPr>
        <w:ind w:left="600" w:hanging="592"/>
        <w:spacing w:after="0"/>
        <w:tabs>
          <w:tab w:leader="none" w:pos="600" w:val="left"/>
        </w:tabs>
        <w:numPr>
          <w:ilvl w:val="0"/>
          <w:numId w:val="12"/>
        </w:numPr>
        <w:rPr>
          <w:rFonts w:ascii="Calibri" w:cs="Calibri" w:eastAsia="Calibri" w:hAnsi="Calibri"/>
          <w:sz w:val="18"/>
          <w:szCs w:val="18"/>
          <w:color w:val="auto"/>
        </w:rPr>
      </w:pPr>
      <w:r>
        <w:rPr>
          <w:rFonts w:ascii="Calibri" w:cs="Calibri" w:eastAsia="Calibri" w:hAnsi="Calibri"/>
          <w:sz w:val="18"/>
          <w:szCs w:val="18"/>
          <w:b w:val="1"/>
          <w:bCs w:val="1"/>
          <w:color w:val="EE2724"/>
        </w:rPr>
        <w:t xml:space="preserve">OGE Energy Corp. </w:t>
      </w:r>
      <w:r>
        <w:rPr>
          <w:rFonts w:ascii="Calibri" w:cs="Calibri" w:eastAsia="Calibri" w:hAnsi="Calibri"/>
          <w:sz w:val="18"/>
          <w:szCs w:val="18"/>
          <w:color w:val="00000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9" w:name="page10"/>
    <w:bookmarkEnd w:id="9"/>
    <w:p>
      <w:pPr>
        <w:jc w:val="both"/>
        <w:spacing w:after="0" w:line="235" w:lineRule="auto"/>
        <w:rPr>
          <w:sz w:val="20"/>
          <w:szCs w:val="20"/>
          <w:color w:val="auto"/>
        </w:rPr>
      </w:pPr>
      <w:r>
        <w:rPr>
          <w:rFonts w:ascii="Calibri" w:cs="Calibri" w:eastAsia="Calibri" w:hAnsi="Calibri"/>
          <w:sz w:val="18"/>
          <w:szCs w:val="18"/>
          <w:color w:val="auto"/>
        </w:rPr>
        <w:t>a whole number, the closest whole number below 20 percent) of the Company's Board of Directors or (ii) two, provided that the shareholder (or group) and each nominee satsfy the requirements specifed in the bylaws. In order to utlize these so called "proxy access" provisions, the shareholder must provide notce of such nominatons to the Corporate Secretary no earlier than 150 calendar days and no later than 120 calendar days before the anniversary of the date that the Company mailed or released to its shareholders its proxy statement for the prior year's Annual Meetng of Shareholders. For the 2025 annual meetng, this means that the notce must be provided no earlier than November 2, 2024 and no later than December 2, 2024. The requirements relatng to nominatng shareholders, the nominees and the informaton to be included in the notce are set forth in our bylaws.</w:t>
      </w:r>
    </w:p>
    <w:p>
      <w:pPr>
        <w:spacing w:after="0" w:line="221"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The Nominatng, Corporate Governance and Stewardship Commitee has not established specifc minimum qualites for director nominees or set forth specifc qualites or skills that the Nominatng, Corporate Governance and Stewardship Commitee believes are necessary for one or more directors to possess. Instead, in evaluatng potental candidates and incumbent directors for reelecton, the Nominatng, Corporate Governance and Stewardship Commitee considers numerous factors, including judgment, skill, independence, integrity, experience with businesses and other organizatons of comparable size, the interplay of the candidate's experience with the experience of other Board members, experience as an ofcer or director of another publicly-held corporaton, understanding of management trends in general or in industries relevant to the Company, expertse in fnancial accountng and corporate fnance, ability to bring diversity to the group, community or civic service, appropriateness of having a member of management, in additon to the CEO, on the Board as part of the succession planning process, knowledge or expertse not currently on the Board, shareholder percepton, the extent to which the candidate would be a desirable additon to the Board and any commitees of the Board, and, in the case of an incumbent director, the individual's level of performance as a director of the Company. No partcular weight is given to one factor over another on a general basis, but rather the factors are weighted in relatonship to the perceived needs of the Board at the tme of selectng nominees. The Nominatng, Corporate Governance and Stewardship Commitee will evaluate candidates recommended by shareholders on the same basis as they evaluate other candidates.</w:t>
      </w:r>
    </w:p>
    <w:p>
      <w:pPr>
        <w:spacing w:after="0" w:line="226"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The Nominatng, Corporate Governance and Stewardship Commitee values diversity of its members and, as indicated above, includes diversity among other factors the commitee considers when evaluatng potental board candidates and incumbent directors for reelecton. For purposes of diversity consideratons, the Nominatng, Corporate Governance and Stewardship Commitee includes diferences of viewpoint, professional experience, educaton and other individual qualites as well as race and gender. Female representaton among the nominees for electon at this year’s annual meetng is 30 percent, including the Lead Director. Racial diversity among the nominees for electon is 10 percent of the nominees. The needs of the Board and the factors that the Nominatng, Corporate Governance and Stewardship Commitee considers in evaluatng candidates are reassessed on an annual basis, when the commitee's charter is reviewed.</w:t>
      </w:r>
    </w:p>
    <w:p>
      <w:pPr>
        <w:spacing w:after="0" w:line="222"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In considering individuals for nominaton as directors, the Nominatng, Corporate Governance and Stewardship Commitee typically solicits recommendatons from its current directors and is authorized to engage third party advisors, including search frms, to assist in the identfcaton and evaluaton of candidates.</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 xml:space="preserve">Ethics and Independence Guidelines. </w:t>
      </w:r>
      <w:r>
        <w:rPr>
          <w:rFonts w:ascii="Calibri" w:cs="Calibri" w:eastAsia="Calibri" w:hAnsi="Calibri"/>
          <w:sz w:val="18"/>
          <w:szCs w:val="18"/>
          <w:color w:val="auto"/>
        </w:rPr>
        <w:t>Selected ethics and independence guidelines are set forth below.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160" w:type="dxa"/>
            <w:vAlign w:val="bottom"/>
            <w:tcBorders>
              <w:top w:val="single" w:sz="8" w:color="auto"/>
            </w:tcBorders>
          </w:tcPr>
          <w:p>
            <w:pPr>
              <w:ind w:left="120"/>
              <w:spacing w:after="0"/>
              <w:rPr>
                <w:sz w:val="20"/>
                <w:szCs w:val="20"/>
                <w:color w:val="auto"/>
              </w:rPr>
            </w:pPr>
            <w:r>
              <w:rPr>
                <w:rFonts w:ascii="Calibri" w:cs="Calibri" w:eastAsia="Calibri" w:hAnsi="Calibri"/>
                <w:sz w:val="18"/>
                <w:szCs w:val="18"/>
                <w:b w:val="1"/>
                <w:bCs w:val="1"/>
                <w:color w:val="auto"/>
              </w:rPr>
              <w:t>Ethics</w:t>
            </w:r>
          </w:p>
        </w:tc>
        <w:tc>
          <w:tcPr>
            <w:tcW w:w="8080" w:type="dxa"/>
            <w:vAlign w:val="bottom"/>
            <w:tcBorders>
              <w:top w:val="single" w:sz="8" w:color="auto"/>
              <w:bottom w:val="single" w:sz="8" w:color="E5E5E5"/>
            </w:tcBorders>
            <w:shd w:val="clear" w:color="auto" w:fill="E5E5E5"/>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Calibri" w:cs="Calibri" w:eastAsia="Calibri" w:hAnsi="Calibri"/>
                <w:sz w:val="18"/>
                <w:szCs w:val="18"/>
                <w:color w:val="auto"/>
              </w:rPr>
              <w:t>Our Code of Ethics applies to the directors, ofcers and employees.</w:t>
            </w:r>
          </w:p>
        </w:tc>
      </w:tr>
      <w:tr>
        <w:trPr>
          <w:trHeight w:val="221"/>
        </w:trPr>
        <w:tc>
          <w:tcPr>
            <w:tcW w:w="3160" w:type="dxa"/>
            <w:vAlign w:val="bottom"/>
          </w:tcPr>
          <w:p>
            <w:pPr>
              <w:spacing w:after="0"/>
              <w:rPr>
                <w:sz w:val="19"/>
                <w:szCs w:val="19"/>
                <w:color w:val="auto"/>
              </w:rPr>
            </w:pPr>
          </w:p>
        </w:tc>
        <w:tc>
          <w:tcPr>
            <w:tcW w:w="8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Calibri" w:cs="Calibri" w:eastAsia="Calibri" w:hAnsi="Calibri"/>
                <w:sz w:val="18"/>
                <w:szCs w:val="18"/>
                <w:color w:val="auto"/>
              </w:rPr>
              <w:t>CEO, senior fnancial ofcers and other applicable ofcers adhere to an additonal code of ethics that</w:t>
            </w:r>
          </w:p>
        </w:tc>
      </w:tr>
      <w:tr>
        <w:trPr>
          <w:trHeight w:val="215"/>
        </w:trPr>
        <w:tc>
          <w:tcPr>
            <w:tcW w:w="3160" w:type="dxa"/>
            <w:vAlign w:val="bottom"/>
          </w:tcPr>
          <w:p>
            <w:pPr>
              <w:spacing w:after="0"/>
              <w:rPr>
                <w:sz w:val="18"/>
                <w:szCs w:val="18"/>
                <w:color w:val="auto"/>
              </w:rPr>
            </w:pPr>
          </w:p>
        </w:tc>
        <w:tc>
          <w:tcPr>
            <w:tcW w:w="8080" w:type="dxa"/>
            <w:vAlign w:val="bottom"/>
          </w:tcPr>
          <w:p>
            <w:pPr>
              <w:ind w:left="220"/>
              <w:spacing w:after="0" w:line="215" w:lineRule="exact"/>
              <w:rPr>
                <w:sz w:val="20"/>
                <w:szCs w:val="20"/>
                <w:color w:val="auto"/>
              </w:rPr>
            </w:pPr>
            <w:r>
              <w:rPr>
                <w:rFonts w:ascii="Calibri" w:cs="Calibri" w:eastAsia="Calibri" w:hAnsi="Calibri"/>
                <w:sz w:val="18"/>
                <w:szCs w:val="18"/>
                <w:color w:val="auto"/>
              </w:rPr>
              <w:t>complies with the requirements from the Sarbanes-Oxley Act of 2002.</w:t>
            </w:r>
          </w:p>
        </w:tc>
      </w:tr>
      <w:tr>
        <w:trPr>
          <w:trHeight w:val="37"/>
        </w:trPr>
        <w:tc>
          <w:tcPr>
            <w:tcW w:w="3160" w:type="dxa"/>
            <w:vAlign w:val="bottom"/>
          </w:tcPr>
          <w:p>
            <w:pPr>
              <w:spacing w:after="0"/>
              <w:rPr>
                <w:sz w:val="3"/>
                <w:szCs w:val="3"/>
                <w:color w:val="auto"/>
              </w:rPr>
            </w:pPr>
          </w:p>
        </w:tc>
        <w:tc>
          <w:tcPr>
            <w:tcW w:w="8080" w:type="dxa"/>
            <w:vAlign w:val="bottom"/>
          </w:tcPr>
          <w:p>
            <w:pPr>
              <w:spacing w:after="0"/>
              <w:rPr>
                <w:sz w:val="3"/>
                <w:szCs w:val="3"/>
                <w:color w:val="auto"/>
              </w:rPr>
            </w:pPr>
          </w:p>
        </w:tc>
      </w:tr>
      <w:tr>
        <w:trPr>
          <w:trHeight w:val="221"/>
        </w:trPr>
        <w:tc>
          <w:tcPr>
            <w:tcW w:w="3160" w:type="dxa"/>
            <w:vAlign w:val="bottom"/>
          </w:tcPr>
          <w:p>
            <w:pPr>
              <w:spacing w:after="0"/>
              <w:rPr>
                <w:sz w:val="19"/>
                <w:szCs w:val="19"/>
                <w:color w:val="auto"/>
              </w:rPr>
            </w:pPr>
          </w:p>
        </w:tc>
        <w:tc>
          <w:tcPr>
            <w:tcW w:w="8080" w:type="dxa"/>
            <w:vAlign w:val="bottom"/>
            <w:shd w:val="clear" w:color="auto" w:fill="E5E5E5"/>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Calibri" w:cs="Calibri" w:eastAsia="Calibri" w:hAnsi="Calibri"/>
                <w:sz w:val="18"/>
                <w:szCs w:val="18"/>
                <w:color w:val="auto"/>
              </w:rPr>
              <w:t>Our Code of Ethics and the additonal code of ethics applicable to our senior fnancial ofcers are available</w:t>
            </w:r>
          </w:p>
        </w:tc>
      </w:tr>
      <w:tr>
        <w:trPr>
          <w:trHeight w:val="215"/>
        </w:trPr>
        <w:tc>
          <w:tcPr>
            <w:tcW w:w="3160" w:type="dxa"/>
            <w:vAlign w:val="bottom"/>
          </w:tcPr>
          <w:p>
            <w:pPr>
              <w:spacing w:after="0"/>
              <w:rPr>
                <w:sz w:val="18"/>
                <w:szCs w:val="18"/>
                <w:color w:val="auto"/>
              </w:rPr>
            </w:pPr>
          </w:p>
        </w:tc>
        <w:tc>
          <w:tcPr>
            <w:tcW w:w="8080" w:type="dxa"/>
            <w:vAlign w:val="bottom"/>
            <w:shd w:val="clear" w:color="auto" w:fill="E5E5E5"/>
          </w:tcPr>
          <w:p>
            <w:pPr>
              <w:ind w:left="220"/>
              <w:spacing w:after="0" w:line="215" w:lineRule="exact"/>
              <w:rPr>
                <w:sz w:val="20"/>
                <w:szCs w:val="20"/>
                <w:color w:val="auto"/>
              </w:rPr>
            </w:pPr>
            <w:r>
              <w:rPr>
                <w:rFonts w:ascii="Calibri" w:cs="Calibri" w:eastAsia="Calibri" w:hAnsi="Calibri"/>
                <w:sz w:val="18"/>
                <w:szCs w:val="18"/>
                <w:color w:val="auto"/>
                <w:w w:val="99"/>
              </w:rPr>
              <w:t>on our website at www.oge.com. We will disclose any waivers to our Code of Ethics that apply to our ofcers</w:t>
            </w:r>
          </w:p>
        </w:tc>
      </w:tr>
      <w:tr>
        <w:trPr>
          <w:trHeight w:val="253"/>
        </w:trPr>
        <w:tc>
          <w:tcPr>
            <w:tcW w:w="3160" w:type="dxa"/>
            <w:vAlign w:val="bottom"/>
          </w:tcPr>
          <w:p>
            <w:pPr>
              <w:spacing w:after="0"/>
              <w:rPr>
                <w:sz w:val="22"/>
                <w:szCs w:val="22"/>
                <w:color w:val="auto"/>
              </w:rPr>
            </w:pPr>
          </w:p>
        </w:tc>
        <w:tc>
          <w:tcPr>
            <w:tcW w:w="8080" w:type="dxa"/>
            <w:vAlign w:val="bottom"/>
            <w:tcBorders>
              <w:bottom w:val="single" w:sz="8" w:color="E5E5E5"/>
            </w:tcBorders>
            <w:shd w:val="clear" w:color="auto" w:fill="E5E5E5"/>
          </w:tcPr>
          <w:p>
            <w:pPr>
              <w:ind w:left="220"/>
              <w:spacing w:after="0" w:line="216" w:lineRule="exact"/>
              <w:rPr>
                <w:sz w:val="20"/>
                <w:szCs w:val="20"/>
                <w:color w:val="auto"/>
              </w:rPr>
            </w:pPr>
            <w:r>
              <w:rPr>
                <w:rFonts w:ascii="Calibri" w:cs="Calibri" w:eastAsia="Calibri" w:hAnsi="Calibri"/>
                <w:sz w:val="18"/>
                <w:szCs w:val="18"/>
                <w:color w:val="auto"/>
              </w:rPr>
              <w:t>and directors on our website.</w:t>
            </w:r>
          </w:p>
        </w:tc>
      </w:tr>
      <w:tr>
        <w:trPr>
          <w:trHeight w:val="214"/>
        </w:trPr>
        <w:tc>
          <w:tcPr>
            <w:tcW w:w="3160" w:type="dxa"/>
            <w:vAlign w:val="bottom"/>
            <w:tcBorders>
              <w:top w:val="single" w:sz="8" w:color="auto"/>
            </w:tcBorders>
          </w:tcPr>
          <w:p>
            <w:pPr>
              <w:ind w:left="120"/>
              <w:spacing w:after="0" w:line="214" w:lineRule="exact"/>
              <w:rPr>
                <w:sz w:val="20"/>
                <w:szCs w:val="20"/>
                <w:color w:val="auto"/>
              </w:rPr>
            </w:pPr>
            <w:r>
              <w:rPr>
                <w:rFonts w:ascii="Calibri" w:cs="Calibri" w:eastAsia="Calibri" w:hAnsi="Calibri"/>
                <w:sz w:val="18"/>
                <w:szCs w:val="18"/>
                <w:b w:val="1"/>
                <w:bCs w:val="1"/>
                <w:color w:val="auto"/>
              </w:rPr>
              <w:t>Independence</w:t>
            </w:r>
          </w:p>
        </w:tc>
        <w:tc>
          <w:tcPr>
            <w:tcW w:w="8080" w:type="dxa"/>
            <w:vAlign w:val="bottom"/>
            <w:tcBorders>
              <w:top w:val="single" w:sz="8" w:color="auto"/>
            </w:tcBorders>
          </w:tcPr>
          <w:p>
            <w:pPr>
              <w:ind w:left="100"/>
              <w:spacing w:after="0" w:line="214" w:lineRule="exact"/>
              <w:rPr>
                <w:sz w:val="20"/>
                <w:szCs w:val="20"/>
                <w:color w:val="auto"/>
              </w:rPr>
            </w:pPr>
            <w:r>
              <w:rPr>
                <w:rFonts w:ascii="Times New Roman" w:cs="Times New Roman" w:eastAsia="Times New Roman" w:hAnsi="Times New Roman"/>
                <w:sz w:val="18"/>
                <w:szCs w:val="18"/>
                <w:color w:val="auto"/>
              </w:rPr>
              <w:t xml:space="preserve">• </w:t>
            </w:r>
            <w:r>
              <w:rPr>
                <w:rFonts w:ascii="Calibri" w:cs="Calibri" w:eastAsia="Calibri" w:hAnsi="Calibri"/>
                <w:sz w:val="18"/>
                <w:szCs w:val="18"/>
                <w:color w:val="auto"/>
              </w:rPr>
              <w:t>Currently 9 of the 10 directors are classifed as independent, with Mr. Trauschke, the CEO, being the only</w:t>
            </w:r>
          </w:p>
        </w:tc>
      </w:tr>
      <w:tr>
        <w:trPr>
          <w:trHeight w:val="215"/>
        </w:trPr>
        <w:tc>
          <w:tcPr>
            <w:tcW w:w="3160" w:type="dxa"/>
            <w:vAlign w:val="bottom"/>
          </w:tcPr>
          <w:p>
            <w:pPr>
              <w:spacing w:after="0"/>
              <w:rPr>
                <w:sz w:val="18"/>
                <w:szCs w:val="18"/>
                <w:color w:val="auto"/>
              </w:rPr>
            </w:pPr>
          </w:p>
        </w:tc>
        <w:tc>
          <w:tcPr>
            <w:tcW w:w="8080" w:type="dxa"/>
            <w:vAlign w:val="bottom"/>
          </w:tcPr>
          <w:p>
            <w:pPr>
              <w:ind w:left="220"/>
              <w:spacing w:after="0" w:line="215" w:lineRule="exact"/>
              <w:rPr>
                <w:sz w:val="20"/>
                <w:szCs w:val="20"/>
                <w:color w:val="auto"/>
              </w:rPr>
            </w:pPr>
            <w:r>
              <w:rPr>
                <w:rFonts w:ascii="Calibri" w:cs="Calibri" w:eastAsia="Calibri" w:hAnsi="Calibri"/>
                <w:sz w:val="18"/>
                <w:szCs w:val="18"/>
                <w:color w:val="auto"/>
              </w:rPr>
              <w:t>director not independent.</w:t>
            </w:r>
          </w:p>
        </w:tc>
      </w:tr>
      <w:tr>
        <w:trPr>
          <w:trHeight w:val="37"/>
        </w:trPr>
        <w:tc>
          <w:tcPr>
            <w:tcW w:w="3160" w:type="dxa"/>
            <w:vAlign w:val="bottom"/>
          </w:tcPr>
          <w:p>
            <w:pPr>
              <w:spacing w:after="0"/>
              <w:rPr>
                <w:sz w:val="3"/>
                <w:szCs w:val="3"/>
                <w:color w:val="auto"/>
              </w:rPr>
            </w:pPr>
          </w:p>
        </w:tc>
        <w:tc>
          <w:tcPr>
            <w:tcW w:w="8080" w:type="dxa"/>
            <w:vAlign w:val="bottom"/>
          </w:tcPr>
          <w:p>
            <w:pPr>
              <w:spacing w:after="0"/>
              <w:rPr>
                <w:sz w:val="3"/>
                <w:szCs w:val="3"/>
                <w:color w:val="auto"/>
              </w:rPr>
            </w:pPr>
          </w:p>
        </w:tc>
      </w:tr>
      <w:tr>
        <w:trPr>
          <w:trHeight w:val="221"/>
        </w:trPr>
        <w:tc>
          <w:tcPr>
            <w:tcW w:w="3160" w:type="dxa"/>
            <w:vAlign w:val="bottom"/>
          </w:tcPr>
          <w:p>
            <w:pPr>
              <w:spacing w:after="0"/>
              <w:rPr>
                <w:sz w:val="19"/>
                <w:szCs w:val="19"/>
                <w:color w:val="auto"/>
              </w:rPr>
            </w:pPr>
          </w:p>
        </w:tc>
        <w:tc>
          <w:tcPr>
            <w:tcW w:w="8080" w:type="dxa"/>
            <w:vAlign w:val="bottom"/>
            <w:shd w:val="clear" w:color="auto" w:fill="E5E5E5"/>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Calibri" w:cs="Calibri" w:eastAsia="Calibri" w:hAnsi="Calibri"/>
                <w:sz w:val="18"/>
                <w:szCs w:val="18"/>
                <w:color w:val="auto"/>
              </w:rPr>
              <w:t>All members of the Audit, Compensaton and Nominatng, Corporate Governance and Stewardship</w:t>
            </w:r>
          </w:p>
        </w:tc>
      </w:tr>
      <w:tr>
        <w:trPr>
          <w:trHeight w:val="232"/>
        </w:trPr>
        <w:tc>
          <w:tcPr>
            <w:tcW w:w="3160" w:type="dxa"/>
            <w:vAlign w:val="bottom"/>
          </w:tcPr>
          <w:p>
            <w:pPr>
              <w:spacing w:after="0"/>
              <w:rPr>
                <w:sz w:val="20"/>
                <w:szCs w:val="20"/>
                <w:color w:val="auto"/>
              </w:rPr>
            </w:pPr>
          </w:p>
        </w:tc>
        <w:tc>
          <w:tcPr>
            <w:tcW w:w="8080" w:type="dxa"/>
            <w:vAlign w:val="bottom"/>
            <w:tcBorders>
              <w:bottom w:val="single" w:sz="8" w:color="E5E5E5"/>
            </w:tcBorders>
            <w:shd w:val="clear" w:color="auto" w:fill="E5E5E5"/>
          </w:tcPr>
          <w:p>
            <w:pPr>
              <w:ind w:left="220"/>
              <w:spacing w:after="0" w:line="215" w:lineRule="exact"/>
              <w:rPr>
                <w:sz w:val="20"/>
                <w:szCs w:val="20"/>
                <w:color w:val="auto"/>
              </w:rPr>
            </w:pPr>
            <w:r>
              <w:rPr>
                <w:rFonts w:ascii="Calibri" w:cs="Calibri" w:eastAsia="Calibri" w:hAnsi="Calibri"/>
                <w:sz w:val="18"/>
                <w:szCs w:val="18"/>
                <w:color w:val="auto"/>
              </w:rPr>
              <w:t>Commitees are independent.</w:t>
            </w:r>
          </w:p>
        </w:tc>
      </w:tr>
      <w:tr>
        <w:trPr>
          <w:trHeight w:val="20"/>
        </w:trPr>
        <w:tc>
          <w:tcPr>
            <w:tcW w:w="3160" w:type="dxa"/>
            <w:vAlign w:val="bottom"/>
            <w:shd w:val="clear" w:color="auto" w:fill="000000"/>
          </w:tcPr>
          <w:p>
            <w:pPr>
              <w:spacing w:after="0" w:line="20" w:lineRule="exact"/>
              <w:rPr>
                <w:sz w:val="1"/>
                <w:szCs w:val="1"/>
                <w:color w:val="auto"/>
              </w:rPr>
            </w:pPr>
          </w:p>
        </w:tc>
        <w:tc>
          <w:tcPr>
            <w:tcW w:w="8080" w:type="dxa"/>
            <w:vAlign w:val="bottom"/>
            <w:shd w:val="clear" w:color="auto" w:fill="000000"/>
          </w:tcPr>
          <w:p>
            <w:pPr>
              <w:spacing w:after="0" w:line="20" w:lineRule="exact"/>
              <w:rPr>
                <w:sz w:val="1"/>
                <w:szCs w:val="1"/>
                <w:color w:val="auto"/>
              </w:rPr>
            </w:pPr>
          </w:p>
        </w:tc>
      </w:tr>
    </w:tbl>
    <w:p>
      <w:pPr>
        <w:spacing w:after="0" w:line="194"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For these purposes, the Company bases its independence determinaton on (i) the listng standards of the NYSE and applicable rules and regulatons of the SEC and (ii) no direct or indirect material relatonship with the Company. The</w:t>
      </w:r>
    </w:p>
    <w:p>
      <w:pPr>
        <w:spacing w:after="0" w:line="172" w:lineRule="exact"/>
        <w:rPr>
          <w:sz w:val="20"/>
          <w:szCs w:val="20"/>
          <w:color w:val="auto"/>
        </w:rPr>
      </w:pPr>
    </w:p>
    <w:p>
      <w:pPr>
        <w:ind w:left="600" w:hanging="592"/>
        <w:spacing w:after="0"/>
        <w:tabs>
          <w:tab w:leader="none" w:pos="600" w:val="left"/>
        </w:tabs>
        <w:numPr>
          <w:ilvl w:val="0"/>
          <w:numId w:val="13"/>
        </w:numPr>
        <w:rPr>
          <w:rFonts w:ascii="Calibri" w:cs="Calibri" w:eastAsia="Calibri" w:hAnsi="Calibri"/>
          <w:sz w:val="18"/>
          <w:szCs w:val="18"/>
          <w:color w:val="auto"/>
        </w:rPr>
      </w:pPr>
      <w:r>
        <w:rPr>
          <w:rFonts w:ascii="Calibri" w:cs="Calibri" w:eastAsia="Calibri" w:hAnsi="Calibri"/>
          <w:sz w:val="18"/>
          <w:szCs w:val="18"/>
          <w:b w:val="1"/>
          <w:bCs w:val="1"/>
          <w:color w:val="EE2724"/>
        </w:rPr>
        <w:t xml:space="preserve">OGE Energy Corp. </w:t>
      </w:r>
      <w:r>
        <w:rPr>
          <w:rFonts w:ascii="Calibri" w:cs="Calibri" w:eastAsia="Calibri" w:hAnsi="Calibri"/>
          <w:sz w:val="18"/>
          <w:szCs w:val="18"/>
          <w:color w:val="00000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0" w:name="page11"/>
    <w:bookmarkEnd w:id="10"/>
    <w:p>
      <w:pPr>
        <w:jc w:val="both"/>
        <w:spacing w:after="0" w:line="235" w:lineRule="auto"/>
        <w:rPr>
          <w:sz w:val="20"/>
          <w:szCs w:val="20"/>
          <w:color w:val="auto"/>
        </w:rPr>
      </w:pPr>
      <w:r>
        <w:rPr>
          <w:rFonts w:ascii="Calibri" w:cs="Calibri" w:eastAsia="Calibri" w:hAnsi="Calibri"/>
          <w:sz w:val="18"/>
          <w:szCs w:val="18"/>
          <w:color w:val="auto"/>
        </w:rPr>
        <w:t>independence standards and additonal consideratons relatng to material relatonships with the Company are set forth on the Company's website under the stewardship tab.</w:t>
      </w:r>
    </w:p>
    <w:p>
      <w:pPr>
        <w:spacing w:after="0" w:line="218"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i w:val="1"/>
          <w:iCs w:val="1"/>
          <w:color w:val="auto"/>
        </w:rPr>
        <w:t xml:space="preserve">Standing Commitees. </w:t>
      </w:r>
      <w:r>
        <w:rPr>
          <w:rFonts w:ascii="Calibri" w:cs="Calibri" w:eastAsia="Calibri" w:hAnsi="Calibri"/>
          <w:sz w:val="18"/>
          <w:szCs w:val="18"/>
          <w:color w:val="auto"/>
        </w:rPr>
        <w:t>All members of the Audit Commitee, the Compensaton Commitee and the Nominatng, Corporate Governance and Stewardship</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Commitee are independent directors who are nominated and approved by the Board. The roles and responsibilites of these commitees are defned in the commitee charters adopted by the Board and provide for oversight of, among other things, executve management. Each of these commitee charters is available on our website at www.oge.com. The Board of Directors also has established a standing Executve Commitee, whose members are all independent. The dutes and responsibilites of these Board commitees are reviewed regularly and are outlined below.</w:t>
      </w:r>
    </w:p>
    <w:p>
      <w:pPr>
        <w:spacing w:after="0" w:line="220"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i w:val="1"/>
          <w:iCs w:val="1"/>
          <w:color w:val="auto"/>
        </w:rPr>
        <w:t xml:space="preserve">Leadership Structure. </w:t>
      </w:r>
      <w:r>
        <w:rPr>
          <w:rFonts w:ascii="Calibri" w:cs="Calibri" w:eastAsia="Calibri" w:hAnsi="Calibri"/>
          <w:sz w:val="18"/>
          <w:szCs w:val="18"/>
          <w:color w:val="auto"/>
        </w:rPr>
        <w:t>The Company's Corporate Governance Guidelines discussed above state that the Board has no policy with respect to the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separaton of the ofces of Chairman of the Board and CEO. The Board believes that this issue is part of the succession planning process and that it is in the best interests of the Company for the Board, with the assistance of the Nominatng, Corporate Governance and Stewardship Commitee, to make a determinaton whenever it elects a new CEO.</w:t>
      </w:r>
    </w:p>
    <w:p>
      <w:pPr>
        <w:spacing w:after="0" w:line="219"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Sean Trauschke currently serves as Chairman, President and CEO. At the tme of his electon as Chairman, the Board believed that it was in the best interest of the Company to have a single person serve as Chairman and CEO to provide unifed leadership and directon. The Board stll believes this is in the Company's best interest; however, the Board may separate these positons in the future should circumstances change.</w:t>
      </w:r>
    </w:p>
    <w:p>
      <w:pPr>
        <w:spacing w:after="0" w:line="219"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In an efort to strengthen independent oversight of management and to provide for more open communicaton, the independent members of the Board elect a lead director on an annual basis for a one-year term. Ms. McReynolds currently serves as the lead independent director. Ms. McReynolds has been a Director since 2011 and previously served as chair of the Compensaton Commitee. The responsibilites of our lead director are set out in our Guidelines and include:</w:t>
      </w:r>
    </w:p>
    <w:p>
      <w:pPr>
        <w:spacing w:after="0" w:line="219" w:lineRule="exact"/>
        <w:rPr>
          <w:sz w:val="20"/>
          <w:szCs w:val="20"/>
          <w:color w:val="auto"/>
        </w:rPr>
      </w:pPr>
    </w:p>
    <w:p>
      <w:pPr>
        <w:ind w:left="560" w:right="20" w:hanging="178"/>
        <w:spacing w:after="0" w:line="235" w:lineRule="auto"/>
        <w:tabs>
          <w:tab w:leader="none" w:pos="560" w:val="left"/>
        </w:tabs>
        <w:numPr>
          <w:ilvl w:val="0"/>
          <w:numId w:val="14"/>
        </w:numPr>
        <w:rPr>
          <w:rFonts w:ascii="Times New Roman" w:cs="Times New Roman" w:eastAsia="Times New Roman" w:hAnsi="Times New Roman"/>
          <w:sz w:val="14"/>
          <w:szCs w:val="14"/>
          <w:color w:val="auto"/>
        </w:rPr>
      </w:pPr>
      <w:r>
        <w:rPr>
          <w:rFonts w:ascii="Calibri" w:cs="Calibri" w:eastAsia="Calibri" w:hAnsi="Calibri"/>
          <w:sz w:val="18"/>
          <w:szCs w:val="18"/>
          <w:color w:val="auto"/>
        </w:rPr>
        <w:t>providing leadership to the Board if circumstances arise in which the role of the Chairman and CEO may be, or may be perceived by the lead director or independent directors to be, in confict;</w:t>
      </w:r>
    </w:p>
    <w:p>
      <w:pPr>
        <w:spacing w:after="0" w:line="212" w:lineRule="exact"/>
        <w:rPr>
          <w:rFonts w:ascii="Times New Roman" w:cs="Times New Roman" w:eastAsia="Times New Roman" w:hAnsi="Times New Roman"/>
          <w:sz w:val="14"/>
          <w:szCs w:val="14"/>
          <w:color w:val="auto"/>
        </w:rPr>
      </w:pPr>
    </w:p>
    <w:p>
      <w:pPr>
        <w:ind w:left="560" w:hanging="178"/>
        <w:spacing w:after="0"/>
        <w:tabs>
          <w:tab w:leader="none" w:pos="560" w:val="left"/>
        </w:tabs>
        <w:numPr>
          <w:ilvl w:val="0"/>
          <w:numId w:val="14"/>
        </w:numPr>
        <w:rPr>
          <w:rFonts w:ascii="Times New Roman" w:cs="Times New Roman" w:eastAsia="Times New Roman" w:hAnsi="Times New Roman"/>
          <w:sz w:val="14"/>
          <w:szCs w:val="14"/>
          <w:color w:val="auto"/>
        </w:rPr>
      </w:pPr>
      <w:r>
        <w:rPr>
          <w:rFonts w:ascii="Calibri" w:cs="Calibri" w:eastAsia="Calibri" w:hAnsi="Calibri"/>
          <w:sz w:val="18"/>
          <w:szCs w:val="18"/>
          <w:color w:val="auto"/>
        </w:rPr>
        <w:t>presiding at all meetngs of the Board at which the Chairman is not available;</w:t>
      </w:r>
    </w:p>
    <w:p>
      <w:pPr>
        <w:spacing w:after="0" w:line="217" w:lineRule="exact"/>
        <w:rPr>
          <w:rFonts w:ascii="Times New Roman" w:cs="Times New Roman" w:eastAsia="Times New Roman" w:hAnsi="Times New Roman"/>
          <w:sz w:val="14"/>
          <w:szCs w:val="14"/>
          <w:color w:val="auto"/>
        </w:rPr>
      </w:pPr>
    </w:p>
    <w:p>
      <w:pPr>
        <w:ind w:left="560" w:hanging="178"/>
        <w:spacing w:after="0" w:line="235" w:lineRule="auto"/>
        <w:tabs>
          <w:tab w:leader="none" w:pos="560" w:val="left"/>
        </w:tabs>
        <w:numPr>
          <w:ilvl w:val="0"/>
          <w:numId w:val="14"/>
        </w:numPr>
        <w:rPr>
          <w:rFonts w:ascii="Times New Roman" w:cs="Times New Roman" w:eastAsia="Times New Roman" w:hAnsi="Times New Roman"/>
          <w:sz w:val="14"/>
          <w:szCs w:val="14"/>
          <w:color w:val="auto"/>
        </w:rPr>
      </w:pPr>
      <w:r>
        <w:rPr>
          <w:rFonts w:ascii="Calibri" w:cs="Calibri" w:eastAsia="Calibri" w:hAnsi="Calibri"/>
          <w:sz w:val="18"/>
          <w:szCs w:val="18"/>
          <w:color w:val="auto"/>
        </w:rPr>
        <w:t>organizing, convening and presiding over executve sessions or meetngs of the non-management and/or independent directors and promptly communicatng the messages and directves approved by such directors at each such session or meetng to the Chairman and CEO;</w:t>
      </w:r>
    </w:p>
    <w:p>
      <w:pPr>
        <w:spacing w:after="0" w:line="212" w:lineRule="exact"/>
        <w:rPr>
          <w:rFonts w:ascii="Times New Roman" w:cs="Times New Roman" w:eastAsia="Times New Roman" w:hAnsi="Times New Roman"/>
          <w:sz w:val="14"/>
          <w:szCs w:val="14"/>
          <w:color w:val="auto"/>
        </w:rPr>
      </w:pPr>
    </w:p>
    <w:p>
      <w:pPr>
        <w:ind w:left="560" w:hanging="178"/>
        <w:spacing w:after="0"/>
        <w:tabs>
          <w:tab w:leader="none" w:pos="560" w:val="left"/>
        </w:tabs>
        <w:numPr>
          <w:ilvl w:val="0"/>
          <w:numId w:val="14"/>
        </w:numPr>
        <w:rPr>
          <w:rFonts w:ascii="Times New Roman" w:cs="Times New Roman" w:eastAsia="Times New Roman" w:hAnsi="Times New Roman"/>
          <w:sz w:val="14"/>
          <w:szCs w:val="14"/>
          <w:color w:val="auto"/>
        </w:rPr>
      </w:pPr>
      <w:r>
        <w:rPr>
          <w:rFonts w:ascii="Calibri" w:cs="Calibri" w:eastAsia="Calibri" w:hAnsi="Calibri"/>
          <w:sz w:val="18"/>
          <w:szCs w:val="18"/>
          <w:color w:val="auto"/>
        </w:rPr>
        <w:t>actng as the principal liaison between the independent directors and the Chairman and CEO;</w:t>
      </w:r>
    </w:p>
    <w:p>
      <w:pPr>
        <w:spacing w:after="0" w:line="217" w:lineRule="exact"/>
        <w:rPr>
          <w:rFonts w:ascii="Times New Roman" w:cs="Times New Roman" w:eastAsia="Times New Roman" w:hAnsi="Times New Roman"/>
          <w:sz w:val="14"/>
          <w:szCs w:val="14"/>
          <w:color w:val="auto"/>
        </w:rPr>
      </w:pPr>
    </w:p>
    <w:p>
      <w:pPr>
        <w:ind w:left="560" w:hanging="178"/>
        <w:spacing w:after="0" w:line="235" w:lineRule="auto"/>
        <w:tabs>
          <w:tab w:leader="none" w:pos="560" w:val="left"/>
        </w:tabs>
        <w:numPr>
          <w:ilvl w:val="0"/>
          <w:numId w:val="14"/>
        </w:numPr>
        <w:rPr>
          <w:rFonts w:ascii="Times New Roman" w:cs="Times New Roman" w:eastAsia="Times New Roman" w:hAnsi="Times New Roman"/>
          <w:sz w:val="14"/>
          <w:szCs w:val="14"/>
          <w:color w:val="auto"/>
        </w:rPr>
      </w:pPr>
      <w:r>
        <w:rPr>
          <w:rFonts w:ascii="Calibri" w:cs="Calibri" w:eastAsia="Calibri" w:hAnsi="Calibri"/>
          <w:sz w:val="18"/>
          <w:szCs w:val="18"/>
          <w:color w:val="auto"/>
        </w:rPr>
        <w:t>reviewing and approving all Board and commitee agendas, approving informaton sent to the Board and providing input to management of the scope and quality of such informaton and on the Board's informaton needs;</w:t>
      </w:r>
    </w:p>
    <w:p>
      <w:pPr>
        <w:spacing w:after="0" w:line="212" w:lineRule="exact"/>
        <w:rPr>
          <w:rFonts w:ascii="Times New Roman" w:cs="Times New Roman" w:eastAsia="Times New Roman" w:hAnsi="Times New Roman"/>
          <w:sz w:val="14"/>
          <w:szCs w:val="14"/>
          <w:color w:val="auto"/>
        </w:rPr>
      </w:pPr>
    </w:p>
    <w:p>
      <w:pPr>
        <w:ind w:left="560" w:hanging="178"/>
        <w:spacing w:after="0"/>
        <w:tabs>
          <w:tab w:leader="none" w:pos="560" w:val="left"/>
        </w:tabs>
        <w:numPr>
          <w:ilvl w:val="0"/>
          <w:numId w:val="14"/>
        </w:numPr>
        <w:rPr>
          <w:rFonts w:ascii="Times New Roman" w:cs="Times New Roman" w:eastAsia="Times New Roman" w:hAnsi="Times New Roman"/>
          <w:sz w:val="14"/>
          <w:szCs w:val="14"/>
          <w:color w:val="auto"/>
        </w:rPr>
      </w:pPr>
      <w:r>
        <w:rPr>
          <w:rFonts w:ascii="Calibri" w:cs="Calibri" w:eastAsia="Calibri" w:hAnsi="Calibri"/>
          <w:sz w:val="18"/>
          <w:szCs w:val="18"/>
          <w:color w:val="auto"/>
        </w:rPr>
        <w:t>having authority to call a special meetng of the Board or the independent directors at any tme, at any place, and for any purpose;</w:t>
      </w:r>
    </w:p>
    <w:p>
      <w:pPr>
        <w:spacing w:after="0" w:line="212" w:lineRule="exact"/>
        <w:rPr>
          <w:rFonts w:ascii="Times New Roman" w:cs="Times New Roman" w:eastAsia="Times New Roman" w:hAnsi="Times New Roman"/>
          <w:sz w:val="14"/>
          <w:szCs w:val="14"/>
          <w:color w:val="auto"/>
        </w:rPr>
      </w:pPr>
    </w:p>
    <w:p>
      <w:pPr>
        <w:ind w:left="560" w:hanging="178"/>
        <w:spacing w:after="0"/>
        <w:tabs>
          <w:tab w:leader="none" w:pos="560" w:val="left"/>
        </w:tabs>
        <w:numPr>
          <w:ilvl w:val="0"/>
          <w:numId w:val="14"/>
        </w:numPr>
        <w:rPr>
          <w:rFonts w:ascii="Times New Roman" w:cs="Times New Roman" w:eastAsia="Times New Roman" w:hAnsi="Times New Roman"/>
          <w:sz w:val="14"/>
          <w:szCs w:val="14"/>
          <w:color w:val="auto"/>
        </w:rPr>
      </w:pPr>
      <w:r>
        <w:rPr>
          <w:rFonts w:ascii="Calibri" w:cs="Calibri" w:eastAsia="Calibri" w:hAnsi="Calibri"/>
          <w:sz w:val="18"/>
          <w:szCs w:val="18"/>
          <w:color w:val="auto"/>
        </w:rPr>
        <w:t>being available for consultaton and direct communicaton with our major shareholders;</w:t>
      </w:r>
    </w:p>
    <w:p>
      <w:pPr>
        <w:spacing w:after="0" w:line="217" w:lineRule="exact"/>
        <w:rPr>
          <w:rFonts w:ascii="Times New Roman" w:cs="Times New Roman" w:eastAsia="Times New Roman" w:hAnsi="Times New Roman"/>
          <w:sz w:val="14"/>
          <w:szCs w:val="14"/>
          <w:color w:val="auto"/>
        </w:rPr>
      </w:pPr>
    </w:p>
    <w:p>
      <w:pPr>
        <w:ind w:left="560" w:hanging="178"/>
        <w:spacing w:after="0" w:line="235" w:lineRule="auto"/>
        <w:tabs>
          <w:tab w:leader="none" w:pos="560" w:val="left"/>
        </w:tabs>
        <w:numPr>
          <w:ilvl w:val="0"/>
          <w:numId w:val="14"/>
        </w:numPr>
        <w:rPr>
          <w:rFonts w:ascii="Times New Roman" w:cs="Times New Roman" w:eastAsia="Times New Roman" w:hAnsi="Times New Roman"/>
          <w:sz w:val="14"/>
          <w:szCs w:val="14"/>
          <w:color w:val="auto"/>
        </w:rPr>
      </w:pPr>
      <w:r>
        <w:rPr>
          <w:rFonts w:ascii="Calibri" w:cs="Calibri" w:eastAsia="Calibri" w:hAnsi="Calibri"/>
          <w:sz w:val="18"/>
          <w:szCs w:val="18"/>
          <w:color w:val="auto"/>
        </w:rPr>
        <w:t>actng as a sounding board and advisor to the Chairman and CEO, including providing guidance to the Chairman and CEO on executng the long-term strategy;</w:t>
      </w:r>
    </w:p>
    <w:p>
      <w:pPr>
        <w:spacing w:after="0" w:line="212" w:lineRule="exact"/>
        <w:rPr>
          <w:rFonts w:ascii="Times New Roman" w:cs="Times New Roman" w:eastAsia="Times New Roman" w:hAnsi="Times New Roman"/>
          <w:sz w:val="14"/>
          <w:szCs w:val="14"/>
          <w:color w:val="auto"/>
        </w:rPr>
      </w:pPr>
    </w:p>
    <w:p>
      <w:pPr>
        <w:ind w:left="560" w:hanging="178"/>
        <w:spacing w:after="0"/>
        <w:tabs>
          <w:tab w:leader="none" w:pos="560" w:val="left"/>
        </w:tabs>
        <w:numPr>
          <w:ilvl w:val="0"/>
          <w:numId w:val="14"/>
        </w:numPr>
        <w:rPr>
          <w:rFonts w:ascii="Times New Roman" w:cs="Times New Roman" w:eastAsia="Times New Roman" w:hAnsi="Times New Roman"/>
          <w:sz w:val="14"/>
          <w:szCs w:val="14"/>
          <w:color w:val="auto"/>
        </w:rPr>
      </w:pPr>
      <w:r>
        <w:rPr>
          <w:rFonts w:ascii="Calibri" w:cs="Calibri" w:eastAsia="Calibri" w:hAnsi="Calibri"/>
          <w:sz w:val="18"/>
          <w:szCs w:val="18"/>
          <w:color w:val="auto"/>
        </w:rPr>
        <w:t>setng the agenda for any meetng of independent directors with inputs from other directors;</w:t>
      </w:r>
    </w:p>
    <w:p>
      <w:pPr>
        <w:spacing w:after="0" w:line="217" w:lineRule="exact"/>
        <w:rPr>
          <w:rFonts w:ascii="Times New Roman" w:cs="Times New Roman" w:eastAsia="Times New Roman" w:hAnsi="Times New Roman"/>
          <w:sz w:val="14"/>
          <w:szCs w:val="14"/>
          <w:color w:val="auto"/>
        </w:rPr>
      </w:pPr>
    </w:p>
    <w:p>
      <w:pPr>
        <w:ind w:left="560" w:hanging="178"/>
        <w:spacing w:after="0" w:line="235" w:lineRule="auto"/>
        <w:tabs>
          <w:tab w:leader="none" w:pos="560" w:val="left"/>
        </w:tabs>
        <w:numPr>
          <w:ilvl w:val="0"/>
          <w:numId w:val="14"/>
        </w:numPr>
        <w:rPr>
          <w:rFonts w:ascii="Times New Roman" w:cs="Times New Roman" w:eastAsia="Times New Roman" w:hAnsi="Times New Roman"/>
          <w:sz w:val="14"/>
          <w:szCs w:val="14"/>
          <w:color w:val="auto"/>
        </w:rPr>
      </w:pPr>
      <w:r>
        <w:rPr>
          <w:rFonts w:ascii="Calibri" w:cs="Calibri" w:eastAsia="Calibri" w:hAnsi="Calibri"/>
          <w:sz w:val="18"/>
          <w:szCs w:val="18"/>
          <w:color w:val="auto"/>
        </w:rPr>
        <w:t>contributng to annual performance review of the Chairman and CEO, and collectng and communicatng to the Chairman and CEO the views and recommendatons of the independent directors relatng to his or her performance other than in connecton with the annual performance review;</w:t>
      </w:r>
    </w:p>
    <w:p>
      <w:pPr>
        <w:spacing w:after="0" w:line="212" w:lineRule="exact"/>
        <w:rPr>
          <w:rFonts w:ascii="Times New Roman" w:cs="Times New Roman" w:eastAsia="Times New Roman" w:hAnsi="Times New Roman"/>
          <w:sz w:val="14"/>
          <w:szCs w:val="14"/>
          <w:color w:val="auto"/>
        </w:rPr>
      </w:pPr>
    </w:p>
    <w:p>
      <w:pPr>
        <w:ind w:left="560" w:hanging="178"/>
        <w:spacing w:after="0"/>
        <w:tabs>
          <w:tab w:leader="none" w:pos="560" w:val="left"/>
        </w:tabs>
        <w:numPr>
          <w:ilvl w:val="0"/>
          <w:numId w:val="14"/>
        </w:numPr>
        <w:rPr>
          <w:rFonts w:ascii="Times New Roman" w:cs="Times New Roman" w:eastAsia="Times New Roman" w:hAnsi="Times New Roman"/>
          <w:sz w:val="14"/>
          <w:szCs w:val="14"/>
          <w:color w:val="auto"/>
        </w:rPr>
      </w:pPr>
      <w:r>
        <w:rPr>
          <w:rFonts w:ascii="Calibri" w:cs="Calibri" w:eastAsia="Calibri" w:hAnsi="Calibri"/>
          <w:sz w:val="18"/>
          <w:szCs w:val="18"/>
          <w:color w:val="auto"/>
        </w:rPr>
        <w:t>partcipatng in succession planning for the Chairman and CEO and talent retenton/development of senior executves;</w:t>
      </w:r>
    </w:p>
    <w:p>
      <w:pPr>
        <w:spacing w:after="0" w:line="388" w:lineRule="exact"/>
        <w:rPr>
          <w:sz w:val="20"/>
          <w:szCs w:val="20"/>
          <w:color w:val="auto"/>
        </w:rPr>
      </w:pPr>
    </w:p>
    <w:p>
      <w:pPr>
        <w:ind w:left="600" w:hanging="592"/>
        <w:spacing w:after="0"/>
        <w:tabs>
          <w:tab w:leader="none" w:pos="600" w:val="left"/>
        </w:tabs>
        <w:numPr>
          <w:ilvl w:val="0"/>
          <w:numId w:val="15"/>
        </w:numPr>
        <w:rPr>
          <w:rFonts w:ascii="Calibri" w:cs="Calibri" w:eastAsia="Calibri" w:hAnsi="Calibri"/>
          <w:sz w:val="18"/>
          <w:szCs w:val="18"/>
          <w:color w:val="auto"/>
        </w:rPr>
      </w:pPr>
      <w:r>
        <w:rPr>
          <w:rFonts w:ascii="Calibri" w:cs="Calibri" w:eastAsia="Calibri" w:hAnsi="Calibri"/>
          <w:sz w:val="18"/>
          <w:szCs w:val="18"/>
          <w:b w:val="1"/>
          <w:bCs w:val="1"/>
          <w:color w:val="EE2724"/>
        </w:rPr>
        <w:t xml:space="preserve">OGE Energy Corp. </w:t>
      </w:r>
      <w:r>
        <w:rPr>
          <w:rFonts w:ascii="Calibri" w:cs="Calibri" w:eastAsia="Calibri" w:hAnsi="Calibri"/>
          <w:sz w:val="18"/>
          <w:szCs w:val="18"/>
          <w:color w:val="00000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1" w:name="page12"/>
    <w:bookmarkEnd w:id="11"/>
    <w:p>
      <w:pPr>
        <w:ind w:left="560" w:hanging="178"/>
        <w:spacing w:after="0"/>
        <w:tabs>
          <w:tab w:leader="none" w:pos="560" w:val="left"/>
        </w:tabs>
        <w:numPr>
          <w:ilvl w:val="0"/>
          <w:numId w:val="16"/>
        </w:numPr>
        <w:rPr>
          <w:rFonts w:ascii="Times New Roman" w:cs="Times New Roman" w:eastAsia="Times New Roman" w:hAnsi="Times New Roman"/>
          <w:sz w:val="14"/>
          <w:szCs w:val="14"/>
          <w:color w:val="auto"/>
        </w:rPr>
      </w:pPr>
      <w:r>
        <w:rPr>
          <w:rFonts w:ascii="Calibri" w:cs="Calibri" w:eastAsia="Calibri" w:hAnsi="Calibri"/>
          <w:sz w:val="18"/>
          <w:szCs w:val="18"/>
          <w:color w:val="auto"/>
        </w:rPr>
        <w:t>encouraging director partcipaton by fostering environment of open dialogue and constructve feedback among independent directors;</w:t>
      </w:r>
    </w:p>
    <w:p>
      <w:pPr>
        <w:spacing w:after="0" w:line="212" w:lineRule="exact"/>
        <w:rPr>
          <w:rFonts w:ascii="Times New Roman" w:cs="Times New Roman" w:eastAsia="Times New Roman" w:hAnsi="Times New Roman"/>
          <w:sz w:val="14"/>
          <w:szCs w:val="14"/>
          <w:color w:val="auto"/>
        </w:rPr>
      </w:pPr>
    </w:p>
    <w:p>
      <w:pPr>
        <w:ind w:left="560" w:hanging="178"/>
        <w:spacing w:after="0"/>
        <w:tabs>
          <w:tab w:leader="none" w:pos="560" w:val="left"/>
        </w:tabs>
        <w:numPr>
          <w:ilvl w:val="0"/>
          <w:numId w:val="16"/>
        </w:numPr>
        <w:rPr>
          <w:rFonts w:ascii="Times New Roman" w:cs="Times New Roman" w:eastAsia="Times New Roman" w:hAnsi="Times New Roman"/>
          <w:sz w:val="14"/>
          <w:szCs w:val="14"/>
          <w:color w:val="auto"/>
        </w:rPr>
      </w:pPr>
      <w:r>
        <w:rPr>
          <w:rFonts w:ascii="Calibri" w:cs="Calibri" w:eastAsia="Calibri" w:hAnsi="Calibri"/>
          <w:sz w:val="18"/>
          <w:szCs w:val="18"/>
          <w:color w:val="auto"/>
        </w:rPr>
        <w:t>helping ensure efcient and efectve Board performance and functoning and conductng discussion of annual evaluaton of Board performance;</w:t>
      </w:r>
    </w:p>
    <w:p>
      <w:pPr>
        <w:spacing w:after="0" w:line="217" w:lineRule="exact"/>
        <w:rPr>
          <w:rFonts w:ascii="Times New Roman" w:cs="Times New Roman" w:eastAsia="Times New Roman" w:hAnsi="Times New Roman"/>
          <w:sz w:val="14"/>
          <w:szCs w:val="14"/>
          <w:color w:val="auto"/>
        </w:rPr>
      </w:pPr>
    </w:p>
    <w:p>
      <w:pPr>
        <w:ind w:left="560" w:hanging="178"/>
        <w:spacing w:after="0"/>
        <w:tabs>
          <w:tab w:leader="none" w:pos="560" w:val="left"/>
        </w:tabs>
        <w:numPr>
          <w:ilvl w:val="0"/>
          <w:numId w:val="16"/>
        </w:numPr>
        <w:rPr>
          <w:rFonts w:ascii="Times New Roman" w:cs="Times New Roman" w:eastAsia="Times New Roman" w:hAnsi="Times New Roman"/>
          <w:sz w:val="13"/>
          <w:szCs w:val="13"/>
          <w:color w:val="auto"/>
        </w:rPr>
      </w:pPr>
      <w:r>
        <w:rPr>
          <w:rFonts w:ascii="Calibri" w:cs="Calibri" w:eastAsia="Calibri" w:hAnsi="Calibri"/>
          <w:sz w:val="17"/>
          <w:szCs w:val="17"/>
          <w:color w:val="auto"/>
        </w:rPr>
        <w:t>ensuring that the Board oversees and periodically reviews the Company's long-term strategy and management's executon of the long-term strategy;</w:t>
      </w:r>
    </w:p>
    <w:p>
      <w:pPr>
        <w:spacing w:after="0" w:line="219" w:lineRule="exact"/>
        <w:rPr>
          <w:rFonts w:ascii="Times New Roman" w:cs="Times New Roman" w:eastAsia="Times New Roman" w:hAnsi="Times New Roman"/>
          <w:sz w:val="13"/>
          <w:szCs w:val="13"/>
          <w:color w:val="auto"/>
        </w:rPr>
      </w:pPr>
    </w:p>
    <w:p>
      <w:pPr>
        <w:ind w:left="560" w:hanging="178"/>
        <w:spacing w:after="0"/>
        <w:tabs>
          <w:tab w:leader="none" w:pos="560" w:val="left"/>
        </w:tabs>
        <w:numPr>
          <w:ilvl w:val="0"/>
          <w:numId w:val="16"/>
        </w:numPr>
        <w:rPr>
          <w:rFonts w:ascii="Times New Roman" w:cs="Times New Roman" w:eastAsia="Times New Roman" w:hAnsi="Times New Roman"/>
          <w:sz w:val="14"/>
          <w:szCs w:val="14"/>
          <w:color w:val="auto"/>
        </w:rPr>
      </w:pPr>
      <w:r>
        <w:rPr>
          <w:rFonts w:ascii="Calibri" w:cs="Calibri" w:eastAsia="Calibri" w:hAnsi="Calibri"/>
          <w:sz w:val="18"/>
          <w:szCs w:val="18"/>
          <w:color w:val="auto"/>
        </w:rPr>
        <w:t>overseeing efectve functoning of Board commitees and providing inputs on functoning of the commitee when needed; and</w:t>
      </w:r>
    </w:p>
    <w:p>
      <w:pPr>
        <w:spacing w:after="0" w:line="212" w:lineRule="exact"/>
        <w:rPr>
          <w:rFonts w:ascii="Times New Roman" w:cs="Times New Roman" w:eastAsia="Times New Roman" w:hAnsi="Times New Roman"/>
          <w:sz w:val="14"/>
          <w:szCs w:val="14"/>
          <w:color w:val="auto"/>
        </w:rPr>
      </w:pPr>
    </w:p>
    <w:p>
      <w:pPr>
        <w:ind w:left="560" w:hanging="178"/>
        <w:spacing w:after="0"/>
        <w:tabs>
          <w:tab w:leader="none" w:pos="560" w:val="left"/>
        </w:tabs>
        <w:numPr>
          <w:ilvl w:val="0"/>
          <w:numId w:val="16"/>
        </w:numPr>
        <w:rPr>
          <w:rFonts w:ascii="Times New Roman" w:cs="Times New Roman" w:eastAsia="Times New Roman" w:hAnsi="Times New Roman"/>
          <w:sz w:val="14"/>
          <w:szCs w:val="14"/>
          <w:color w:val="auto"/>
        </w:rPr>
      </w:pPr>
      <w:r>
        <w:rPr>
          <w:rFonts w:ascii="Calibri" w:cs="Calibri" w:eastAsia="Calibri" w:hAnsi="Calibri"/>
          <w:sz w:val="18"/>
          <w:szCs w:val="18"/>
          <w:color w:val="auto"/>
        </w:rPr>
        <w:t>leading or partcipatng in ad-hoc commitees established to deal with extraordinary maters such as investgatons, mergers and acquisitons.</w:t>
      </w:r>
    </w:p>
    <w:p>
      <w:pPr>
        <w:spacing w:after="0" w:line="217"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i w:val="1"/>
          <w:iCs w:val="1"/>
          <w:color w:val="auto"/>
        </w:rPr>
        <w:t xml:space="preserve">Audit Commitee Financial Expert. </w:t>
      </w:r>
      <w:r>
        <w:rPr>
          <w:rFonts w:ascii="Calibri" w:cs="Calibri" w:eastAsia="Calibri" w:hAnsi="Calibri"/>
          <w:sz w:val="18"/>
          <w:szCs w:val="18"/>
          <w:color w:val="auto"/>
        </w:rPr>
        <w:t>The Board has determined that Ms. Cathy R. Gates, Mr. David L. Hauser, Mr. David E. Rainbolt, and Mr. J. Michael</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Sanner meet the SEC defniton of audit commitee fnancial expert. The Board also has determined that each of Mr. Peter D. Clarke, Ms. Gates, Mr. Hauser, Mr. Rainbolt and Mr. Sanner is independent and is "fnancially literate" within the meaning of the NYSE listng standards.</w:t>
      </w:r>
    </w:p>
    <w:p>
      <w:pPr>
        <w:spacing w:after="0" w:line="219"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i w:val="1"/>
          <w:iCs w:val="1"/>
          <w:color w:val="auto"/>
        </w:rPr>
        <w:t>Process Related to Executve Ofcer and Director Compensaton</w:t>
      </w:r>
      <w:r>
        <w:rPr>
          <w:rFonts w:ascii="Calibri" w:cs="Calibri" w:eastAsia="Calibri" w:hAnsi="Calibri"/>
          <w:sz w:val="18"/>
          <w:szCs w:val="18"/>
          <w:color w:val="auto"/>
        </w:rPr>
        <w:t>. Under the terms of its charter, the Compensaton Commitee has broad authority to</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develop and implement the Company's compensaton policies and programs for executve ofcers and Board members. In partcular the Compensaton Commitee is to:</w:t>
      </w:r>
    </w:p>
    <w:p>
      <w:pPr>
        <w:spacing w:after="0" w:line="214" w:lineRule="exact"/>
        <w:rPr>
          <w:sz w:val="20"/>
          <w:szCs w:val="20"/>
          <w:color w:val="auto"/>
        </w:rPr>
      </w:pPr>
    </w:p>
    <w:p>
      <w:pPr>
        <w:ind w:left="560" w:hanging="178"/>
        <w:spacing w:after="0"/>
        <w:tabs>
          <w:tab w:leader="none" w:pos="560" w:val="left"/>
        </w:tabs>
        <w:numPr>
          <w:ilvl w:val="0"/>
          <w:numId w:val="17"/>
        </w:numPr>
        <w:rPr>
          <w:rFonts w:ascii="Times New Roman" w:cs="Times New Roman" w:eastAsia="Times New Roman" w:hAnsi="Times New Roman"/>
          <w:sz w:val="14"/>
          <w:szCs w:val="14"/>
          <w:color w:val="auto"/>
        </w:rPr>
      </w:pPr>
      <w:r>
        <w:rPr>
          <w:rFonts w:ascii="Calibri" w:cs="Calibri" w:eastAsia="Calibri" w:hAnsi="Calibri"/>
          <w:sz w:val="18"/>
          <w:szCs w:val="18"/>
          <w:color w:val="auto"/>
        </w:rPr>
        <w:t>review and approve corporate goals and objectves relevant to the compensaton of the CEO and other executve ofcers;</w:t>
      </w:r>
    </w:p>
    <w:p>
      <w:pPr>
        <w:spacing w:after="0" w:line="217" w:lineRule="exact"/>
        <w:rPr>
          <w:rFonts w:ascii="Times New Roman" w:cs="Times New Roman" w:eastAsia="Times New Roman" w:hAnsi="Times New Roman"/>
          <w:sz w:val="14"/>
          <w:szCs w:val="14"/>
          <w:color w:val="auto"/>
        </w:rPr>
      </w:pPr>
    </w:p>
    <w:p>
      <w:pPr>
        <w:ind w:left="560" w:hanging="178"/>
        <w:spacing w:after="0" w:line="235" w:lineRule="auto"/>
        <w:tabs>
          <w:tab w:leader="none" w:pos="560" w:val="left"/>
        </w:tabs>
        <w:numPr>
          <w:ilvl w:val="0"/>
          <w:numId w:val="17"/>
        </w:numPr>
        <w:rPr>
          <w:rFonts w:ascii="Times New Roman" w:cs="Times New Roman" w:eastAsia="Times New Roman" w:hAnsi="Times New Roman"/>
          <w:sz w:val="14"/>
          <w:szCs w:val="14"/>
          <w:color w:val="auto"/>
        </w:rPr>
      </w:pPr>
      <w:r>
        <w:rPr>
          <w:rFonts w:ascii="Calibri" w:cs="Calibri" w:eastAsia="Calibri" w:hAnsi="Calibri"/>
          <w:sz w:val="18"/>
          <w:szCs w:val="18"/>
          <w:color w:val="auto"/>
        </w:rPr>
        <w:t>evaluate the performance of the CEO and the other executve ofcers in light of the corporate goals and objectves and set compensaton levels for the executve ofcers;</w:t>
      </w:r>
    </w:p>
    <w:p>
      <w:pPr>
        <w:spacing w:after="0" w:line="217" w:lineRule="exact"/>
        <w:rPr>
          <w:rFonts w:ascii="Times New Roman" w:cs="Times New Roman" w:eastAsia="Times New Roman" w:hAnsi="Times New Roman"/>
          <w:sz w:val="14"/>
          <w:szCs w:val="14"/>
          <w:color w:val="auto"/>
        </w:rPr>
      </w:pPr>
    </w:p>
    <w:p>
      <w:pPr>
        <w:ind w:left="560" w:hanging="178"/>
        <w:spacing w:after="0" w:line="235" w:lineRule="auto"/>
        <w:tabs>
          <w:tab w:leader="none" w:pos="560" w:val="left"/>
        </w:tabs>
        <w:numPr>
          <w:ilvl w:val="0"/>
          <w:numId w:val="17"/>
        </w:numPr>
        <w:rPr>
          <w:rFonts w:ascii="Times New Roman" w:cs="Times New Roman" w:eastAsia="Times New Roman" w:hAnsi="Times New Roman"/>
          <w:sz w:val="14"/>
          <w:szCs w:val="14"/>
          <w:color w:val="auto"/>
        </w:rPr>
      </w:pPr>
      <w:r>
        <w:rPr>
          <w:rFonts w:ascii="Calibri" w:cs="Calibri" w:eastAsia="Calibri" w:hAnsi="Calibri"/>
          <w:sz w:val="18"/>
          <w:szCs w:val="18"/>
          <w:color w:val="auto"/>
        </w:rPr>
        <w:t>recommend to the Board the approval, adopton and amendment of all incentve compensaton plans in which any executve ofcer partcipates and all other equity-based plans;</w:t>
      </w:r>
    </w:p>
    <w:p>
      <w:pPr>
        <w:spacing w:after="0" w:line="217" w:lineRule="exact"/>
        <w:rPr>
          <w:rFonts w:ascii="Times New Roman" w:cs="Times New Roman" w:eastAsia="Times New Roman" w:hAnsi="Times New Roman"/>
          <w:sz w:val="14"/>
          <w:szCs w:val="14"/>
          <w:color w:val="auto"/>
        </w:rPr>
      </w:pPr>
    </w:p>
    <w:p>
      <w:pPr>
        <w:ind w:left="560" w:hanging="178"/>
        <w:spacing w:after="0" w:line="235" w:lineRule="auto"/>
        <w:tabs>
          <w:tab w:leader="none" w:pos="560" w:val="left"/>
        </w:tabs>
        <w:numPr>
          <w:ilvl w:val="0"/>
          <w:numId w:val="17"/>
        </w:numPr>
        <w:rPr>
          <w:rFonts w:ascii="Times New Roman" w:cs="Times New Roman" w:eastAsia="Times New Roman" w:hAnsi="Times New Roman"/>
          <w:sz w:val="14"/>
          <w:szCs w:val="14"/>
          <w:color w:val="auto"/>
        </w:rPr>
      </w:pPr>
      <w:r>
        <w:rPr>
          <w:rFonts w:ascii="Calibri" w:cs="Calibri" w:eastAsia="Calibri" w:hAnsi="Calibri"/>
          <w:sz w:val="18"/>
          <w:szCs w:val="18"/>
          <w:color w:val="auto"/>
        </w:rPr>
        <w:t>administer the equity-based incentve compensaton plans and any other plans adopted by the Board that contemplate administraton by the Compensaton Commitee;</w:t>
      </w:r>
    </w:p>
    <w:p>
      <w:pPr>
        <w:spacing w:after="0" w:line="212" w:lineRule="exact"/>
        <w:rPr>
          <w:rFonts w:ascii="Times New Roman" w:cs="Times New Roman" w:eastAsia="Times New Roman" w:hAnsi="Times New Roman"/>
          <w:sz w:val="14"/>
          <w:szCs w:val="14"/>
          <w:color w:val="auto"/>
        </w:rPr>
      </w:pPr>
    </w:p>
    <w:p>
      <w:pPr>
        <w:ind w:left="560" w:hanging="178"/>
        <w:spacing w:after="0"/>
        <w:tabs>
          <w:tab w:leader="none" w:pos="560" w:val="left"/>
        </w:tabs>
        <w:numPr>
          <w:ilvl w:val="0"/>
          <w:numId w:val="17"/>
        </w:numPr>
        <w:rPr>
          <w:rFonts w:ascii="Times New Roman" w:cs="Times New Roman" w:eastAsia="Times New Roman" w:hAnsi="Times New Roman"/>
          <w:sz w:val="14"/>
          <w:szCs w:val="14"/>
          <w:color w:val="auto"/>
        </w:rPr>
      </w:pPr>
      <w:r>
        <w:rPr>
          <w:rFonts w:ascii="Calibri" w:cs="Calibri" w:eastAsia="Calibri" w:hAnsi="Calibri"/>
          <w:sz w:val="18"/>
          <w:szCs w:val="18"/>
          <w:color w:val="auto"/>
        </w:rPr>
        <w:t>approve all grants of stock optons and other equity-based awards;</w:t>
      </w:r>
    </w:p>
    <w:p>
      <w:pPr>
        <w:spacing w:after="0" w:line="212" w:lineRule="exact"/>
        <w:rPr>
          <w:rFonts w:ascii="Times New Roman" w:cs="Times New Roman" w:eastAsia="Times New Roman" w:hAnsi="Times New Roman"/>
          <w:sz w:val="14"/>
          <w:szCs w:val="14"/>
          <w:color w:val="auto"/>
        </w:rPr>
      </w:pPr>
    </w:p>
    <w:p>
      <w:pPr>
        <w:ind w:left="560" w:hanging="178"/>
        <w:spacing w:after="0"/>
        <w:tabs>
          <w:tab w:leader="none" w:pos="560" w:val="left"/>
        </w:tabs>
        <w:numPr>
          <w:ilvl w:val="0"/>
          <w:numId w:val="17"/>
        </w:numPr>
        <w:rPr>
          <w:rFonts w:ascii="Times New Roman" w:cs="Times New Roman" w:eastAsia="Times New Roman" w:hAnsi="Times New Roman"/>
          <w:sz w:val="14"/>
          <w:szCs w:val="14"/>
          <w:color w:val="auto"/>
        </w:rPr>
      </w:pPr>
      <w:r>
        <w:rPr>
          <w:rFonts w:ascii="Calibri" w:cs="Calibri" w:eastAsia="Calibri" w:hAnsi="Calibri"/>
          <w:sz w:val="18"/>
          <w:szCs w:val="18"/>
          <w:color w:val="auto"/>
        </w:rPr>
        <w:t>review and approve employment, severance or terminaton arrangements for any executve ofcers;</w:t>
      </w:r>
    </w:p>
    <w:p>
      <w:pPr>
        <w:spacing w:after="0" w:line="212" w:lineRule="exact"/>
        <w:rPr>
          <w:rFonts w:ascii="Times New Roman" w:cs="Times New Roman" w:eastAsia="Times New Roman" w:hAnsi="Times New Roman"/>
          <w:sz w:val="14"/>
          <w:szCs w:val="14"/>
          <w:color w:val="auto"/>
        </w:rPr>
      </w:pPr>
    </w:p>
    <w:p>
      <w:pPr>
        <w:ind w:left="560" w:hanging="178"/>
        <w:spacing w:after="0"/>
        <w:tabs>
          <w:tab w:leader="none" w:pos="560" w:val="left"/>
        </w:tabs>
        <w:numPr>
          <w:ilvl w:val="0"/>
          <w:numId w:val="17"/>
        </w:numPr>
        <w:rPr>
          <w:rFonts w:ascii="Times New Roman" w:cs="Times New Roman" w:eastAsia="Times New Roman" w:hAnsi="Times New Roman"/>
          <w:sz w:val="14"/>
          <w:szCs w:val="14"/>
          <w:color w:val="auto"/>
        </w:rPr>
      </w:pPr>
      <w:r>
        <w:rPr>
          <w:rFonts w:ascii="Calibri" w:cs="Calibri" w:eastAsia="Calibri" w:hAnsi="Calibri"/>
          <w:sz w:val="18"/>
          <w:szCs w:val="18"/>
          <w:color w:val="auto"/>
        </w:rPr>
        <w:t>review and evaluate the impact of the Company's compensaton policies and practces on the Company's risk profle and risk management;</w:t>
      </w:r>
    </w:p>
    <w:p>
      <w:pPr>
        <w:spacing w:after="0" w:line="217" w:lineRule="exact"/>
        <w:rPr>
          <w:rFonts w:ascii="Times New Roman" w:cs="Times New Roman" w:eastAsia="Times New Roman" w:hAnsi="Times New Roman"/>
          <w:sz w:val="14"/>
          <w:szCs w:val="14"/>
          <w:color w:val="auto"/>
        </w:rPr>
      </w:pPr>
    </w:p>
    <w:p>
      <w:pPr>
        <w:ind w:left="560" w:hanging="178"/>
        <w:spacing w:after="0" w:line="235" w:lineRule="auto"/>
        <w:tabs>
          <w:tab w:leader="none" w:pos="560" w:val="left"/>
        </w:tabs>
        <w:numPr>
          <w:ilvl w:val="0"/>
          <w:numId w:val="17"/>
        </w:numPr>
        <w:rPr>
          <w:rFonts w:ascii="Times New Roman" w:cs="Times New Roman" w:eastAsia="Times New Roman" w:hAnsi="Times New Roman"/>
          <w:sz w:val="14"/>
          <w:szCs w:val="14"/>
          <w:color w:val="auto"/>
        </w:rPr>
      </w:pPr>
      <w:r>
        <w:rPr>
          <w:rFonts w:ascii="Calibri" w:cs="Calibri" w:eastAsia="Calibri" w:hAnsi="Calibri"/>
          <w:sz w:val="18"/>
          <w:szCs w:val="18"/>
          <w:color w:val="auto"/>
        </w:rPr>
        <w:t>review and approve all services, including the fees for such services, to be provided to the Compensaton Commitee or the Company by a compensaton consultant and its afliates; and</w:t>
      </w:r>
    </w:p>
    <w:p>
      <w:pPr>
        <w:spacing w:after="0" w:line="212" w:lineRule="exact"/>
        <w:rPr>
          <w:rFonts w:ascii="Times New Roman" w:cs="Times New Roman" w:eastAsia="Times New Roman" w:hAnsi="Times New Roman"/>
          <w:sz w:val="14"/>
          <w:szCs w:val="14"/>
          <w:color w:val="auto"/>
        </w:rPr>
      </w:pPr>
    </w:p>
    <w:p>
      <w:pPr>
        <w:ind w:left="560" w:hanging="178"/>
        <w:spacing w:after="0"/>
        <w:tabs>
          <w:tab w:leader="none" w:pos="560" w:val="left"/>
        </w:tabs>
        <w:numPr>
          <w:ilvl w:val="0"/>
          <w:numId w:val="17"/>
        </w:numPr>
        <w:rPr>
          <w:rFonts w:ascii="Times New Roman" w:cs="Times New Roman" w:eastAsia="Times New Roman" w:hAnsi="Times New Roman"/>
          <w:sz w:val="14"/>
          <w:szCs w:val="14"/>
          <w:color w:val="auto"/>
        </w:rPr>
      </w:pPr>
      <w:r>
        <w:rPr>
          <w:rFonts w:ascii="Calibri" w:cs="Calibri" w:eastAsia="Calibri" w:hAnsi="Calibri"/>
          <w:sz w:val="18"/>
          <w:szCs w:val="18"/>
          <w:color w:val="auto"/>
        </w:rPr>
        <w:t>review Board compensaton.</w:t>
      </w:r>
    </w:p>
    <w:p>
      <w:pPr>
        <w:spacing w:after="0" w:line="177"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The Compensaton Commitee may, in its discreton, delegate all or a porton of its dutes and responsibilites to a subcommitee or, to the extent permited by applicable law, to any other body or individual. In partcular, the Compensaton Commitee may delegate the approval of certain transactons to a subcommitee consistng solely of members of the Compensaton Commitee who are "non-employee directors" within the meaning of Rule 16b-3 of the Securites Exchange Act of 1934.</w:t>
      </w:r>
    </w:p>
    <w:p>
      <w:pPr>
        <w:spacing w:after="0" w:line="179"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The process for setng director and executve compensaton in 2023 involved numerous steps. The Compensaton Commitee, with the assistance of Mercer (U.S.) Inc. ("Mercer"), approved a peer group of companies for purposes of targetng</w:t>
      </w:r>
    </w:p>
    <w:p>
      <w:pPr>
        <w:spacing w:after="0" w:line="361" w:lineRule="exact"/>
        <w:rPr>
          <w:sz w:val="20"/>
          <w:szCs w:val="20"/>
          <w:color w:val="auto"/>
        </w:rPr>
      </w:pPr>
    </w:p>
    <w:p>
      <w:pPr>
        <w:ind w:left="600" w:hanging="592"/>
        <w:spacing w:after="0"/>
        <w:tabs>
          <w:tab w:leader="none" w:pos="600" w:val="left"/>
        </w:tabs>
        <w:numPr>
          <w:ilvl w:val="0"/>
          <w:numId w:val="18"/>
        </w:numPr>
        <w:rPr>
          <w:rFonts w:ascii="Calibri" w:cs="Calibri" w:eastAsia="Calibri" w:hAnsi="Calibri"/>
          <w:sz w:val="18"/>
          <w:szCs w:val="18"/>
          <w:color w:val="auto"/>
        </w:rPr>
      </w:pPr>
      <w:r>
        <w:rPr>
          <w:rFonts w:ascii="Calibri" w:cs="Calibri" w:eastAsia="Calibri" w:hAnsi="Calibri"/>
          <w:sz w:val="18"/>
          <w:szCs w:val="18"/>
          <w:b w:val="1"/>
          <w:bCs w:val="1"/>
          <w:color w:val="EE2724"/>
        </w:rPr>
        <w:t xml:space="preserve">OGE Energy Corp. </w:t>
      </w:r>
      <w:r>
        <w:rPr>
          <w:rFonts w:ascii="Calibri" w:cs="Calibri" w:eastAsia="Calibri" w:hAnsi="Calibri"/>
          <w:sz w:val="18"/>
          <w:szCs w:val="18"/>
          <w:color w:val="00000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2" w:name="page13"/>
    <w:bookmarkEnd w:id="12"/>
    <w:p>
      <w:pPr>
        <w:jc w:val="both"/>
        <w:spacing w:after="0" w:line="235" w:lineRule="auto"/>
        <w:rPr>
          <w:sz w:val="20"/>
          <w:szCs w:val="20"/>
          <w:color w:val="auto"/>
        </w:rPr>
      </w:pPr>
      <w:r>
        <w:rPr>
          <w:rFonts w:ascii="Calibri" w:cs="Calibri" w:eastAsia="Calibri" w:hAnsi="Calibri"/>
          <w:sz w:val="18"/>
          <w:szCs w:val="18"/>
          <w:color w:val="auto"/>
        </w:rPr>
        <w:t>executve compensaton as discussed in the Compensaton Discussion and Analysis on page 30. The next step in the process was an annual performance evaluaton of each member of the management team. This process entailed for each member of the management team (other than the CEO) a scoring by such individual's supervisor of various competencies, including the individual's management skills, business knowledge and achievement of various performance and development objectves set at the beginning of the year. These reviews were used by the CEO in making compensaton recommendatons to the Compensaton Commitee.</w:t>
      </w:r>
    </w:p>
    <w:p>
      <w:pPr>
        <w:spacing w:after="0" w:line="180"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The balance of the process for setng director and executve compensaton for 2023 involved actons taken by the Compensaton Commitee. The Compensaton Commitee met in December 2022 and February 2023 to address 2023 compensaton. At the December 2022 meetng, the Compensaton Commitee reviewed with the CEO the performance evaluatons of each ofcer (other than the CEO). The Compensaton Commitee at its December 2022 meetng also reviewed and discussed with the CEO his recommendatons for each member of management (other than the CEO) of 2023 salaries, target annual incentve awards (expressed as a percentage of salary) and target long-term incentve awards (also expressed as a percentage of salary). In additon, the Compensaton Commitee evaluated the CEO's performance at its December 2022 meetng and discussed his potental salary, target annual incentve award and target long-term compensaton for 2023. Following these discussions, the Compensaton Commitee set 2023 salaries and, subject to potental adjustment at its meetngs in February 2023, target annual incentve awards and target long-term compensaton awards for each ofcer. The target annual incentve awards and target long-term compensaton awards were expressed as percentages of salary. The Company performance goals that needed to be achieved for any payouts of such incentve awards were not set at the December 2022 meetng but, instead, were lef for consideraton at the scheduled meetng in February 2023. Senior management in making compensaton recommendatons for an executve in 2023, and the Compensaton Commitee in deciding the executve's compensaton, used as a primary guideline the median market pay data provided by Mercer for an executve with similar responsibilites in the Company peer group. At its meetng in December 2022, the Compensaton Commitee also reviewed and set compensaton for the directors, which is described below under "Director Compensaton."</w:t>
      </w:r>
    </w:p>
    <w:p>
      <w:pPr>
        <w:spacing w:after="0" w:line="228"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Prior to the Compensaton Commitee's meetng in February 2023, the Company's senior management developed recommendatons for the Company performance goals that needed to be met in order for any payouts of 2023 annual incentve awards or 2023 long-term performance-based compensaton awards to occur. The recommended performance goals for the annual incentve awards for the executve ofcers were the same as for all of the other full-tme company employees.</w:t>
      </w:r>
    </w:p>
    <w:p>
      <w:pPr>
        <w:spacing w:after="0" w:line="179"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At the Compensaton Commitee's meetng in February 2023, the Compensaton Commitee reviewed with senior management its recommendatons and basis for Company performance goals for the annual and long-term incentve awards. Following this discussion, the Compensaton Commitee set the 2023 Company performance goals that had to be achieved in order for payouts of such awards to occur. The Compensaton Commitee also approved the form and amount of the long-term compensaton awards, which consisted for ofcers of performance units and tme-based restricted stock units. Consistent with the recommendatons of senior management, those performance goals were the same for the executve ofcers as for all the other recipients of the performance units.</w:t>
      </w:r>
    </w:p>
    <w:p>
      <w:pPr>
        <w:spacing w:after="0" w:line="221"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In 2022, the Compensaton Commitee engaged Mercer as its executve compensaton consultant for 2023. As part of this engagement, Mercer reviewed the Company's current director and executve ofcer compensaton, confrmed the peer group to be used for assessment of director and executve ofcer compensaton and assessed the compettveness of the Company's director and executve ofcer compensaton. Mercer also provided perspectves on market trends. During 2023, Mercer received $269,803 in fees for director and executve ofcer compensaton advisory services to the Compensaton Commitee. Separately, Mercer and its afliates received $14,788 in fees for other services, which related to routne miscellaneous services including annual compensaton surveys. The decision to engage Mercer and its afliates for these other services was reviewed and approved by the Compensaton Commitee. For the reasons described below, the Compensaton Commitee does not believe that the provision of these services afected the objectveness of the executve compensaton advice it receives from Mercer. Since the later half of 2015, the Company has not used Mercer for any services other than the services described above.</w:t>
      </w:r>
    </w:p>
    <w:p>
      <w:pPr>
        <w:spacing w:after="0" w:line="197"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Although the Company retains Mercer and its afliates for other services as described above, the Compensaton Commitee is confdent that the advice it receives from Mercer is objectve and not infuenced by Mercer's or its afliates' relatonships</w:t>
      </w:r>
    </w:p>
    <w:p>
      <w:pPr>
        <w:spacing w:after="0" w:line="348" w:lineRule="exact"/>
        <w:rPr>
          <w:sz w:val="20"/>
          <w:szCs w:val="20"/>
          <w:color w:val="auto"/>
        </w:rPr>
      </w:pPr>
    </w:p>
    <w:p>
      <w:pPr>
        <w:ind w:left="600" w:hanging="592"/>
        <w:spacing w:after="0"/>
        <w:tabs>
          <w:tab w:leader="none" w:pos="600" w:val="left"/>
        </w:tabs>
        <w:numPr>
          <w:ilvl w:val="0"/>
          <w:numId w:val="19"/>
        </w:numPr>
        <w:rPr>
          <w:rFonts w:ascii="Calibri" w:cs="Calibri" w:eastAsia="Calibri" w:hAnsi="Calibri"/>
          <w:sz w:val="18"/>
          <w:szCs w:val="18"/>
          <w:color w:val="auto"/>
        </w:rPr>
      </w:pPr>
      <w:r>
        <w:rPr>
          <w:rFonts w:ascii="Calibri" w:cs="Calibri" w:eastAsia="Calibri" w:hAnsi="Calibri"/>
          <w:sz w:val="18"/>
          <w:szCs w:val="18"/>
          <w:b w:val="1"/>
          <w:bCs w:val="1"/>
          <w:color w:val="EE2724"/>
        </w:rPr>
        <w:t xml:space="preserve">OGE Energy Corp. </w:t>
      </w:r>
      <w:r>
        <w:rPr>
          <w:rFonts w:ascii="Calibri" w:cs="Calibri" w:eastAsia="Calibri" w:hAnsi="Calibri"/>
          <w:sz w:val="18"/>
          <w:szCs w:val="18"/>
          <w:color w:val="00000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3" w:name="page14"/>
    <w:bookmarkEnd w:id="13"/>
    <w:p>
      <w:pPr>
        <w:spacing w:after="0"/>
        <w:rPr>
          <w:sz w:val="20"/>
          <w:szCs w:val="20"/>
          <w:color w:val="auto"/>
        </w:rPr>
      </w:pPr>
      <w:r>
        <w:rPr>
          <w:rFonts w:ascii="Calibri" w:cs="Calibri" w:eastAsia="Calibri" w:hAnsi="Calibri"/>
          <w:sz w:val="17"/>
          <w:szCs w:val="17"/>
          <w:color w:val="auto"/>
        </w:rPr>
        <w:t>with the Company because of the procedures Mercer and the Compensaton Commitee have in place. In partcular, we have been informed by Mercer that:</w:t>
      </w:r>
    </w:p>
    <w:p>
      <w:pPr>
        <w:spacing w:after="0" w:line="184" w:lineRule="exact"/>
        <w:rPr>
          <w:sz w:val="20"/>
          <w:szCs w:val="20"/>
          <w:color w:val="auto"/>
        </w:rPr>
      </w:pPr>
    </w:p>
    <w:p>
      <w:pPr>
        <w:ind w:left="580" w:hanging="198"/>
        <w:spacing w:after="0" w:line="235" w:lineRule="auto"/>
        <w:tabs>
          <w:tab w:leader="none" w:pos="580" w:val="left"/>
        </w:tabs>
        <w:numPr>
          <w:ilvl w:val="0"/>
          <w:numId w:val="20"/>
        </w:numPr>
        <w:rPr>
          <w:rFonts w:ascii="Times New Roman" w:cs="Times New Roman" w:eastAsia="Times New Roman" w:hAnsi="Times New Roman"/>
          <w:sz w:val="14"/>
          <w:szCs w:val="14"/>
          <w:color w:val="auto"/>
        </w:rPr>
      </w:pPr>
      <w:r>
        <w:rPr>
          <w:rFonts w:ascii="Calibri" w:cs="Calibri" w:eastAsia="Calibri" w:hAnsi="Calibri"/>
          <w:sz w:val="18"/>
          <w:szCs w:val="18"/>
          <w:color w:val="auto"/>
        </w:rPr>
        <w:t>the executve compensaton consultant receives no incentve or other compensaton based on the fees charged to the Company for other services provided by Mercer or any of its afliates;</w:t>
      </w:r>
    </w:p>
    <w:p>
      <w:pPr>
        <w:spacing w:after="0" w:line="212" w:lineRule="exact"/>
        <w:rPr>
          <w:rFonts w:ascii="Times New Roman" w:cs="Times New Roman" w:eastAsia="Times New Roman" w:hAnsi="Times New Roman"/>
          <w:sz w:val="14"/>
          <w:szCs w:val="14"/>
          <w:color w:val="auto"/>
        </w:rPr>
      </w:pPr>
    </w:p>
    <w:p>
      <w:pPr>
        <w:ind w:left="560" w:hanging="178"/>
        <w:spacing w:after="0"/>
        <w:tabs>
          <w:tab w:leader="none" w:pos="560" w:val="left"/>
        </w:tabs>
        <w:numPr>
          <w:ilvl w:val="0"/>
          <w:numId w:val="20"/>
        </w:numPr>
        <w:rPr>
          <w:rFonts w:ascii="Times New Roman" w:cs="Times New Roman" w:eastAsia="Times New Roman" w:hAnsi="Times New Roman"/>
          <w:sz w:val="14"/>
          <w:szCs w:val="14"/>
          <w:color w:val="auto"/>
        </w:rPr>
      </w:pPr>
      <w:r>
        <w:rPr>
          <w:rFonts w:ascii="Calibri" w:cs="Calibri" w:eastAsia="Calibri" w:hAnsi="Calibri"/>
          <w:sz w:val="18"/>
          <w:szCs w:val="18"/>
          <w:color w:val="auto"/>
        </w:rPr>
        <w:t>the executve compensaton consultant is not responsible for selling other Mercer or afliate services to the Company; and</w:t>
      </w:r>
    </w:p>
    <w:p>
      <w:pPr>
        <w:spacing w:after="0" w:line="217" w:lineRule="exact"/>
        <w:rPr>
          <w:rFonts w:ascii="Times New Roman" w:cs="Times New Roman" w:eastAsia="Times New Roman" w:hAnsi="Times New Roman"/>
          <w:sz w:val="14"/>
          <w:szCs w:val="14"/>
          <w:color w:val="auto"/>
        </w:rPr>
      </w:pPr>
    </w:p>
    <w:p>
      <w:pPr>
        <w:ind w:left="560" w:hanging="178"/>
        <w:spacing w:after="0" w:line="235" w:lineRule="auto"/>
        <w:tabs>
          <w:tab w:leader="none" w:pos="560" w:val="left"/>
        </w:tabs>
        <w:numPr>
          <w:ilvl w:val="0"/>
          <w:numId w:val="20"/>
        </w:numPr>
        <w:rPr>
          <w:rFonts w:ascii="Times New Roman" w:cs="Times New Roman" w:eastAsia="Times New Roman" w:hAnsi="Times New Roman"/>
          <w:sz w:val="14"/>
          <w:szCs w:val="14"/>
          <w:color w:val="auto"/>
        </w:rPr>
      </w:pPr>
      <w:r>
        <w:rPr>
          <w:rFonts w:ascii="Calibri" w:cs="Calibri" w:eastAsia="Calibri" w:hAnsi="Calibri"/>
          <w:sz w:val="18"/>
          <w:szCs w:val="18"/>
          <w:color w:val="auto"/>
        </w:rPr>
        <w:t>Mercer's professional standards prohibit the individual executve compensaton consultant from considering any other relatonships Mercer or any of its afliates may have with the Company in rendering his or her advice and recommendatons.</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color w:val="auto"/>
        </w:rPr>
        <w:t>In additon:</w:t>
      </w:r>
    </w:p>
    <w:p>
      <w:pPr>
        <w:spacing w:after="0" w:line="212" w:lineRule="exact"/>
        <w:rPr>
          <w:sz w:val="20"/>
          <w:szCs w:val="20"/>
          <w:color w:val="auto"/>
        </w:rPr>
      </w:pPr>
    </w:p>
    <w:p>
      <w:pPr>
        <w:ind w:left="560" w:hanging="178"/>
        <w:spacing w:after="0"/>
        <w:tabs>
          <w:tab w:leader="none" w:pos="560" w:val="left"/>
        </w:tabs>
        <w:numPr>
          <w:ilvl w:val="0"/>
          <w:numId w:val="21"/>
        </w:numPr>
        <w:rPr>
          <w:rFonts w:ascii="Times New Roman" w:cs="Times New Roman" w:eastAsia="Times New Roman" w:hAnsi="Times New Roman"/>
          <w:sz w:val="14"/>
          <w:szCs w:val="14"/>
          <w:color w:val="auto"/>
        </w:rPr>
      </w:pPr>
      <w:r>
        <w:rPr>
          <w:rFonts w:ascii="Calibri" w:cs="Calibri" w:eastAsia="Calibri" w:hAnsi="Calibri"/>
          <w:sz w:val="18"/>
          <w:szCs w:val="18"/>
          <w:color w:val="auto"/>
        </w:rPr>
        <w:t>the Compensaton Commitee has the sole authority to retain and terminate the executve compensaton consultant;</w:t>
      </w:r>
    </w:p>
    <w:p>
      <w:pPr>
        <w:spacing w:after="0" w:line="217" w:lineRule="exact"/>
        <w:rPr>
          <w:rFonts w:ascii="Times New Roman" w:cs="Times New Roman" w:eastAsia="Times New Roman" w:hAnsi="Times New Roman"/>
          <w:sz w:val="14"/>
          <w:szCs w:val="14"/>
          <w:color w:val="auto"/>
        </w:rPr>
      </w:pPr>
    </w:p>
    <w:p>
      <w:pPr>
        <w:ind w:left="560" w:hanging="178"/>
        <w:spacing w:after="0" w:line="235" w:lineRule="auto"/>
        <w:tabs>
          <w:tab w:leader="none" w:pos="560" w:val="left"/>
        </w:tabs>
        <w:numPr>
          <w:ilvl w:val="0"/>
          <w:numId w:val="21"/>
        </w:numPr>
        <w:rPr>
          <w:rFonts w:ascii="Times New Roman" w:cs="Times New Roman" w:eastAsia="Times New Roman" w:hAnsi="Times New Roman"/>
          <w:sz w:val="14"/>
          <w:szCs w:val="14"/>
          <w:color w:val="auto"/>
        </w:rPr>
      </w:pPr>
      <w:r>
        <w:rPr>
          <w:rFonts w:ascii="Calibri" w:cs="Calibri" w:eastAsia="Calibri" w:hAnsi="Calibri"/>
          <w:sz w:val="18"/>
          <w:szCs w:val="18"/>
          <w:color w:val="auto"/>
        </w:rPr>
        <w:t>the Compensaton Commitee reviewed and approved all services, including the fees for such services to be provided to the Compensaton Commitee or the Company by the executve compensaton consultant and its afliates;</w:t>
      </w:r>
    </w:p>
    <w:p>
      <w:pPr>
        <w:spacing w:after="0" w:line="212" w:lineRule="exact"/>
        <w:rPr>
          <w:rFonts w:ascii="Times New Roman" w:cs="Times New Roman" w:eastAsia="Times New Roman" w:hAnsi="Times New Roman"/>
          <w:sz w:val="14"/>
          <w:szCs w:val="14"/>
          <w:color w:val="auto"/>
        </w:rPr>
      </w:pPr>
    </w:p>
    <w:p>
      <w:pPr>
        <w:ind w:left="560" w:hanging="178"/>
        <w:spacing w:after="0"/>
        <w:tabs>
          <w:tab w:leader="none" w:pos="560" w:val="left"/>
        </w:tabs>
        <w:numPr>
          <w:ilvl w:val="0"/>
          <w:numId w:val="21"/>
        </w:numPr>
        <w:rPr>
          <w:rFonts w:ascii="Times New Roman" w:cs="Times New Roman" w:eastAsia="Times New Roman" w:hAnsi="Times New Roman"/>
          <w:sz w:val="14"/>
          <w:szCs w:val="14"/>
          <w:color w:val="auto"/>
        </w:rPr>
      </w:pPr>
      <w:r>
        <w:rPr>
          <w:rFonts w:ascii="Calibri" w:cs="Calibri" w:eastAsia="Calibri" w:hAnsi="Calibri"/>
          <w:sz w:val="18"/>
          <w:szCs w:val="18"/>
          <w:color w:val="auto"/>
        </w:rPr>
        <w:t>the executve compensaton consultant has direct access to the Compensaton Commitee without management interventon;</w:t>
      </w:r>
    </w:p>
    <w:p>
      <w:pPr>
        <w:spacing w:after="0" w:line="217" w:lineRule="exact"/>
        <w:rPr>
          <w:rFonts w:ascii="Times New Roman" w:cs="Times New Roman" w:eastAsia="Times New Roman" w:hAnsi="Times New Roman"/>
          <w:sz w:val="14"/>
          <w:szCs w:val="14"/>
          <w:color w:val="auto"/>
        </w:rPr>
      </w:pPr>
    </w:p>
    <w:p>
      <w:pPr>
        <w:ind w:left="560" w:hanging="178"/>
        <w:spacing w:after="0" w:line="235" w:lineRule="auto"/>
        <w:tabs>
          <w:tab w:leader="none" w:pos="560" w:val="left"/>
        </w:tabs>
        <w:numPr>
          <w:ilvl w:val="0"/>
          <w:numId w:val="21"/>
        </w:numPr>
        <w:rPr>
          <w:rFonts w:ascii="Times New Roman" w:cs="Times New Roman" w:eastAsia="Times New Roman" w:hAnsi="Times New Roman"/>
          <w:sz w:val="14"/>
          <w:szCs w:val="14"/>
          <w:color w:val="auto"/>
        </w:rPr>
      </w:pPr>
      <w:r>
        <w:rPr>
          <w:rFonts w:ascii="Calibri" w:cs="Calibri" w:eastAsia="Calibri" w:hAnsi="Calibri"/>
          <w:sz w:val="18"/>
          <w:szCs w:val="18"/>
          <w:color w:val="auto"/>
        </w:rPr>
        <w:t>the Compensaton Commitee evaluates the quality and objectvity of the services provided by the executve compensaton consultant each year and determines whether to contnue to retain the consultant; and</w:t>
      </w:r>
    </w:p>
    <w:p>
      <w:pPr>
        <w:spacing w:after="0" w:line="212" w:lineRule="exact"/>
        <w:rPr>
          <w:rFonts w:ascii="Times New Roman" w:cs="Times New Roman" w:eastAsia="Times New Roman" w:hAnsi="Times New Roman"/>
          <w:sz w:val="14"/>
          <w:szCs w:val="14"/>
          <w:color w:val="auto"/>
        </w:rPr>
      </w:pPr>
    </w:p>
    <w:p>
      <w:pPr>
        <w:ind w:left="560" w:hanging="178"/>
        <w:spacing w:after="0"/>
        <w:tabs>
          <w:tab w:leader="none" w:pos="560" w:val="left"/>
        </w:tabs>
        <w:numPr>
          <w:ilvl w:val="0"/>
          <w:numId w:val="21"/>
        </w:numPr>
        <w:rPr>
          <w:rFonts w:ascii="Times New Roman" w:cs="Times New Roman" w:eastAsia="Times New Roman" w:hAnsi="Times New Roman"/>
          <w:sz w:val="14"/>
          <w:szCs w:val="14"/>
          <w:color w:val="auto"/>
        </w:rPr>
      </w:pPr>
      <w:r>
        <w:rPr>
          <w:rFonts w:ascii="Calibri" w:cs="Calibri" w:eastAsia="Calibri" w:hAnsi="Calibri"/>
          <w:sz w:val="18"/>
          <w:szCs w:val="18"/>
          <w:color w:val="auto"/>
        </w:rPr>
        <w:t>the protocols for the engagement (described below) limit how the executve compensaton consultant may interact with management.</w:t>
      </w:r>
    </w:p>
    <w:p>
      <w:pPr>
        <w:spacing w:after="0" w:line="217"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While it is necessary for the executve compensaton consultant to interact with management to gather informaton, the Compensaton Commitee has procedures governing if and when such consultant's advice and recommendatons can be shared with management. This approach is intended to protect the Compensaton Commitee's ability to receive objectve advice from the executve compensaton consultant so that the Compensaton Commitee may make independent decisions about executve pay at the Company.</w:t>
      </w:r>
    </w:p>
    <w:p>
      <w:pPr>
        <w:spacing w:after="0" w:line="215" w:lineRule="exact"/>
        <w:rPr>
          <w:sz w:val="20"/>
          <w:szCs w:val="20"/>
          <w:color w:val="auto"/>
        </w:rPr>
      </w:pPr>
    </w:p>
    <w:p>
      <w:pPr>
        <w:ind w:left="380"/>
        <w:spacing w:after="0"/>
        <w:rPr>
          <w:sz w:val="20"/>
          <w:szCs w:val="20"/>
          <w:color w:val="auto"/>
        </w:rPr>
      </w:pPr>
      <w:r>
        <w:rPr>
          <w:rFonts w:ascii="Calibri" w:cs="Calibri" w:eastAsia="Calibri" w:hAnsi="Calibri"/>
          <w:sz w:val="18"/>
          <w:szCs w:val="18"/>
          <w:color w:val="auto"/>
        </w:rPr>
        <w:t>For the reasons discussed above, and afer considering certain independence-related factors, including:</w:t>
      </w:r>
    </w:p>
    <w:p>
      <w:pPr>
        <w:spacing w:after="0" w:line="212" w:lineRule="exact"/>
        <w:rPr>
          <w:sz w:val="20"/>
          <w:szCs w:val="20"/>
          <w:color w:val="auto"/>
        </w:rPr>
      </w:pPr>
    </w:p>
    <w:p>
      <w:pPr>
        <w:ind w:left="560" w:hanging="178"/>
        <w:spacing w:after="0"/>
        <w:tabs>
          <w:tab w:leader="none" w:pos="560" w:val="left"/>
        </w:tabs>
        <w:numPr>
          <w:ilvl w:val="0"/>
          <w:numId w:val="22"/>
        </w:numPr>
        <w:rPr>
          <w:rFonts w:ascii="Times New Roman" w:cs="Times New Roman" w:eastAsia="Times New Roman" w:hAnsi="Times New Roman"/>
          <w:sz w:val="14"/>
          <w:szCs w:val="14"/>
          <w:color w:val="auto"/>
        </w:rPr>
      </w:pPr>
      <w:r>
        <w:rPr>
          <w:rFonts w:ascii="Calibri" w:cs="Calibri" w:eastAsia="Calibri" w:hAnsi="Calibri"/>
          <w:sz w:val="18"/>
          <w:szCs w:val="18"/>
          <w:color w:val="auto"/>
        </w:rPr>
        <w:t>whether Mercer provides other services to the Company;</w:t>
      </w:r>
    </w:p>
    <w:p>
      <w:pPr>
        <w:spacing w:after="0" w:line="212" w:lineRule="exact"/>
        <w:rPr>
          <w:rFonts w:ascii="Times New Roman" w:cs="Times New Roman" w:eastAsia="Times New Roman" w:hAnsi="Times New Roman"/>
          <w:sz w:val="14"/>
          <w:szCs w:val="14"/>
          <w:color w:val="auto"/>
        </w:rPr>
      </w:pPr>
    </w:p>
    <w:p>
      <w:pPr>
        <w:ind w:left="560" w:hanging="178"/>
        <w:spacing w:after="0"/>
        <w:tabs>
          <w:tab w:leader="none" w:pos="560" w:val="left"/>
        </w:tabs>
        <w:numPr>
          <w:ilvl w:val="0"/>
          <w:numId w:val="22"/>
        </w:numPr>
        <w:rPr>
          <w:rFonts w:ascii="Times New Roman" w:cs="Times New Roman" w:eastAsia="Times New Roman" w:hAnsi="Times New Roman"/>
          <w:sz w:val="14"/>
          <w:szCs w:val="14"/>
          <w:color w:val="auto"/>
        </w:rPr>
      </w:pPr>
      <w:r>
        <w:rPr>
          <w:rFonts w:ascii="Calibri" w:cs="Calibri" w:eastAsia="Calibri" w:hAnsi="Calibri"/>
          <w:sz w:val="18"/>
          <w:szCs w:val="18"/>
          <w:color w:val="auto"/>
        </w:rPr>
        <w:t>fees received by Mercer from the Company;</w:t>
      </w:r>
    </w:p>
    <w:p>
      <w:pPr>
        <w:spacing w:after="0" w:line="212" w:lineRule="exact"/>
        <w:rPr>
          <w:rFonts w:ascii="Times New Roman" w:cs="Times New Roman" w:eastAsia="Times New Roman" w:hAnsi="Times New Roman"/>
          <w:sz w:val="14"/>
          <w:szCs w:val="14"/>
          <w:color w:val="auto"/>
        </w:rPr>
      </w:pPr>
    </w:p>
    <w:p>
      <w:pPr>
        <w:ind w:left="560" w:hanging="178"/>
        <w:spacing w:after="0"/>
        <w:tabs>
          <w:tab w:leader="none" w:pos="560" w:val="left"/>
        </w:tabs>
        <w:numPr>
          <w:ilvl w:val="0"/>
          <w:numId w:val="22"/>
        </w:numPr>
        <w:rPr>
          <w:rFonts w:ascii="Times New Roman" w:cs="Times New Roman" w:eastAsia="Times New Roman" w:hAnsi="Times New Roman"/>
          <w:sz w:val="14"/>
          <w:szCs w:val="14"/>
          <w:color w:val="auto"/>
        </w:rPr>
      </w:pPr>
      <w:r>
        <w:rPr>
          <w:rFonts w:ascii="Calibri" w:cs="Calibri" w:eastAsia="Calibri" w:hAnsi="Calibri"/>
          <w:sz w:val="18"/>
          <w:szCs w:val="18"/>
          <w:color w:val="auto"/>
        </w:rPr>
        <w:t>confict of interest policies of Mercer;</w:t>
      </w:r>
    </w:p>
    <w:p>
      <w:pPr>
        <w:spacing w:after="0" w:line="217" w:lineRule="exact"/>
        <w:rPr>
          <w:rFonts w:ascii="Times New Roman" w:cs="Times New Roman" w:eastAsia="Times New Roman" w:hAnsi="Times New Roman"/>
          <w:sz w:val="14"/>
          <w:szCs w:val="14"/>
          <w:color w:val="auto"/>
        </w:rPr>
      </w:pPr>
    </w:p>
    <w:p>
      <w:pPr>
        <w:ind w:left="560" w:right="20" w:hanging="178"/>
        <w:spacing w:after="0" w:line="235" w:lineRule="auto"/>
        <w:tabs>
          <w:tab w:leader="none" w:pos="560" w:val="left"/>
        </w:tabs>
        <w:numPr>
          <w:ilvl w:val="0"/>
          <w:numId w:val="22"/>
        </w:numPr>
        <w:rPr>
          <w:rFonts w:ascii="Times New Roman" w:cs="Times New Roman" w:eastAsia="Times New Roman" w:hAnsi="Times New Roman"/>
          <w:sz w:val="14"/>
          <w:szCs w:val="14"/>
          <w:color w:val="auto"/>
        </w:rPr>
      </w:pPr>
      <w:r>
        <w:rPr>
          <w:rFonts w:ascii="Calibri" w:cs="Calibri" w:eastAsia="Calibri" w:hAnsi="Calibri"/>
          <w:sz w:val="18"/>
          <w:szCs w:val="18"/>
          <w:color w:val="auto"/>
        </w:rPr>
        <w:t>any business or personal relatonships between the individual executve compensaton consultant and members of the Company's Compensaton Commitee;</w:t>
      </w:r>
    </w:p>
    <w:p>
      <w:pPr>
        <w:spacing w:after="0" w:line="212" w:lineRule="exact"/>
        <w:rPr>
          <w:rFonts w:ascii="Times New Roman" w:cs="Times New Roman" w:eastAsia="Times New Roman" w:hAnsi="Times New Roman"/>
          <w:sz w:val="14"/>
          <w:szCs w:val="14"/>
          <w:color w:val="auto"/>
        </w:rPr>
      </w:pPr>
    </w:p>
    <w:p>
      <w:pPr>
        <w:ind w:left="560" w:hanging="178"/>
        <w:spacing w:after="0"/>
        <w:tabs>
          <w:tab w:leader="none" w:pos="560" w:val="left"/>
        </w:tabs>
        <w:numPr>
          <w:ilvl w:val="0"/>
          <w:numId w:val="22"/>
        </w:numPr>
        <w:rPr>
          <w:rFonts w:ascii="Times New Roman" w:cs="Times New Roman" w:eastAsia="Times New Roman" w:hAnsi="Times New Roman"/>
          <w:sz w:val="14"/>
          <w:szCs w:val="14"/>
          <w:color w:val="auto"/>
        </w:rPr>
      </w:pPr>
      <w:r>
        <w:rPr>
          <w:rFonts w:ascii="Calibri" w:cs="Calibri" w:eastAsia="Calibri" w:hAnsi="Calibri"/>
          <w:sz w:val="18"/>
          <w:szCs w:val="18"/>
          <w:color w:val="auto"/>
        </w:rPr>
        <w:t>any ownership of the Company's Common Stock by the individual executve compensaton consultant; and</w:t>
      </w:r>
    </w:p>
    <w:p>
      <w:pPr>
        <w:spacing w:after="0" w:line="217" w:lineRule="exact"/>
        <w:rPr>
          <w:rFonts w:ascii="Times New Roman" w:cs="Times New Roman" w:eastAsia="Times New Roman" w:hAnsi="Times New Roman"/>
          <w:sz w:val="14"/>
          <w:szCs w:val="14"/>
          <w:color w:val="auto"/>
        </w:rPr>
      </w:pPr>
    </w:p>
    <w:p>
      <w:pPr>
        <w:ind w:right="40" w:firstLine="382"/>
        <w:spacing w:after="0" w:line="466" w:lineRule="auto"/>
        <w:tabs>
          <w:tab w:leader="none" w:pos="561" w:val="left"/>
        </w:tabs>
        <w:numPr>
          <w:ilvl w:val="0"/>
          <w:numId w:val="22"/>
        </w:numPr>
        <w:rPr>
          <w:rFonts w:ascii="Times New Roman" w:cs="Times New Roman" w:eastAsia="Times New Roman" w:hAnsi="Times New Roman"/>
          <w:sz w:val="14"/>
          <w:szCs w:val="14"/>
          <w:color w:val="auto"/>
        </w:rPr>
      </w:pPr>
      <w:r>
        <w:rPr>
          <w:rFonts w:ascii="Calibri" w:cs="Calibri" w:eastAsia="Calibri" w:hAnsi="Calibri"/>
          <w:sz w:val="18"/>
          <w:szCs w:val="18"/>
          <w:color w:val="auto"/>
        </w:rPr>
        <w:t>any business or personal relatonships between the individual executve compensaton consultant or Mercer and an executve ofcer of the Company, the Compensaton Commitee determined that there are no conficts of interest with respect to the consultng services provided by Mercer.</w:t>
      </w:r>
    </w:p>
    <w:p>
      <w:pPr>
        <w:spacing w:after="0" w:line="181" w:lineRule="exact"/>
        <w:rPr>
          <w:sz w:val="20"/>
          <w:szCs w:val="20"/>
          <w:color w:val="auto"/>
        </w:rPr>
      </w:pPr>
    </w:p>
    <w:p>
      <w:pPr>
        <w:ind w:left="600" w:hanging="592"/>
        <w:spacing w:after="0"/>
        <w:tabs>
          <w:tab w:leader="none" w:pos="600" w:val="left"/>
        </w:tabs>
        <w:numPr>
          <w:ilvl w:val="0"/>
          <w:numId w:val="23"/>
        </w:numPr>
        <w:rPr>
          <w:rFonts w:ascii="Calibri" w:cs="Calibri" w:eastAsia="Calibri" w:hAnsi="Calibri"/>
          <w:sz w:val="18"/>
          <w:szCs w:val="18"/>
          <w:color w:val="auto"/>
        </w:rPr>
      </w:pPr>
      <w:r>
        <w:rPr>
          <w:rFonts w:ascii="Calibri" w:cs="Calibri" w:eastAsia="Calibri" w:hAnsi="Calibri"/>
          <w:sz w:val="18"/>
          <w:szCs w:val="18"/>
          <w:b w:val="1"/>
          <w:bCs w:val="1"/>
          <w:color w:val="EE2724"/>
        </w:rPr>
        <w:t xml:space="preserve">OGE Energy Corp. </w:t>
      </w:r>
      <w:r>
        <w:rPr>
          <w:rFonts w:ascii="Calibri" w:cs="Calibri" w:eastAsia="Calibri" w:hAnsi="Calibri"/>
          <w:sz w:val="18"/>
          <w:szCs w:val="18"/>
          <w:color w:val="00000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4" w:name="page15"/>
    <w:bookmarkEnd w:id="14"/>
    <w:p>
      <w:pPr>
        <w:jc w:val="both"/>
        <w:ind w:firstLine="374"/>
        <w:spacing w:after="0" w:line="235" w:lineRule="auto"/>
        <w:rPr>
          <w:sz w:val="20"/>
          <w:szCs w:val="20"/>
          <w:color w:val="auto"/>
        </w:rPr>
      </w:pPr>
      <w:r>
        <w:rPr>
          <w:rFonts w:ascii="Calibri" w:cs="Calibri" w:eastAsia="Calibri" w:hAnsi="Calibri"/>
          <w:sz w:val="18"/>
          <w:szCs w:val="18"/>
          <w:i w:val="1"/>
          <w:iCs w:val="1"/>
          <w:color w:val="auto"/>
        </w:rPr>
        <w:t>Risk Oversight</w:t>
      </w:r>
      <w:r>
        <w:rPr>
          <w:rFonts w:ascii="Calibri" w:cs="Calibri" w:eastAsia="Calibri" w:hAnsi="Calibri"/>
          <w:sz w:val="18"/>
          <w:szCs w:val="18"/>
          <w:color w:val="auto"/>
        </w:rPr>
        <w:t>. The Board of Directors is responsible for reviewing and overseeing the long-term strategic plans and principal issues facing the Company</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and includes the oversight of the major risk exposures and the risk management actvites of the Company. As part of its risk oversight role, the Board delegates specifc roles to its commitees to help ensure risks, mitgatons and opportunites are appropriately monitored and managed.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Borders>
              <w:top w:val="single" w:sz="8" w:color="auto"/>
            </w:tcBorders>
          </w:tcPr>
          <w:p>
            <w:pPr>
              <w:ind w:left="120"/>
              <w:spacing w:after="0"/>
              <w:rPr>
                <w:sz w:val="20"/>
                <w:szCs w:val="20"/>
                <w:color w:val="auto"/>
              </w:rPr>
            </w:pPr>
            <w:r>
              <w:rPr>
                <w:rFonts w:ascii="Calibri" w:cs="Calibri" w:eastAsia="Calibri" w:hAnsi="Calibri"/>
                <w:sz w:val="18"/>
                <w:szCs w:val="18"/>
                <w:b w:val="1"/>
                <w:bCs w:val="1"/>
                <w:color w:val="auto"/>
              </w:rPr>
              <w:t>Board Oversight</w:t>
            </w:r>
          </w:p>
        </w:tc>
        <w:tc>
          <w:tcPr>
            <w:tcW w:w="200" w:type="dxa"/>
            <w:vAlign w:val="bottom"/>
            <w:tcBorders>
              <w:top w:val="single" w:sz="8" w:color="auto"/>
            </w:tcBorders>
            <w:shd w:val="clear" w:color="auto" w:fill="E5E5E5"/>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960" w:type="dxa"/>
            <w:vAlign w:val="bottom"/>
            <w:tcBorders>
              <w:top w:val="single" w:sz="8" w:color="auto"/>
            </w:tcBorders>
            <w:shd w:val="clear" w:color="auto" w:fill="E5E5E5"/>
          </w:tcPr>
          <w:p>
            <w:pPr>
              <w:ind w:left="40"/>
              <w:spacing w:after="0"/>
              <w:rPr>
                <w:sz w:val="20"/>
                <w:szCs w:val="20"/>
                <w:color w:val="auto"/>
              </w:rPr>
            </w:pPr>
            <w:r>
              <w:rPr>
                <w:rFonts w:ascii="Calibri" w:cs="Calibri" w:eastAsia="Calibri" w:hAnsi="Calibri"/>
                <w:sz w:val="18"/>
                <w:szCs w:val="18"/>
                <w:color w:val="auto"/>
              </w:rPr>
              <w:t>The Board is supported in risk oversight responsibilites by various commitees of the Board and</w:t>
            </w:r>
          </w:p>
        </w:tc>
      </w:tr>
      <w:tr>
        <w:trPr>
          <w:trHeight w:val="232"/>
        </w:trPr>
        <w:tc>
          <w:tcPr>
            <w:tcW w:w="3080" w:type="dxa"/>
            <w:vAlign w:val="bottom"/>
          </w:tcPr>
          <w:p>
            <w:pPr>
              <w:spacing w:after="0"/>
              <w:rPr>
                <w:sz w:val="20"/>
                <w:szCs w:val="20"/>
                <w:color w:val="auto"/>
              </w:rPr>
            </w:pPr>
          </w:p>
        </w:tc>
        <w:tc>
          <w:tcPr>
            <w:tcW w:w="200" w:type="dxa"/>
            <w:vAlign w:val="bottom"/>
            <w:tcBorders>
              <w:bottom w:val="single" w:sz="8" w:color="E5E5E5"/>
            </w:tcBorders>
            <w:shd w:val="clear" w:color="auto" w:fill="E5E5E5"/>
          </w:tcPr>
          <w:p>
            <w:pPr>
              <w:spacing w:after="0"/>
              <w:rPr>
                <w:sz w:val="20"/>
                <w:szCs w:val="20"/>
                <w:color w:val="auto"/>
              </w:rPr>
            </w:pPr>
          </w:p>
        </w:tc>
        <w:tc>
          <w:tcPr>
            <w:tcW w:w="7960" w:type="dxa"/>
            <w:vAlign w:val="bottom"/>
            <w:tcBorders>
              <w:bottom w:val="single" w:sz="8" w:color="E5E5E5"/>
            </w:tcBorders>
            <w:shd w:val="clear" w:color="auto" w:fill="E5E5E5"/>
          </w:tcPr>
          <w:p>
            <w:pPr>
              <w:ind w:left="40"/>
              <w:spacing w:after="0" w:line="215" w:lineRule="exact"/>
              <w:rPr>
                <w:sz w:val="20"/>
                <w:szCs w:val="20"/>
                <w:color w:val="auto"/>
              </w:rPr>
            </w:pPr>
            <w:r>
              <w:rPr>
                <w:rFonts w:ascii="Calibri" w:cs="Calibri" w:eastAsia="Calibri" w:hAnsi="Calibri"/>
                <w:sz w:val="18"/>
                <w:szCs w:val="18"/>
                <w:color w:val="auto"/>
              </w:rPr>
              <w:t>management.</w:t>
            </w:r>
          </w:p>
        </w:tc>
      </w:tr>
      <w:tr>
        <w:trPr>
          <w:trHeight w:val="221"/>
        </w:trPr>
        <w:tc>
          <w:tcPr>
            <w:tcW w:w="3080" w:type="dxa"/>
            <w:vAlign w:val="bottom"/>
          </w:tcPr>
          <w:p>
            <w:pPr>
              <w:spacing w:after="0"/>
              <w:rPr>
                <w:sz w:val="19"/>
                <w:szCs w:val="19"/>
                <w:color w:val="auto"/>
              </w:rPr>
            </w:pPr>
          </w:p>
        </w:tc>
        <w:tc>
          <w:tcPr>
            <w:tcW w:w="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960" w:type="dxa"/>
            <w:vAlign w:val="bottom"/>
          </w:tcPr>
          <w:p>
            <w:pPr>
              <w:ind w:left="40"/>
              <w:spacing w:after="0"/>
              <w:rPr>
                <w:sz w:val="20"/>
                <w:szCs w:val="20"/>
                <w:color w:val="auto"/>
              </w:rPr>
            </w:pPr>
            <w:r>
              <w:rPr>
                <w:rFonts w:ascii="Calibri" w:cs="Calibri" w:eastAsia="Calibri" w:hAnsi="Calibri"/>
                <w:sz w:val="18"/>
                <w:szCs w:val="18"/>
                <w:color w:val="auto"/>
              </w:rPr>
              <w:t>These commitees and other members of management provide regular reports to the Board on the risks and</w:t>
            </w:r>
          </w:p>
        </w:tc>
      </w:tr>
      <w:tr>
        <w:trPr>
          <w:trHeight w:val="215"/>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960" w:type="dxa"/>
            <w:vAlign w:val="bottom"/>
          </w:tcPr>
          <w:p>
            <w:pPr>
              <w:ind w:left="40"/>
              <w:spacing w:after="0" w:line="215" w:lineRule="exact"/>
              <w:rPr>
                <w:sz w:val="20"/>
                <w:szCs w:val="20"/>
                <w:color w:val="auto"/>
              </w:rPr>
            </w:pPr>
            <w:r>
              <w:rPr>
                <w:rFonts w:ascii="Calibri" w:cs="Calibri" w:eastAsia="Calibri" w:hAnsi="Calibri"/>
                <w:sz w:val="18"/>
                <w:szCs w:val="18"/>
                <w:color w:val="auto"/>
              </w:rPr>
              <w:t>opportunites facing the Company, including maters related to climate, regulatory risk/recoverability,</w:t>
            </w:r>
          </w:p>
        </w:tc>
      </w:tr>
      <w:tr>
        <w:trPr>
          <w:trHeight w:val="216"/>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960" w:type="dxa"/>
            <w:vAlign w:val="bottom"/>
          </w:tcPr>
          <w:p>
            <w:pPr>
              <w:ind w:left="40"/>
              <w:spacing w:after="0" w:line="216" w:lineRule="exact"/>
              <w:rPr>
                <w:sz w:val="20"/>
                <w:szCs w:val="20"/>
                <w:color w:val="auto"/>
              </w:rPr>
            </w:pPr>
            <w:r>
              <w:rPr>
                <w:rFonts w:ascii="Calibri" w:cs="Calibri" w:eastAsia="Calibri" w:hAnsi="Calibri"/>
                <w:sz w:val="18"/>
                <w:szCs w:val="18"/>
                <w:color w:val="auto"/>
              </w:rPr>
              <w:t>disruptons to fuel supply and the electric grid, operatons outages and accidents, catastrophic weather</w:t>
            </w:r>
          </w:p>
        </w:tc>
      </w:tr>
      <w:tr>
        <w:trPr>
          <w:trHeight w:val="216"/>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960" w:type="dxa"/>
            <w:vAlign w:val="bottom"/>
          </w:tcPr>
          <w:p>
            <w:pPr>
              <w:ind w:left="40"/>
              <w:spacing w:after="0" w:line="216" w:lineRule="exact"/>
              <w:rPr>
                <w:sz w:val="20"/>
                <w:szCs w:val="20"/>
                <w:color w:val="auto"/>
              </w:rPr>
            </w:pPr>
            <w:r>
              <w:rPr>
                <w:rFonts w:ascii="Calibri" w:cs="Calibri" w:eastAsia="Calibri" w:hAnsi="Calibri"/>
                <w:sz w:val="18"/>
                <w:szCs w:val="18"/>
                <w:color w:val="auto"/>
              </w:rPr>
              <w:t>events, increased costs, industry technology, legislatve and regulatory policy, economic conditons,</w:t>
            </w:r>
          </w:p>
        </w:tc>
      </w:tr>
      <w:tr>
        <w:trPr>
          <w:trHeight w:val="216"/>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960" w:type="dxa"/>
            <w:vAlign w:val="bottom"/>
          </w:tcPr>
          <w:p>
            <w:pPr>
              <w:ind w:left="40"/>
              <w:spacing w:after="0" w:line="216" w:lineRule="exact"/>
              <w:rPr>
                <w:sz w:val="20"/>
                <w:szCs w:val="20"/>
                <w:color w:val="auto"/>
              </w:rPr>
            </w:pPr>
            <w:r>
              <w:rPr>
                <w:rFonts w:ascii="Calibri" w:cs="Calibri" w:eastAsia="Calibri" w:hAnsi="Calibri"/>
                <w:sz w:val="18"/>
                <w:szCs w:val="18"/>
                <w:color w:val="auto"/>
              </w:rPr>
              <w:t>cybersecurity, terrorism, health epidemics, and human capital management.</w:t>
            </w:r>
          </w:p>
        </w:tc>
      </w:tr>
      <w:tr>
        <w:trPr>
          <w:trHeight w:val="37"/>
        </w:trPr>
        <w:tc>
          <w:tcPr>
            <w:tcW w:w="3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960" w:type="dxa"/>
            <w:vAlign w:val="bottom"/>
          </w:tcPr>
          <w:p>
            <w:pPr>
              <w:spacing w:after="0"/>
              <w:rPr>
                <w:sz w:val="3"/>
                <w:szCs w:val="3"/>
                <w:color w:val="auto"/>
              </w:rPr>
            </w:pPr>
          </w:p>
        </w:tc>
      </w:tr>
      <w:tr>
        <w:trPr>
          <w:trHeight w:val="221"/>
        </w:trPr>
        <w:tc>
          <w:tcPr>
            <w:tcW w:w="3080" w:type="dxa"/>
            <w:vAlign w:val="bottom"/>
          </w:tcPr>
          <w:p>
            <w:pPr>
              <w:spacing w:after="0"/>
              <w:rPr>
                <w:sz w:val="19"/>
                <w:szCs w:val="19"/>
                <w:color w:val="auto"/>
              </w:rPr>
            </w:pPr>
          </w:p>
        </w:tc>
        <w:tc>
          <w:tcPr>
            <w:tcW w:w="200" w:type="dxa"/>
            <w:vAlign w:val="bottom"/>
            <w:shd w:val="clear" w:color="auto" w:fill="E5E5E5"/>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960" w:type="dxa"/>
            <w:vAlign w:val="bottom"/>
            <w:shd w:val="clear" w:color="auto" w:fill="E5E5E5"/>
          </w:tcPr>
          <w:p>
            <w:pPr>
              <w:ind w:left="40"/>
              <w:spacing w:after="0"/>
              <w:rPr>
                <w:sz w:val="20"/>
                <w:szCs w:val="20"/>
                <w:color w:val="auto"/>
              </w:rPr>
            </w:pPr>
            <w:r>
              <w:rPr>
                <w:rFonts w:ascii="Calibri" w:cs="Calibri" w:eastAsia="Calibri" w:hAnsi="Calibri"/>
                <w:sz w:val="18"/>
                <w:szCs w:val="18"/>
                <w:color w:val="auto"/>
                <w:w w:val="99"/>
              </w:rPr>
              <w:t>The Board and commitees receive reports and updates related to risks and opportunites facing the Company</w:t>
            </w:r>
          </w:p>
        </w:tc>
      </w:tr>
      <w:tr>
        <w:trPr>
          <w:trHeight w:val="232"/>
        </w:trPr>
        <w:tc>
          <w:tcPr>
            <w:tcW w:w="3080" w:type="dxa"/>
            <w:vAlign w:val="bottom"/>
          </w:tcPr>
          <w:p>
            <w:pPr>
              <w:spacing w:after="0"/>
              <w:rPr>
                <w:sz w:val="20"/>
                <w:szCs w:val="20"/>
                <w:color w:val="auto"/>
              </w:rPr>
            </w:pPr>
          </w:p>
        </w:tc>
        <w:tc>
          <w:tcPr>
            <w:tcW w:w="200" w:type="dxa"/>
            <w:vAlign w:val="bottom"/>
            <w:tcBorders>
              <w:bottom w:val="single" w:sz="8" w:color="E5E5E5"/>
            </w:tcBorders>
            <w:shd w:val="clear" w:color="auto" w:fill="E5E5E5"/>
          </w:tcPr>
          <w:p>
            <w:pPr>
              <w:spacing w:after="0"/>
              <w:rPr>
                <w:sz w:val="20"/>
                <w:szCs w:val="20"/>
                <w:color w:val="auto"/>
              </w:rPr>
            </w:pPr>
          </w:p>
        </w:tc>
        <w:tc>
          <w:tcPr>
            <w:tcW w:w="7960" w:type="dxa"/>
            <w:vAlign w:val="bottom"/>
            <w:tcBorders>
              <w:bottom w:val="single" w:sz="8" w:color="E5E5E5"/>
            </w:tcBorders>
            <w:shd w:val="clear" w:color="auto" w:fill="E5E5E5"/>
          </w:tcPr>
          <w:p>
            <w:pPr>
              <w:ind w:left="40"/>
              <w:spacing w:after="0" w:line="215" w:lineRule="exact"/>
              <w:rPr>
                <w:sz w:val="20"/>
                <w:szCs w:val="20"/>
                <w:color w:val="auto"/>
              </w:rPr>
            </w:pPr>
            <w:r>
              <w:rPr>
                <w:rFonts w:ascii="Calibri" w:cs="Calibri" w:eastAsia="Calibri" w:hAnsi="Calibri"/>
                <w:sz w:val="18"/>
                <w:szCs w:val="18"/>
                <w:color w:val="auto"/>
              </w:rPr>
              <w:t>from internal expertse or outside experts.</w:t>
            </w:r>
          </w:p>
        </w:tc>
      </w:tr>
      <w:tr>
        <w:trPr>
          <w:trHeight w:val="243"/>
        </w:trPr>
        <w:tc>
          <w:tcPr>
            <w:tcW w:w="3080" w:type="dxa"/>
            <w:vAlign w:val="bottom"/>
          </w:tcPr>
          <w:p>
            <w:pPr>
              <w:spacing w:after="0"/>
              <w:rPr>
                <w:sz w:val="21"/>
                <w:szCs w:val="21"/>
                <w:color w:val="auto"/>
              </w:rPr>
            </w:pPr>
          </w:p>
        </w:tc>
        <w:tc>
          <w:tcPr>
            <w:tcW w:w="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960" w:type="dxa"/>
            <w:vAlign w:val="bottom"/>
          </w:tcPr>
          <w:p>
            <w:pPr>
              <w:ind w:left="40"/>
              <w:spacing w:after="0"/>
              <w:rPr>
                <w:sz w:val="20"/>
                <w:szCs w:val="20"/>
                <w:color w:val="auto"/>
              </w:rPr>
            </w:pPr>
            <w:r>
              <w:rPr>
                <w:rFonts w:ascii="Calibri" w:cs="Calibri" w:eastAsia="Calibri" w:hAnsi="Calibri"/>
                <w:sz w:val="18"/>
                <w:szCs w:val="18"/>
                <w:color w:val="auto"/>
              </w:rPr>
              <w:t>The Audit Commitee is responsible for overall risk management and fnancial risk exposure.</w:t>
            </w:r>
          </w:p>
        </w:tc>
      </w:tr>
      <w:tr>
        <w:trPr>
          <w:trHeight w:val="54"/>
        </w:trPr>
        <w:tc>
          <w:tcPr>
            <w:tcW w:w="30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960" w:type="dxa"/>
            <w:vAlign w:val="bottom"/>
          </w:tcPr>
          <w:p>
            <w:pPr>
              <w:spacing w:after="0"/>
              <w:rPr>
                <w:sz w:val="4"/>
                <w:szCs w:val="4"/>
                <w:color w:val="auto"/>
              </w:rPr>
            </w:pPr>
          </w:p>
        </w:tc>
      </w:tr>
      <w:tr>
        <w:trPr>
          <w:trHeight w:val="221"/>
        </w:trPr>
        <w:tc>
          <w:tcPr>
            <w:tcW w:w="3080" w:type="dxa"/>
            <w:vAlign w:val="bottom"/>
          </w:tcPr>
          <w:p>
            <w:pPr>
              <w:spacing w:after="0"/>
              <w:rPr>
                <w:sz w:val="19"/>
                <w:szCs w:val="19"/>
                <w:color w:val="auto"/>
              </w:rPr>
            </w:pPr>
          </w:p>
        </w:tc>
        <w:tc>
          <w:tcPr>
            <w:tcW w:w="200" w:type="dxa"/>
            <w:vAlign w:val="bottom"/>
            <w:shd w:val="clear" w:color="auto" w:fill="E5E5E5"/>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960" w:type="dxa"/>
            <w:vAlign w:val="bottom"/>
            <w:shd w:val="clear" w:color="auto" w:fill="E5E5E5"/>
          </w:tcPr>
          <w:p>
            <w:pPr>
              <w:ind w:left="40"/>
              <w:spacing w:after="0"/>
              <w:rPr>
                <w:sz w:val="20"/>
                <w:szCs w:val="20"/>
                <w:color w:val="auto"/>
              </w:rPr>
            </w:pPr>
            <w:r>
              <w:rPr>
                <w:rFonts w:ascii="Calibri" w:cs="Calibri" w:eastAsia="Calibri" w:hAnsi="Calibri"/>
                <w:sz w:val="18"/>
                <w:szCs w:val="18"/>
                <w:color w:val="auto"/>
              </w:rPr>
              <w:t>The Compensaton Commitee is responsible for review and evaluaton of the impact of compensaton</w:t>
            </w:r>
          </w:p>
        </w:tc>
      </w:tr>
      <w:tr>
        <w:trPr>
          <w:trHeight w:val="232"/>
        </w:trPr>
        <w:tc>
          <w:tcPr>
            <w:tcW w:w="3080" w:type="dxa"/>
            <w:vAlign w:val="bottom"/>
          </w:tcPr>
          <w:p>
            <w:pPr>
              <w:spacing w:after="0"/>
              <w:rPr>
                <w:sz w:val="20"/>
                <w:szCs w:val="20"/>
                <w:color w:val="auto"/>
              </w:rPr>
            </w:pPr>
          </w:p>
        </w:tc>
        <w:tc>
          <w:tcPr>
            <w:tcW w:w="200" w:type="dxa"/>
            <w:vAlign w:val="bottom"/>
            <w:tcBorders>
              <w:bottom w:val="single" w:sz="8" w:color="E5E5E5"/>
            </w:tcBorders>
            <w:shd w:val="clear" w:color="auto" w:fill="E5E5E5"/>
          </w:tcPr>
          <w:p>
            <w:pPr>
              <w:spacing w:after="0"/>
              <w:rPr>
                <w:sz w:val="20"/>
                <w:szCs w:val="20"/>
                <w:color w:val="auto"/>
              </w:rPr>
            </w:pPr>
          </w:p>
        </w:tc>
        <w:tc>
          <w:tcPr>
            <w:tcW w:w="7960" w:type="dxa"/>
            <w:vAlign w:val="bottom"/>
            <w:tcBorders>
              <w:bottom w:val="single" w:sz="8" w:color="E5E5E5"/>
            </w:tcBorders>
            <w:shd w:val="clear" w:color="auto" w:fill="E5E5E5"/>
          </w:tcPr>
          <w:p>
            <w:pPr>
              <w:ind w:left="40"/>
              <w:spacing w:after="0" w:line="215" w:lineRule="exact"/>
              <w:rPr>
                <w:sz w:val="20"/>
                <w:szCs w:val="20"/>
                <w:color w:val="auto"/>
              </w:rPr>
            </w:pPr>
            <w:r>
              <w:rPr>
                <w:rFonts w:ascii="Calibri" w:cs="Calibri" w:eastAsia="Calibri" w:hAnsi="Calibri"/>
                <w:sz w:val="18"/>
                <w:szCs w:val="18"/>
                <w:color w:val="auto"/>
              </w:rPr>
              <w:t>policies and practces on the Company's risk profle and risk management.</w:t>
            </w:r>
          </w:p>
        </w:tc>
      </w:tr>
      <w:tr>
        <w:trPr>
          <w:trHeight w:val="243"/>
        </w:trPr>
        <w:tc>
          <w:tcPr>
            <w:tcW w:w="3080" w:type="dxa"/>
            <w:vAlign w:val="bottom"/>
          </w:tcPr>
          <w:p>
            <w:pPr>
              <w:spacing w:after="0"/>
              <w:rPr>
                <w:sz w:val="21"/>
                <w:szCs w:val="21"/>
                <w:color w:val="auto"/>
              </w:rPr>
            </w:pPr>
          </w:p>
        </w:tc>
        <w:tc>
          <w:tcPr>
            <w:tcW w:w="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960" w:type="dxa"/>
            <w:vAlign w:val="bottom"/>
          </w:tcPr>
          <w:p>
            <w:pPr>
              <w:ind w:left="40"/>
              <w:spacing w:after="0"/>
              <w:rPr>
                <w:sz w:val="20"/>
                <w:szCs w:val="20"/>
                <w:color w:val="auto"/>
              </w:rPr>
            </w:pPr>
            <w:r>
              <w:rPr>
                <w:rFonts w:ascii="Calibri" w:cs="Calibri" w:eastAsia="Calibri" w:hAnsi="Calibri"/>
                <w:sz w:val="18"/>
                <w:szCs w:val="18"/>
                <w:color w:val="auto"/>
              </w:rPr>
              <w:t>The Nominatng, Corporate Governance and Stewardship Commitee is responsible for:</w:t>
            </w:r>
          </w:p>
        </w:tc>
      </w:tr>
      <w:tr>
        <w:trPr>
          <w:trHeight w:val="54"/>
        </w:trPr>
        <w:tc>
          <w:tcPr>
            <w:tcW w:w="30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960" w:type="dxa"/>
            <w:vAlign w:val="bottom"/>
          </w:tcPr>
          <w:p>
            <w:pPr>
              <w:spacing w:after="0"/>
              <w:rPr>
                <w:sz w:val="4"/>
                <w:szCs w:val="4"/>
                <w:color w:val="auto"/>
              </w:rPr>
            </w:pPr>
          </w:p>
        </w:tc>
      </w:tr>
      <w:tr>
        <w:trPr>
          <w:trHeight w:val="221"/>
        </w:trPr>
        <w:tc>
          <w:tcPr>
            <w:tcW w:w="3080" w:type="dxa"/>
            <w:vAlign w:val="bottom"/>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7960" w:type="dxa"/>
            <w:vAlign w:val="bottom"/>
            <w:shd w:val="clear" w:color="auto" w:fill="E5E5E5"/>
          </w:tcPr>
          <w:p>
            <w:pPr>
              <w:ind w:left="240"/>
              <w:spacing w:after="0"/>
              <w:rPr>
                <w:sz w:val="20"/>
                <w:szCs w:val="20"/>
                <w:color w:val="auto"/>
              </w:rPr>
            </w:pPr>
            <w:r>
              <w:rPr>
                <w:rFonts w:ascii="Times New Roman" w:cs="Times New Roman" w:eastAsia="Times New Roman" w:hAnsi="Times New Roman"/>
                <w:sz w:val="18"/>
                <w:szCs w:val="18"/>
                <w:color w:val="auto"/>
              </w:rPr>
              <w:t xml:space="preserve">◦ </w:t>
            </w:r>
            <w:r>
              <w:rPr>
                <w:rFonts w:ascii="Calibri" w:cs="Calibri" w:eastAsia="Calibri" w:hAnsi="Calibri"/>
                <w:sz w:val="18"/>
                <w:szCs w:val="18"/>
                <w:color w:val="auto"/>
              </w:rPr>
              <w:t>Environmental, Social and Governance ("ESG") initatves and strategies including environmental</w:t>
            </w:r>
          </w:p>
        </w:tc>
      </w:tr>
      <w:tr>
        <w:trPr>
          <w:trHeight w:val="232"/>
        </w:trPr>
        <w:tc>
          <w:tcPr>
            <w:tcW w:w="3080" w:type="dxa"/>
            <w:vAlign w:val="bottom"/>
          </w:tcPr>
          <w:p>
            <w:pPr>
              <w:spacing w:after="0"/>
              <w:rPr>
                <w:sz w:val="20"/>
                <w:szCs w:val="20"/>
                <w:color w:val="auto"/>
              </w:rPr>
            </w:pPr>
          </w:p>
        </w:tc>
        <w:tc>
          <w:tcPr>
            <w:tcW w:w="200" w:type="dxa"/>
            <w:vAlign w:val="bottom"/>
            <w:tcBorders>
              <w:bottom w:val="single" w:sz="8" w:color="E5E5E5"/>
            </w:tcBorders>
            <w:shd w:val="clear" w:color="auto" w:fill="E5E5E5"/>
          </w:tcPr>
          <w:p>
            <w:pPr>
              <w:spacing w:after="0"/>
              <w:rPr>
                <w:sz w:val="20"/>
                <w:szCs w:val="20"/>
                <w:color w:val="auto"/>
              </w:rPr>
            </w:pPr>
          </w:p>
        </w:tc>
        <w:tc>
          <w:tcPr>
            <w:tcW w:w="7960" w:type="dxa"/>
            <w:vAlign w:val="bottom"/>
            <w:tcBorders>
              <w:bottom w:val="single" w:sz="8" w:color="E5E5E5"/>
            </w:tcBorders>
            <w:shd w:val="clear" w:color="auto" w:fill="E5E5E5"/>
          </w:tcPr>
          <w:p>
            <w:pPr>
              <w:ind w:left="360"/>
              <w:spacing w:after="0" w:line="215" w:lineRule="exact"/>
              <w:rPr>
                <w:sz w:val="20"/>
                <w:szCs w:val="20"/>
                <w:color w:val="auto"/>
              </w:rPr>
            </w:pPr>
            <w:r>
              <w:rPr>
                <w:rFonts w:ascii="Calibri" w:cs="Calibri" w:eastAsia="Calibri" w:hAnsi="Calibri"/>
                <w:sz w:val="18"/>
                <w:szCs w:val="18"/>
                <w:color w:val="auto"/>
              </w:rPr>
              <w:t>compliance</w:t>
            </w:r>
          </w:p>
        </w:tc>
      </w:tr>
      <w:tr>
        <w:trPr>
          <w:trHeight w:val="243"/>
        </w:trPr>
        <w:tc>
          <w:tcPr>
            <w:tcW w:w="3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 </w:t>
            </w:r>
            <w:r>
              <w:rPr>
                <w:rFonts w:ascii="Calibri" w:cs="Calibri" w:eastAsia="Calibri" w:hAnsi="Calibri"/>
                <w:sz w:val="18"/>
                <w:szCs w:val="18"/>
                <w:color w:val="auto"/>
              </w:rPr>
              <w:t>Contngent weather or global events that could afect the Company</w:t>
            </w:r>
          </w:p>
        </w:tc>
      </w:tr>
      <w:tr>
        <w:trPr>
          <w:trHeight w:val="54"/>
        </w:trPr>
        <w:tc>
          <w:tcPr>
            <w:tcW w:w="30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960" w:type="dxa"/>
            <w:vAlign w:val="bottom"/>
          </w:tcPr>
          <w:p>
            <w:pPr>
              <w:spacing w:after="0"/>
              <w:rPr>
                <w:sz w:val="4"/>
                <w:szCs w:val="4"/>
                <w:color w:val="auto"/>
              </w:rPr>
            </w:pPr>
          </w:p>
        </w:tc>
      </w:tr>
      <w:tr>
        <w:trPr>
          <w:trHeight w:val="277"/>
        </w:trPr>
        <w:tc>
          <w:tcPr>
            <w:tcW w:w="3080" w:type="dxa"/>
            <w:vAlign w:val="bottom"/>
          </w:tcPr>
          <w:p>
            <w:pPr>
              <w:spacing w:after="0"/>
              <w:rPr>
                <w:sz w:val="24"/>
                <w:szCs w:val="24"/>
                <w:color w:val="auto"/>
              </w:rPr>
            </w:pPr>
          </w:p>
        </w:tc>
        <w:tc>
          <w:tcPr>
            <w:tcW w:w="200" w:type="dxa"/>
            <w:vAlign w:val="bottom"/>
            <w:tcBorders>
              <w:bottom w:val="single" w:sz="8" w:color="E5E5E5"/>
            </w:tcBorders>
            <w:shd w:val="clear" w:color="auto" w:fill="E5E5E5"/>
          </w:tcPr>
          <w:p>
            <w:pPr>
              <w:spacing w:after="0"/>
              <w:rPr>
                <w:sz w:val="24"/>
                <w:szCs w:val="24"/>
                <w:color w:val="auto"/>
              </w:rPr>
            </w:pPr>
          </w:p>
        </w:tc>
        <w:tc>
          <w:tcPr>
            <w:tcW w:w="7960" w:type="dxa"/>
            <w:vAlign w:val="bottom"/>
            <w:tcBorders>
              <w:bottom w:val="single" w:sz="8" w:color="E5E5E5"/>
            </w:tcBorders>
            <w:shd w:val="clear" w:color="auto" w:fill="E5E5E5"/>
          </w:tcPr>
          <w:p>
            <w:pPr>
              <w:ind w:left="240"/>
              <w:spacing w:after="0"/>
              <w:rPr>
                <w:sz w:val="20"/>
                <w:szCs w:val="20"/>
                <w:color w:val="auto"/>
              </w:rPr>
            </w:pPr>
            <w:r>
              <w:rPr>
                <w:rFonts w:ascii="Times New Roman" w:cs="Times New Roman" w:eastAsia="Times New Roman" w:hAnsi="Times New Roman"/>
                <w:sz w:val="18"/>
                <w:szCs w:val="18"/>
                <w:color w:val="auto"/>
              </w:rPr>
              <w:t xml:space="preserve">◦ </w:t>
            </w:r>
            <w:r>
              <w:rPr>
                <w:rFonts w:ascii="Calibri" w:cs="Calibri" w:eastAsia="Calibri" w:hAnsi="Calibri"/>
                <w:sz w:val="18"/>
                <w:szCs w:val="18"/>
                <w:color w:val="auto"/>
              </w:rPr>
              <w:t>Terrorism</w:t>
            </w:r>
          </w:p>
        </w:tc>
      </w:tr>
      <w:tr>
        <w:trPr>
          <w:trHeight w:val="243"/>
        </w:trPr>
        <w:tc>
          <w:tcPr>
            <w:tcW w:w="3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 </w:t>
            </w:r>
            <w:r>
              <w:rPr>
                <w:rFonts w:ascii="Calibri" w:cs="Calibri" w:eastAsia="Calibri" w:hAnsi="Calibri"/>
                <w:sz w:val="18"/>
                <w:szCs w:val="18"/>
                <w:color w:val="auto"/>
              </w:rPr>
              <w:t>Sustainability, diversity, climate and corporate stewardship policies and initatves</w:t>
            </w:r>
          </w:p>
        </w:tc>
      </w:tr>
      <w:tr>
        <w:trPr>
          <w:trHeight w:val="54"/>
        </w:trPr>
        <w:tc>
          <w:tcPr>
            <w:tcW w:w="30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960" w:type="dxa"/>
            <w:vAlign w:val="bottom"/>
          </w:tcPr>
          <w:p>
            <w:pPr>
              <w:spacing w:after="0"/>
              <w:rPr>
                <w:sz w:val="4"/>
                <w:szCs w:val="4"/>
                <w:color w:val="auto"/>
              </w:rPr>
            </w:pPr>
          </w:p>
        </w:tc>
      </w:tr>
      <w:tr>
        <w:trPr>
          <w:trHeight w:val="277"/>
        </w:trPr>
        <w:tc>
          <w:tcPr>
            <w:tcW w:w="3080" w:type="dxa"/>
            <w:vAlign w:val="bottom"/>
          </w:tcPr>
          <w:p>
            <w:pPr>
              <w:spacing w:after="0"/>
              <w:rPr>
                <w:sz w:val="24"/>
                <w:szCs w:val="24"/>
                <w:color w:val="auto"/>
              </w:rPr>
            </w:pPr>
          </w:p>
        </w:tc>
        <w:tc>
          <w:tcPr>
            <w:tcW w:w="200" w:type="dxa"/>
            <w:vAlign w:val="bottom"/>
            <w:tcBorders>
              <w:bottom w:val="single" w:sz="8" w:color="E5E5E5"/>
            </w:tcBorders>
            <w:shd w:val="clear" w:color="auto" w:fill="E5E5E5"/>
          </w:tcPr>
          <w:p>
            <w:pPr>
              <w:spacing w:after="0"/>
              <w:rPr>
                <w:sz w:val="24"/>
                <w:szCs w:val="24"/>
                <w:color w:val="auto"/>
              </w:rPr>
            </w:pPr>
          </w:p>
        </w:tc>
        <w:tc>
          <w:tcPr>
            <w:tcW w:w="7960" w:type="dxa"/>
            <w:vAlign w:val="bottom"/>
            <w:tcBorders>
              <w:bottom w:val="single" w:sz="8" w:color="E5E5E5"/>
            </w:tcBorders>
            <w:shd w:val="clear" w:color="auto" w:fill="E5E5E5"/>
          </w:tcPr>
          <w:p>
            <w:pPr>
              <w:ind w:left="240"/>
              <w:spacing w:after="0"/>
              <w:rPr>
                <w:sz w:val="20"/>
                <w:szCs w:val="20"/>
                <w:color w:val="auto"/>
              </w:rPr>
            </w:pPr>
            <w:r>
              <w:rPr>
                <w:rFonts w:ascii="Times New Roman" w:cs="Times New Roman" w:eastAsia="Times New Roman" w:hAnsi="Times New Roman"/>
                <w:sz w:val="18"/>
                <w:szCs w:val="18"/>
                <w:color w:val="auto"/>
              </w:rPr>
              <w:t xml:space="preserve">◦ </w:t>
            </w:r>
            <w:r>
              <w:rPr>
                <w:rFonts w:ascii="Calibri" w:cs="Calibri" w:eastAsia="Calibri" w:hAnsi="Calibri"/>
                <w:sz w:val="18"/>
                <w:szCs w:val="18"/>
                <w:color w:val="auto"/>
              </w:rPr>
              <w:t>Cybersecurity</w:t>
            </w:r>
          </w:p>
        </w:tc>
      </w:tr>
      <w:tr>
        <w:trPr>
          <w:trHeight w:val="20"/>
        </w:trPr>
        <w:tc>
          <w:tcPr>
            <w:tcW w:w="30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960" w:type="dxa"/>
            <w:vAlign w:val="bottom"/>
            <w:shd w:val="clear" w:color="auto" w:fill="000000"/>
          </w:tcPr>
          <w:p>
            <w:pPr>
              <w:spacing w:after="0" w:line="20" w:lineRule="exact"/>
              <w:rPr>
                <w:sz w:val="1"/>
                <w:szCs w:val="1"/>
                <w:color w:val="auto"/>
              </w:rPr>
            </w:pPr>
          </w:p>
        </w:tc>
      </w:tr>
    </w:tbl>
    <w:p>
      <w:pPr>
        <w:spacing w:after="0" w:line="194"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From a management perspectve, risk is overseen by the Company's Risk Oversight Commitee, which consists of the Chief Financial Ofcer, other corporate ofcers and members of management. This risk commitee is responsible for the overall development, implementaton and enforcement of strategies and policies for all signifcant risk management actvites of the Company. In 2023, this Commitee and management applied a holistc perspectve of risk assessment and applicaton of its strategies and policies to manage the Company's overall fnancial performance. The Chief Financial Ofcer, actng in his role as the principal fnancial ofcer and as a member of the Risk Oversight Commitee, reported periodically during 2023 to the Audit Commitee on the Company's risk profle afectng antcipated fnancial results, including any signifcant risk issues.</w:t>
      </w:r>
    </w:p>
    <w:p>
      <w:pPr>
        <w:spacing w:after="0" w:line="221"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As a vital infrastructure utlity service, risk management and oversight are critcal to our business. Our Enterprise Risk Management (“ERM”) process, which engages internal stakeholders, helps identfy key internal and external business risks — those that pose potental material fnancial and operatonal risk to the Company — then supports evaluatons of those risks, providing consistent assessment.</w:t>
      </w:r>
    </w:p>
    <w:p>
      <w:pPr>
        <w:spacing w:after="0" w:line="273"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Key risks are then assessed using a methodology that includes a quantfcaton of potental fnancial and operatonal impacts. Priority risks are assigned to internal risk owners, who are responsible for developing and updatng risk management plans, which are also coordinated with our Internal Audit group for alignment with the Company's annual audit plan.</w:t>
      </w:r>
    </w:p>
    <w:p>
      <w:pPr>
        <w:spacing w:after="0" w:line="214" w:lineRule="exact"/>
        <w:rPr>
          <w:sz w:val="20"/>
          <w:szCs w:val="20"/>
          <w:color w:val="auto"/>
        </w:rPr>
      </w:pPr>
    </w:p>
    <w:p>
      <w:pPr>
        <w:ind w:left="380"/>
        <w:spacing w:after="0"/>
        <w:rPr>
          <w:sz w:val="20"/>
          <w:szCs w:val="20"/>
          <w:color w:val="auto"/>
        </w:rPr>
      </w:pPr>
      <w:r>
        <w:rPr>
          <w:rFonts w:ascii="Calibri" w:cs="Calibri" w:eastAsia="Calibri" w:hAnsi="Calibri"/>
          <w:sz w:val="18"/>
          <w:szCs w:val="18"/>
          <w:color w:val="auto"/>
        </w:rPr>
        <w:t>Risk identfcaton, assessment and management planning are reviewed with senior leadership, the Risk Oversight Commitee and the Board.</w:t>
      </w:r>
    </w:p>
    <w:p>
      <w:pPr>
        <w:spacing w:after="0" w:line="217"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i w:val="1"/>
          <w:iCs w:val="1"/>
          <w:color w:val="auto"/>
        </w:rPr>
        <w:t xml:space="preserve">Board Atendance at Annual Meetng of Shareholders. </w:t>
      </w:r>
      <w:r>
        <w:rPr>
          <w:rFonts w:ascii="Calibri" w:cs="Calibri" w:eastAsia="Calibri" w:hAnsi="Calibri"/>
          <w:sz w:val="18"/>
          <w:szCs w:val="18"/>
          <w:color w:val="auto"/>
        </w:rPr>
        <w:t>The Company encourages each of its Board members to atend the Annual Meetng of</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Shareholders, and the directors are expected to atend whenever reasonably possible. All ten of the directors who were nominated for electon in 2023 atended online the virtual Annual Meetng of Shareholders in 2023.</w:t>
      </w:r>
    </w:p>
    <w:p>
      <w:pPr>
        <w:spacing w:after="0" w:line="389" w:lineRule="exact"/>
        <w:rPr>
          <w:sz w:val="20"/>
          <w:szCs w:val="20"/>
          <w:color w:val="auto"/>
        </w:rPr>
      </w:pPr>
    </w:p>
    <w:p>
      <w:pPr>
        <w:ind w:left="600" w:hanging="592"/>
        <w:spacing w:after="0"/>
        <w:tabs>
          <w:tab w:leader="none" w:pos="600" w:val="left"/>
        </w:tabs>
        <w:numPr>
          <w:ilvl w:val="0"/>
          <w:numId w:val="24"/>
        </w:numPr>
        <w:rPr>
          <w:rFonts w:ascii="Calibri" w:cs="Calibri" w:eastAsia="Calibri" w:hAnsi="Calibri"/>
          <w:sz w:val="18"/>
          <w:szCs w:val="18"/>
          <w:color w:val="auto"/>
        </w:rPr>
      </w:pPr>
      <w:r>
        <w:rPr>
          <w:rFonts w:ascii="Calibri" w:cs="Calibri" w:eastAsia="Calibri" w:hAnsi="Calibri"/>
          <w:sz w:val="18"/>
          <w:szCs w:val="18"/>
          <w:b w:val="1"/>
          <w:bCs w:val="1"/>
          <w:color w:val="EE2724"/>
        </w:rPr>
        <w:t xml:space="preserve">OGE Energy Corp. </w:t>
      </w:r>
      <w:r>
        <w:rPr>
          <w:rFonts w:ascii="Calibri" w:cs="Calibri" w:eastAsia="Calibri" w:hAnsi="Calibri"/>
          <w:sz w:val="18"/>
          <w:szCs w:val="18"/>
          <w:color w:val="00000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5" w:name="page16"/>
    <w:bookmarkEnd w:id="15"/>
    <w:p>
      <w:pPr>
        <w:jc w:val="both"/>
        <w:ind w:firstLine="374"/>
        <w:spacing w:after="0" w:line="250" w:lineRule="auto"/>
        <w:rPr>
          <w:sz w:val="20"/>
          <w:szCs w:val="20"/>
          <w:color w:val="auto"/>
        </w:rPr>
      </w:pPr>
      <w:r>
        <w:rPr>
          <w:rFonts w:ascii="Calibri" w:cs="Calibri" w:eastAsia="Calibri" w:hAnsi="Calibri"/>
          <w:sz w:val="17"/>
          <w:szCs w:val="17"/>
          <w:i w:val="1"/>
          <w:iCs w:val="1"/>
          <w:color w:val="auto"/>
        </w:rPr>
        <w:t xml:space="preserve">Related Party Transacton Policy and Related Party Transactons; Prohibiton on Loans. </w:t>
      </w:r>
      <w:r>
        <w:rPr>
          <w:rFonts w:ascii="Calibri" w:cs="Calibri" w:eastAsia="Calibri" w:hAnsi="Calibri"/>
          <w:sz w:val="17"/>
          <w:szCs w:val="17"/>
          <w:color w:val="auto"/>
        </w:rPr>
        <w:t>The Company's Code of Ethics provides that all employees,</w:t>
      </w:r>
      <w:r>
        <w:rPr>
          <w:rFonts w:ascii="Calibri" w:cs="Calibri" w:eastAsia="Calibri" w:hAnsi="Calibri"/>
          <w:sz w:val="17"/>
          <w:szCs w:val="17"/>
          <w:i w:val="1"/>
          <w:iCs w:val="1"/>
          <w:color w:val="auto"/>
        </w:rPr>
        <w:t xml:space="preserve"> </w:t>
      </w:r>
      <w:r>
        <w:rPr>
          <w:rFonts w:ascii="Calibri" w:cs="Calibri" w:eastAsia="Calibri" w:hAnsi="Calibri"/>
          <w:sz w:val="17"/>
          <w:szCs w:val="17"/>
          <w:color w:val="auto"/>
        </w:rPr>
        <w:t>including executve ofcers, have a duty to avoid fnancial, business or other relatonships that might cause a confict of interest with the performance of their dutes and that employees should conduct themselves in a manner that avoids even the appearance of confict between personal interests and those of the Company. The Company's Code of Ethics provides, among other things, that (i) conficts of interest may arise when an individual or someone in his or her immediate family receives improper personal benefts as a result of the employee's positon, (ii) employees should not authorize business with any frm in which they, or a member of their immediate family, have a direct or indirect interest and (iii) employees should, as a general rule, avoid acceptng a gif or invitaton of such value (generally in excess of $100) that acceptance could create, or appear to create, an obligaton to a person or company with whom the Company does business. The charter of the Nominatng, Corporate Governance and Stewardship Commitee provides that the Nominatng, Corporate Governance and Stewardship Commitee is to consider possible conficts of interest of directors and management and make recommendatons to prevent, minimize or eliminate such conficts of interest. Similarly, the charter of the Audit Commitee provides that the Audit Commitee is to periodically obtain reports regarding compliance with the Company's Code of Ethics. If a confict is found to exist, the mater will be discussed with the employee and the following optons will be considered: (i) the employee will be asked to end the actvity that caused the confict; (ii) realignment of job responsibilites or assignment or (iii) if (i) and (ii) are not possible, employment will be terminated. Only the Board or a commitee of the Board can waive this provision for executve ofcers, and any waiver will be promptly disclosed to the public. The Company's Corporate Governance Guidelines provide that, except for employment arrangements with the CEO, the Company will not engage in transactons with directors or their afliates if a transacton would cast into doubt the independence of a director, present a confict of interest or is otherwise prohibited by law, rule or regulaton and includes (i) directly or indirectly, any extension, maintenance or renewal of an extension of credit to any director or member of management of the Company and (ii) signifcant business dealings with directors or their afliates, substantal charitable contributons to organizatons in which a director is afliated, and consultng contracts with, or other indirect forms of compensaton to, a director. Any waiver of this policy may be made only by the Board or a Board commitee and must be promptly disclosed to the Company's shareholders. The Company does not have a related party transacton policy for persons other than employees and directors and their afliates. Except as discussed above, the Company has not prescribed any specifc standards to be applied when determining whether a confict exists or whether a waiver of any such confict should be made. In additon, the Company's Stock Incentve Plan prohibits all loans to executve ofcers.</w:t>
      </w:r>
    </w:p>
    <w:p>
      <w:pPr>
        <w:spacing w:after="0" w:line="200" w:lineRule="exact"/>
        <w:rPr>
          <w:sz w:val="20"/>
          <w:szCs w:val="20"/>
          <w:color w:val="auto"/>
        </w:rPr>
      </w:pPr>
    </w:p>
    <w:p>
      <w:pPr>
        <w:spacing w:after="0" w:line="229"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i w:val="1"/>
          <w:iCs w:val="1"/>
          <w:color w:val="auto"/>
        </w:rPr>
        <w:t>Prohibiton on Hedging</w:t>
      </w:r>
      <w:r>
        <w:rPr>
          <w:rFonts w:ascii="Calibri" w:cs="Calibri" w:eastAsia="Calibri" w:hAnsi="Calibri"/>
          <w:sz w:val="18"/>
          <w:szCs w:val="18"/>
          <w:color w:val="auto"/>
        </w:rPr>
        <w:t>. Our insider trading policy prohibits our directors, executve ofcers and other designated persons from engaging in hedging or</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monetzaton transactons with respect to the Company's securites, such as prepaid variable forward contracts, equity swaps, collars and exchange funds. Our Board reviews our insider trading policy annually.</w:t>
      </w:r>
    </w:p>
    <w:p>
      <w:pPr>
        <w:spacing w:after="0" w:line="219"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i w:val="1"/>
          <w:iCs w:val="1"/>
          <w:color w:val="auto"/>
        </w:rPr>
        <w:t xml:space="preserve">Stock Ownership Guidelines. </w:t>
      </w:r>
      <w:r>
        <w:rPr>
          <w:rFonts w:ascii="Calibri" w:cs="Calibri" w:eastAsia="Calibri" w:hAnsi="Calibri"/>
          <w:sz w:val="18"/>
          <w:szCs w:val="18"/>
          <w:color w:val="auto"/>
        </w:rPr>
        <w:t>In an efort to further align management's interests with those of the shareholders, the Compensaton Commitee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recommended, and the Board of Directors has adopted, stock ownership guidelines for the ofcers of the Company and the Company's Board of Directors. The Compensaton Commitee reviews the stock ownership guidelines each year, and has, from tme to tme, revised such guidelines. The terms of these guidelines are explained on page 41 in the Compensaton Discussion and Analysis.</w:t>
      </w:r>
    </w:p>
    <w:p>
      <w:pPr>
        <w:spacing w:after="0" w:line="219"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i w:val="1"/>
          <w:iCs w:val="1"/>
          <w:color w:val="auto"/>
        </w:rPr>
        <w:t xml:space="preserve">Communicatons with the Board of Directors. </w:t>
      </w:r>
      <w:r>
        <w:rPr>
          <w:rFonts w:ascii="Calibri" w:cs="Calibri" w:eastAsia="Calibri" w:hAnsi="Calibri"/>
          <w:sz w:val="18"/>
          <w:szCs w:val="18"/>
          <w:color w:val="auto"/>
        </w:rPr>
        <w:t>Shareholders and other interested partes who wish to communicate with members of the Board, including</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the lead director or the non-management directors individually or as a group, may send correspondence to them in care of the Corporate Secretary at the Company's principal ofces, 321 North Harvey, P.O. Box 321, Oklahoma City, Oklahoma 73101-0321. We currently do not intend to have the Corporate Secretary screen this correspondence to the extent it pertains to business maters and are not solicitatons, but we may change this policy if directed by the Board due to the nature and volume of the correspondence.</w:t>
      </w:r>
    </w:p>
    <w:p>
      <w:pPr>
        <w:spacing w:after="0" w:line="220"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i w:val="1"/>
          <w:iCs w:val="1"/>
          <w:color w:val="auto"/>
        </w:rPr>
        <w:t xml:space="preserve">Auditors; Audit Partner Rotaton. </w:t>
      </w:r>
      <w:r>
        <w:rPr>
          <w:rFonts w:ascii="Calibri" w:cs="Calibri" w:eastAsia="Calibri" w:hAnsi="Calibri"/>
          <w:sz w:val="18"/>
          <w:szCs w:val="18"/>
          <w:color w:val="auto"/>
        </w:rPr>
        <w:t>As described on page 21, the Company is requestng that the shareholders ratfy the selecton of Ernst &amp; Young LLP as</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the Company's principal independent accountants for 2024. The Audit Commitee charter provides that the audit partners will be rotated as required by the Sarbanes-Oxley Act of 2002.</w:t>
      </w:r>
    </w:p>
    <w:p>
      <w:pPr>
        <w:spacing w:after="0" w:line="219" w:lineRule="exact"/>
        <w:rPr>
          <w:sz w:val="20"/>
          <w:szCs w:val="20"/>
          <w:color w:val="auto"/>
        </w:rPr>
      </w:pPr>
    </w:p>
    <w:p>
      <w:pPr>
        <w:jc w:val="both"/>
        <w:ind w:firstLine="374"/>
        <w:spacing w:after="0" w:line="252" w:lineRule="auto"/>
        <w:rPr>
          <w:sz w:val="20"/>
          <w:szCs w:val="20"/>
          <w:color w:val="auto"/>
        </w:rPr>
      </w:pPr>
      <w:r>
        <w:rPr>
          <w:rFonts w:ascii="Calibri" w:cs="Calibri" w:eastAsia="Calibri" w:hAnsi="Calibri"/>
          <w:sz w:val="17"/>
          <w:szCs w:val="17"/>
          <w:i w:val="1"/>
          <w:iCs w:val="1"/>
          <w:color w:val="auto"/>
        </w:rPr>
        <w:t>Environmental, Social and Governance</w:t>
      </w:r>
      <w:r>
        <w:rPr>
          <w:rFonts w:ascii="Calibri" w:cs="Calibri" w:eastAsia="Calibri" w:hAnsi="Calibri"/>
          <w:sz w:val="17"/>
          <w:szCs w:val="17"/>
          <w:color w:val="auto"/>
        </w:rPr>
        <w:t>. Our wholly-owned electric company, Oklahoma Gas and Electric Company ("OG&amp;E"), serves more than 896,000</w:t>
      </w:r>
      <w:r>
        <w:rPr>
          <w:rFonts w:ascii="Calibri" w:cs="Calibri" w:eastAsia="Calibri" w:hAnsi="Calibri"/>
          <w:sz w:val="17"/>
          <w:szCs w:val="17"/>
          <w:i w:val="1"/>
          <w:iCs w:val="1"/>
          <w:color w:val="auto"/>
        </w:rPr>
        <w:t xml:space="preserve"> </w:t>
      </w:r>
      <w:r>
        <w:rPr>
          <w:rFonts w:ascii="Calibri" w:cs="Calibri" w:eastAsia="Calibri" w:hAnsi="Calibri"/>
          <w:sz w:val="17"/>
          <w:szCs w:val="17"/>
          <w:color w:val="auto"/>
        </w:rPr>
        <w:t>customers in a service territory spanning 30,000 square miles in Oklahoma and western Arkansas. OG&amp;E's commitment is to provide energy-related services in a balanced and environmentally responsible manner which includes providing safe, reliable and reasonably priced power while protectng the environment. We provide detailed informaton regarding our sustainability initatves in multple venues including our company website, our responses to the</w:t>
      </w:r>
    </w:p>
    <w:p>
      <w:pPr>
        <w:spacing w:after="0" w:line="163" w:lineRule="exact"/>
        <w:rPr>
          <w:sz w:val="20"/>
          <w:szCs w:val="20"/>
          <w:color w:val="auto"/>
        </w:rPr>
      </w:pPr>
    </w:p>
    <w:p>
      <w:pPr>
        <w:spacing w:after="0"/>
        <w:tabs>
          <w:tab w:leader="none" w:pos="660" w:val="left"/>
        </w:tabs>
        <w:rPr>
          <w:sz w:val="20"/>
          <w:szCs w:val="20"/>
          <w:color w:val="auto"/>
        </w:rPr>
      </w:pPr>
      <w:r>
        <w:rPr>
          <w:rFonts w:ascii="Calibri" w:cs="Calibri" w:eastAsia="Calibri" w:hAnsi="Calibri"/>
          <w:sz w:val="18"/>
          <w:szCs w:val="18"/>
          <w:color w:val="auto"/>
        </w:rPr>
        <w:t>10</w:t>
      </w:r>
      <w:r>
        <w:rPr>
          <w:sz w:val="20"/>
          <w:szCs w:val="20"/>
          <w:color w:val="auto"/>
        </w:rPr>
        <w:tab/>
      </w:r>
      <w:r>
        <w:rPr>
          <w:rFonts w:ascii="Calibri" w:cs="Calibri" w:eastAsia="Calibri" w:hAnsi="Calibri"/>
          <w:sz w:val="18"/>
          <w:szCs w:val="18"/>
          <w:b w:val="1"/>
          <w:bCs w:val="1"/>
          <w:color w:val="EE2724"/>
        </w:rPr>
        <w:t xml:space="preserve">OGE Energy Corp. </w:t>
      </w:r>
      <w:r>
        <w:rPr>
          <w:rFonts w:ascii="Calibri" w:cs="Calibri" w:eastAsia="Calibri" w:hAnsi="Calibri"/>
          <w:sz w:val="18"/>
          <w:szCs w:val="18"/>
          <w:color w:val="00000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6" w:name="page17"/>
    <w:bookmarkEnd w:id="16"/>
    <w:p>
      <w:pPr>
        <w:jc w:val="both"/>
        <w:spacing w:after="0" w:line="235" w:lineRule="auto"/>
        <w:rPr>
          <w:sz w:val="20"/>
          <w:szCs w:val="20"/>
          <w:color w:val="auto"/>
        </w:rPr>
      </w:pPr>
      <w:r>
        <w:rPr>
          <w:rFonts w:ascii="Calibri" w:cs="Calibri" w:eastAsia="Calibri" w:hAnsi="Calibri"/>
          <w:sz w:val="18"/>
          <w:szCs w:val="18"/>
          <w:color w:val="auto"/>
        </w:rPr>
        <w:t>annual environmental reportng climate questonnaire conducted by CDP and our flings with the SEC. In additon, we were among the inital steering commitee members of, and annually update and publish on our website an ESG disclosure report in accordance with, the Edison Electric Insttute's ("EEI") ESG and sustainability-related reportng. The EEI has developed a reportng framework to enable utlity companies to provide current or interested investors and other stakeholders with key ESG and sustainability informaton on a comparable basis. The EEI reportng framework includes a quanttatve secton with data on recent greenhouse gas emissions, as well as a 2005 baseline for comparison. We have also completed and publicly disclosed on the "Stewardship Center" of our website (i) a report using the Sustainability Accountng Standards Board standards and (ii) our climate-related analysis and inaugural report pursuant to the elements of the Task Force on Climate-related Financial Disclosures. Additonal informaton about our ESG performance can be found on our website at www.oge.com under "Stewardship Center." Informaton on our website, including the reports and documents mentoned in this paragraph, is not incorporated by reference into this proxy statement.</w:t>
      </w:r>
    </w:p>
    <w:p>
      <w:pPr>
        <w:spacing w:after="0" w:line="224" w:lineRule="exact"/>
        <w:rPr>
          <w:sz w:val="20"/>
          <w:szCs w:val="20"/>
          <w:color w:val="auto"/>
        </w:rPr>
      </w:pPr>
    </w:p>
    <w:p>
      <w:pPr>
        <w:jc w:val="both"/>
        <w:ind w:firstLine="374"/>
        <w:spacing w:after="0" w:line="251" w:lineRule="auto"/>
        <w:rPr>
          <w:sz w:val="20"/>
          <w:szCs w:val="20"/>
          <w:color w:val="auto"/>
        </w:rPr>
      </w:pPr>
      <w:r>
        <w:rPr>
          <w:rFonts w:ascii="Calibri" w:cs="Calibri" w:eastAsia="Calibri" w:hAnsi="Calibri"/>
          <w:sz w:val="17"/>
          <w:szCs w:val="17"/>
          <w:color w:val="auto"/>
        </w:rPr>
        <w:t>Since 1902, we have been deeply engaged in the communites we serve, supportng the growth and well-being of our economies, customers, and our employees. As one of the largest employers in our service territory, we are commited to atractng, retaining and developing a high quality, diverse workforce and providing a safe, inclusive and productve work environment. We have a broad pipeline of diverse candidates for our workforce prepared to serve our communites due to, among other things, our partnerships with universites and technical colleges as well as U.S. military recruiters. We directly contribute to our communites in a number of ways, including providing grants through the OGE Energy Corp. Foundaton, Company and employee contributons to the United Way and various other partnerships and sponsorships. Another way that the Company assists in our communites is by the volunteer hours donated by our employees, as they are ofered 16 hours of paid volunteer leave every year. We have employees whose full-tme responsibility is to engage in the community and listen and work directly with governments, chambers of commerce, businesses and schools to support growth and enact meaningful change.</w:t>
      </w:r>
    </w:p>
    <w:p>
      <w:pPr>
        <w:spacing w:after="0" w:line="208"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At the Company, safety is more than a priority; it is a value and is paramount in the work we perform. Our safety principles are core to who we are and what we do. These principles are communicated, demonstrated and embraced at all levels of the company and supported by our core belief to "Live Safely." Since the incepton of our safety principle that all incidents and injuries are preventable and embracing our incident and injury free vision, we have seen a sustained decline in our injury rate. We have reduced our fve-year averages for OSHA reportable injuries by 67 percent and our Days Away, Restricted, Transfer Rate (“DART”) by 74 percent since our 2011 baseline. We contnue to analyze trends and engage in discussions with our employees, creatng a dialogue to enhance safety performance and work toward our incident and injury-free workplace. Our focus on safety has contributed to the last eight years being the safest in our history.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660" w:val="left"/>
        </w:tabs>
        <w:rPr>
          <w:sz w:val="20"/>
          <w:szCs w:val="20"/>
          <w:color w:val="auto"/>
        </w:rPr>
      </w:pPr>
      <w:r>
        <w:rPr>
          <w:rFonts w:ascii="Calibri" w:cs="Calibri" w:eastAsia="Calibri" w:hAnsi="Calibri"/>
          <w:sz w:val="18"/>
          <w:szCs w:val="18"/>
          <w:color w:val="auto"/>
        </w:rPr>
        <w:t>11</w:t>
      </w:r>
      <w:r>
        <w:rPr>
          <w:sz w:val="20"/>
          <w:szCs w:val="20"/>
          <w:color w:val="auto"/>
        </w:rPr>
        <w:tab/>
      </w:r>
      <w:r>
        <w:rPr>
          <w:rFonts w:ascii="Calibri" w:cs="Calibri" w:eastAsia="Calibri" w:hAnsi="Calibri"/>
          <w:sz w:val="18"/>
          <w:szCs w:val="18"/>
          <w:b w:val="1"/>
          <w:bCs w:val="1"/>
          <w:color w:val="EE2724"/>
        </w:rPr>
        <w:t xml:space="preserve">OGE Energy Corp. </w:t>
      </w:r>
      <w:r>
        <w:rPr>
          <w:rFonts w:ascii="Calibri" w:cs="Calibri" w:eastAsia="Calibri" w:hAnsi="Calibri"/>
          <w:sz w:val="18"/>
          <w:szCs w:val="18"/>
          <w:color w:val="00000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7" w:name="page18"/>
    <w:bookmarkEnd w:id="17"/>
    <w:p>
      <w:pPr>
        <w:ind w:left="220"/>
        <w:spacing w:after="0"/>
        <w:rPr>
          <w:sz w:val="20"/>
          <w:szCs w:val="20"/>
          <w:color w:val="auto"/>
        </w:rPr>
      </w:pPr>
      <w:r>
        <w:rPr>
          <w:rFonts w:ascii="Calibri" w:cs="Calibri" w:eastAsia="Calibri" w:hAnsi="Calibri"/>
          <w:sz w:val="20"/>
          <w:szCs w:val="20"/>
          <w:b w:val="1"/>
          <w:bCs w:val="1"/>
          <w:color w:val="auto"/>
        </w:rPr>
        <w:t>INFORMATION CONCERNING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46355</wp:posOffset>
            </wp:positionV>
            <wp:extent cx="69176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61"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b w:val="1"/>
          <w:bCs w:val="1"/>
          <w:color w:val="auto"/>
        </w:rPr>
        <w:t xml:space="preserve">General. </w:t>
      </w:r>
      <w:r>
        <w:rPr>
          <w:rFonts w:ascii="Calibri" w:cs="Calibri" w:eastAsia="Calibri" w:hAnsi="Calibri"/>
          <w:sz w:val="18"/>
          <w:szCs w:val="18"/>
          <w:color w:val="auto"/>
        </w:rPr>
        <w:t>Each member of our Board of Directors serving in 2023 was also a director of OG&amp;E during 2023. The Board of Directors of the Company met</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on seven occasions during 2023. Each director of the Company atended at least 83 percent of the total number of meetngs of the Company's Board of Directors and the commitees of the Board on which he or she served during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15875</wp:posOffset>
            </wp:positionV>
            <wp:extent cx="5854700" cy="28975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54700" cy="2897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tabs>
          <w:tab w:leader="none" w:pos="660" w:val="left"/>
        </w:tabs>
        <w:rPr>
          <w:sz w:val="20"/>
          <w:szCs w:val="20"/>
          <w:color w:val="auto"/>
        </w:rPr>
      </w:pPr>
      <w:r>
        <w:rPr>
          <w:rFonts w:ascii="Calibri" w:cs="Calibri" w:eastAsia="Calibri" w:hAnsi="Calibri"/>
          <w:sz w:val="18"/>
          <w:szCs w:val="18"/>
          <w:color w:val="auto"/>
        </w:rPr>
        <w:t>12</w:t>
      </w:r>
      <w:r>
        <w:rPr>
          <w:sz w:val="20"/>
          <w:szCs w:val="20"/>
          <w:color w:val="auto"/>
        </w:rPr>
        <w:tab/>
      </w:r>
      <w:r>
        <w:rPr>
          <w:rFonts w:ascii="Calibri" w:cs="Calibri" w:eastAsia="Calibri" w:hAnsi="Calibri"/>
          <w:sz w:val="18"/>
          <w:szCs w:val="18"/>
          <w:b w:val="1"/>
          <w:bCs w:val="1"/>
          <w:color w:val="EE2724"/>
        </w:rPr>
        <w:t xml:space="preserve">OGE Energy Corp. </w:t>
      </w:r>
      <w:r>
        <w:rPr>
          <w:rFonts w:ascii="Calibri" w:cs="Calibri" w:eastAsia="Calibri" w:hAnsi="Calibri"/>
          <w:sz w:val="18"/>
          <w:szCs w:val="18"/>
          <w:color w:val="00000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6" w:right="339" w:bottom="1440" w:gutter="0" w:footer="0" w:header="0"/>
        </w:sectPr>
      </w:pPr>
    </w:p>
    <w:bookmarkStart w:id="18" w:name="page19"/>
    <w:bookmarkEnd w:id="18"/>
    <w:p>
      <w:pPr>
        <w:jc w:val="both"/>
        <w:ind w:firstLine="374"/>
        <w:spacing w:after="0" w:line="235" w:lineRule="auto"/>
        <w:rPr>
          <w:sz w:val="20"/>
          <w:szCs w:val="20"/>
          <w:color w:val="auto"/>
        </w:rPr>
      </w:pPr>
      <w:r>
        <w:rPr>
          <w:rFonts w:ascii="Calibri" w:cs="Calibri" w:eastAsia="Calibri" w:hAnsi="Calibri"/>
          <w:sz w:val="18"/>
          <w:szCs w:val="18"/>
          <w:b w:val="1"/>
          <w:bCs w:val="1"/>
          <w:color w:val="auto"/>
        </w:rPr>
        <w:t>Commitees</w:t>
      </w:r>
      <w:r>
        <w:rPr>
          <w:rFonts w:ascii="Calibri" w:cs="Calibri" w:eastAsia="Calibri" w:hAnsi="Calibri"/>
          <w:sz w:val="18"/>
          <w:szCs w:val="18"/>
          <w:color w:val="auto"/>
        </w:rPr>
        <w:t>. The standing commitees of the Company's Board of Directors include a Compensaton Commitee, an Audit Commitee, a Nominatng,</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Corporate Governance and Stewardship Commitee and an Executve Commitee. The members of these commitees, the general functons of the commitees and number of commitee meetngs in 2023, are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20" w:type="dxa"/>
            <w:vAlign w:val="bottom"/>
          </w:tcPr>
          <w:p>
            <w:pPr>
              <w:ind w:left="680"/>
              <w:spacing w:after="0"/>
              <w:rPr>
                <w:sz w:val="20"/>
                <w:szCs w:val="20"/>
                <w:color w:val="auto"/>
              </w:rPr>
            </w:pPr>
            <w:r>
              <w:rPr>
                <w:rFonts w:ascii="Calibri" w:cs="Calibri" w:eastAsia="Calibri" w:hAnsi="Calibri"/>
                <w:sz w:val="16"/>
                <w:szCs w:val="16"/>
                <w:b w:val="1"/>
                <w:bCs w:val="1"/>
                <w:color w:val="auto"/>
              </w:rPr>
              <w:t>Name of Commitee</w:t>
            </w:r>
          </w:p>
        </w:tc>
        <w:tc>
          <w:tcPr>
            <w:tcW w:w="6980" w:type="dxa"/>
            <w:vAlign w:val="bottom"/>
          </w:tcPr>
          <w:p>
            <w:pPr>
              <w:ind w:left="3100"/>
              <w:spacing w:after="0"/>
              <w:rPr>
                <w:sz w:val="20"/>
                <w:szCs w:val="20"/>
                <w:color w:val="auto"/>
              </w:rPr>
            </w:pPr>
            <w:r>
              <w:rPr>
                <w:rFonts w:ascii="Calibri" w:cs="Calibri" w:eastAsia="Calibri" w:hAnsi="Calibri"/>
                <w:sz w:val="16"/>
                <w:szCs w:val="16"/>
                <w:b w:val="1"/>
                <w:bCs w:val="1"/>
                <w:color w:val="auto"/>
              </w:rPr>
              <w:t>General Functons</w:t>
            </w:r>
          </w:p>
        </w:tc>
        <w:tc>
          <w:tcPr>
            <w:tcW w:w="1840" w:type="dxa"/>
            <w:vAlign w:val="bottom"/>
          </w:tcPr>
          <w:p>
            <w:pPr>
              <w:jc w:val="center"/>
              <w:ind w:left="79"/>
              <w:spacing w:after="0"/>
              <w:rPr>
                <w:sz w:val="20"/>
                <w:szCs w:val="20"/>
                <w:color w:val="auto"/>
              </w:rPr>
            </w:pPr>
            <w:r>
              <w:rPr>
                <w:rFonts w:ascii="Calibri" w:cs="Calibri" w:eastAsia="Calibri" w:hAnsi="Calibri"/>
                <w:sz w:val="16"/>
                <w:szCs w:val="16"/>
                <w:b w:val="1"/>
                <w:bCs w:val="1"/>
                <w:color w:val="auto"/>
              </w:rPr>
              <w:t>Number of</w:t>
            </w:r>
          </w:p>
        </w:tc>
      </w:tr>
      <w:tr>
        <w:trPr>
          <w:trHeight w:val="234"/>
        </w:trPr>
        <w:tc>
          <w:tcPr>
            <w:tcW w:w="2420" w:type="dxa"/>
            <w:vAlign w:val="bottom"/>
          </w:tcPr>
          <w:p>
            <w:pPr>
              <w:ind w:left="880"/>
              <w:spacing w:after="0" w:line="193" w:lineRule="exact"/>
              <w:rPr>
                <w:sz w:val="20"/>
                <w:szCs w:val="20"/>
                <w:color w:val="auto"/>
              </w:rPr>
            </w:pPr>
            <w:r>
              <w:rPr>
                <w:rFonts w:ascii="Calibri" w:cs="Calibri" w:eastAsia="Calibri" w:hAnsi="Calibri"/>
                <w:sz w:val="16"/>
                <w:szCs w:val="16"/>
                <w:b w:val="1"/>
                <w:bCs w:val="1"/>
                <w:color w:val="auto"/>
              </w:rPr>
              <w:t>and Members</w:t>
            </w:r>
          </w:p>
        </w:tc>
        <w:tc>
          <w:tcPr>
            <w:tcW w:w="6980" w:type="dxa"/>
            <w:vAlign w:val="bottom"/>
          </w:tcPr>
          <w:p>
            <w:pPr>
              <w:ind w:left="3120"/>
              <w:spacing w:after="0"/>
              <w:rPr>
                <w:sz w:val="20"/>
                <w:szCs w:val="20"/>
                <w:color w:val="auto"/>
              </w:rPr>
            </w:pPr>
            <w:r>
              <w:rPr>
                <w:rFonts w:ascii="Calibri" w:cs="Calibri" w:eastAsia="Calibri" w:hAnsi="Calibri"/>
                <w:sz w:val="16"/>
                <w:szCs w:val="16"/>
                <w:b w:val="1"/>
                <w:bCs w:val="1"/>
                <w:color w:val="auto"/>
              </w:rPr>
              <w:t>of the Commitee</w:t>
            </w:r>
          </w:p>
        </w:tc>
        <w:tc>
          <w:tcPr>
            <w:tcW w:w="1840" w:type="dxa"/>
            <w:vAlign w:val="bottom"/>
          </w:tcPr>
          <w:p>
            <w:pPr>
              <w:jc w:val="center"/>
              <w:ind w:left="79"/>
              <w:spacing w:after="0" w:line="193" w:lineRule="exact"/>
              <w:rPr>
                <w:sz w:val="20"/>
                <w:szCs w:val="20"/>
                <w:color w:val="auto"/>
              </w:rPr>
            </w:pPr>
            <w:r>
              <w:rPr>
                <w:rFonts w:ascii="Calibri" w:cs="Calibri" w:eastAsia="Calibri" w:hAnsi="Calibri"/>
                <w:sz w:val="16"/>
                <w:szCs w:val="16"/>
                <w:b w:val="1"/>
                <w:bCs w:val="1"/>
                <w:color w:val="auto"/>
              </w:rPr>
              <w:t>Meetngs in 2023</w:t>
            </w:r>
          </w:p>
        </w:tc>
      </w:tr>
      <w:tr>
        <w:trPr>
          <w:trHeight w:val="41"/>
        </w:trPr>
        <w:tc>
          <w:tcPr>
            <w:tcW w:w="2420" w:type="dxa"/>
            <w:vAlign w:val="bottom"/>
            <w:tcBorders>
              <w:bottom w:val="single" w:sz="8" w:color="auto"/>
            </w:tcBorders>
          </w:tcPr>
          <w:p>
            <w:pPr>
              <w:spacing w:after="0"/>
              <w:rPr>
                <w:sz w:val="3"/>
                <w:szCs w:val="3"/>
                <w:color w:val="auto"/>
              </w:rPr>
            </w:pPr>
          </w:p>
        </w:tc>
        <w:tc>
          <w:tcPr>
            <w:tcW w:w="698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r>
      <w:tr>
        <w:trPr>
          <w:trHeight w:val="196"/>
        </w:trPr>
        <w:tc>
          <w:tcPr>
            <w:tcW w:w="2420" w:type="dxa"/>
            <w:vAlign w:val="bottom"/>
            <w:shd w:val="clear" w:color="auto" w:fill="E5E5E5"/>
          </w:tcPr>
          <w:p>
            <w:pPr>
              <w:ind w:left="120"/>
              <w:spacing w:after="0"/>
              <w:rPr>
                <w:sz w:val="20"/>
                <w:szCs w:val="20"/>
                <w:color w:val="auto"/>
              </w:rPr>
            </w:pPr>
            <w:r>
              <w:rPr>
                <w:rFonts w:ascii="Calibri" w:cs="Calibri" w:eastAsia="Calibri" w:hAnsi="Calibri"/>
                <w:sz w:val="16"/>
                <w:szCs w:val="16"/>
                <w:i w:val="1"/>
                <w:iCs w:val="1"/>
                <w:color w:val="auto"/>
              </w:rPr>
              <w:t>Compensaton Commitee:</w:t>
            </w:r>
          </w:p>
        </w:tc>
        <w:tc>
          <w:tcPr>
            <w:tcW w:w="6980" w:type="dxa"/>
            <w:vAlign w:val="bottom"/>
            <w:shd w:val="clear" w:color="auto" w:fill="E5E5E5"/>
          </w:tcPr>
          <w:p>
            <w:pPr>
              <w:ind w:left="380"/>
              <w:spacing w:after="0"/>
              <w:rPr>
                <w:sz w:val="20"/>
                <w:szCs w:val="20"/>
                <w:color w:val="auto"/>
              </w:rPr>
            </w:pPr>
            <w:r>
              <w:rPr>
                <w:rFonts w:ascii="Calibri" w:cs="Calibri" w:eastAsia="Calibri" w:hAnsi="Calibri"/>
                <w:sz w:val="16"/>
                <w:szCs w:val="16"/>
                <w:color w:val="auto"/>
              </w:rPr>
              <w:t>Oversees</w:t>
            </w:r>
          </w:p>
        </w:tc>
        <w:tc>
          <w:tcPr>
            <w:tcW w:w="1840" w:type="dxa"/>
            <w:vAlign w:val="bottom"/>
            <w:shd w:val="clear" w:color="auto" w:fill="E5E5E5"/>
          </w:tcPr>
          <w:p>
            <w:pPr>
              <w:jc w:val="center"/>
              <w:ind w:left="79"/>
              <w:spacing w:after="0"/>
              <w:rPr>
                <w:sz w:val="20"/>
                <w:szCs w:val="20"/>
                <w:color w:val="auto"/>
              </w:rPr>
            </w:pPr>
            <w:r>
              <w:rPr>
                <w:rFonts w:ascii="Calibri" w:cs="Calibri" w:eastAsia="Calibri" w:hAnsi="Calibri"/>
                <w:sz w:val="16"/>
                <w:szCs w:val="16"/>
                <w:color w:val="auto"/>
                <w:w w:val="97"/>
              </w:rPr>
              <w:t>6</w:t>
            </w:r>
          </w:p>
        </w:tc>
      </w:tr>
      <w:tr>
        <w:trPr>
          <w:trHeight w:val="68"/>
        </w:trPr>
        <w:tc>
          <w:tcPr>
            <w:tcW w:w="2420" w:type="dxa"/>
            <w:vAlign w:val="bottom"/>
            <w:shd w:val="clear" w:color="auto" w:fill="E5E5E5"/>
          </w:tcPr>
          <w:p>
            <w:pPr>
              <w:spacing w:after="0"/>
              <w:rPr>
                <w:sz w:val="5"/>
                <w:szCs w:val="5"/>
                <w:color w:val="auto"/>
              </w:rPr>
            </w:pPr>
          </w:p>
        </w:tc>
        <w:tc>
          <w:tcPr>
            <w:tcW w:w="6980" w:type="dxa"/>
            <w:vAlign w:val="bottom"/>
            <w:shd w:val="clear" w:color="auto" w:fill="E5E5E5"/>
          </w:tcPr>
          <w:p>
            <w:pPr>
              <w:spacing w:after="0"/>
              <w:rPr>
                <w:sz w:val="5"/>
                <w:szCs w:val="5"/>
                <w:color w:val="auto"/>
              </w:rPr>
            </w:pPr>
          </w:p>
        </w:tc>
        <w:tc>
          <w:tcPr>
            <w:tcW w:w="1840" w:type="dxa"/>
            <w:vAlign w:val="bottom"/>
            <w:shd w:val="clear" w:color="auto" w:fill="E5E5E5"/>
          </w:tcPr>
          <w:p>
            <w:pPr>
              <w:spacing w:after="0"/>
              <w:rPr>
                <w:sz w:val="5"/>
                <w:szCs w:val="5"/>
                <w:color w:val="auto"/>
              </w:rPr>
            </w:pPr>
          </w:p>
        </w:tc>
      </w:tr>
      <w:tr>
        <w:trPr>
          <w:trHeight w:val="215"/>
        </w:trPr>
        <w:tc>
          <w:tcPr>
            <w:tcW w:w="2420" w:type="dxa"/>
            <w:vAlign w:val="bottom"/>
          </w:tcPr>
          <w:p>
            <w:pPr>
              <w:ind w:left="280"/>
              <w:spacing w:after="0"/>
              <w:rPr>
                <w:sz w:val="20"/>
                <w:szCs w:val="20"/>
                <w:color w:val="auto"/>
              </w:rPr>
            </w:pPr>
            <w:r>
              <w:rPr>
                <w:rFonts w:ascii="Calibri" w:cs="Calibri" w:eastAsia="Calibri" w:hAnsi="Calibri"/>
                <w:sz w:val="16"/>
                <w:szCs w:val="16"/>
                <w:color w:val="auto"/>
              </w:rPr>
              <w:t>Frank A. Bozich</w:t>
            </w:r>
          </w:p>
        </w:tc>
        <w:tc>
          <w:tcPr>
            <w:tcW w:w="6980" w:type="dxa"/>
            <w:vAlign w:val="bottom"/>
          </w:tcPr>
          <w:p>
            <w:pPr>
              <w:ind w:left="620"/>
              <w:spacing w:after="0"/>
              <w:rPr>
                <w:sz w:val="20"/>
                <w:szCs w:val="20"/>
                <w:color w:val="auto"/>
              </w:rPr>
            </w:pPr>
            <w:r>
              <w:rPr>
                <w:rFonts w:ascii="Calibri" w:cs="Calibri" w:eastAsia="Calibri" w:hAnsi="Calibri"/>
                <w:sz w:val="16"/>
                <w:szCs w:val="16"/>
                <w:color w:val="auto"/>
              </w:rPr>
              <w:t>• compensaton of directors and principal ofcers</w:t>
            </w:r>
          </w:p>
        </w:tc>
        <w:tc>
          <w:tcPr>
            <w:tcW w:w="1840" w:type="dxa"/>
            <w:vAlign w:val="bottom"/>
          </w:tcPr>
          <w:p>
            <w:pPr>
              <w:spacing w:after="0"/>
              <w:rPr>
                <w:sz w:val="18"/>
                <w:szCs w:val="18"/>
                <w:color w:val="auto"/>
              </w:rPr>
            </w:pPr>
          </w:p>
        </w:tc>
      </w:tr>
      <w:tr>
        <w:trPr>
          <w:trHeight w:val="82"/>
        </w:trPr>
        <w:tc>
          <w:tcPr>
            <w:tcW w:w="2420" w:type="dxa"/>
            <w:vAlign w:val="bottom"/>
          </w:tcPr>
          <w:p>
            <w:pPr>
              <w:spacing w:after="0"/>
              <w:rPr>
                <w:sz w:val="7"/>
                <w:szCs w:val="7"/>
                <w:color w:val="auto"/>
              </w:rPr>
            </w:pPr>
          </w:p>
        </w:tc>
        <w:tc>
          <w:tcPr>
            <w:tcW w:w="6980" w:type="dxa"/>
            <w:vAlign w:val="bottom"/>
          </w:tcPr>
          <w:p>
            <w:pPr>
              <w:spacing w:after="0"/>
              <w:rPr>
                <w:sz w:val="7"/>
                <w:szCs w:val="7"/>
                <w:color w:val="auto"/>
              </w:rPr>
            </w:pPr>
          </w:p>
        </w:tc>
        <w:tc>
          <w:tcPr>
            <w:tcW w:w="1840" w:type="dxa"/>
            <w:vAlign w:val="bottom"/>
          </w:tcPr>
          <w:p>
            <w:pPr>
              <w:spacing w:after="0"/>
              <w:rPr>
                <w:sz w:val="7"/>
                <w:szCs w:val="7"/>
                <w:color w:val="auto"/>
              </w:rPr>
            </w:pPr>
          </w:p>
        </w:tc>
      </w:tr>
      <w:tr>
        <w:trPr>
          <w:trHeight w:val="216"/>
        </w:trPr>
        <w:tc>
          <w:tcPr>
            <w:tcW w:w="2420" w:type="dxa"/>
            <w:vAlign w:val="bottom"/>
            <w:shd w:val="clear" w:color="auto" w:fill="E5E5E5"/>
          </w:tcPr>
          <w:p>
            <w:pPr>
              <w:ind w:left="280"/>
              <w:spacing w:after="0"/>
              <w:rPr>
                <w:sz w:val="20"/>
                <w:szCs w:val="20"/>
                <w:color w:val="auto"/>
              </w:rPr>
            </w:pPr>
            <w:r>
              <w:rPr>
                <w:rFonts w:ascii="Calibri" w:cs="Calibri" w:eastAsia="Calibri" w:hAnsi="Calibri"/>
                <w:sz w:val="16"/>
                <w:szCs w:val="16"/>
                <w:color w:val="auto"/>
              </w:rPr>
              <w:t>Cathy R. Gates</w:t>
            </w:r>
          </w:p>
        </w:tc>
        <w:tc>
          <w:tcPr>
            <w:tcW w:w="6980" w:type="dxa"/>
            <w:vAlign w:val="bottom"/>
            <w:shd w:val="clear" w:color="auto" w:fill="E5E5E5"/>
          </w:tcPr>
          <w:p>
            <w:pPr>
              <w:ind w:left="620"/>
              <w:spacing w:after="0"/>
              <w:rPr>
                <w:sz w:val="20"/>
                <w:szCs w:val="20"/>
                <w:color w:val="auto"/>
              </w:rPr>
            </w:pPr>
            <w:r>
              <w:rPr>
                <w:rFonts w:ascii="Calibri" w:cs="Calibri" w:eastAsia="Calibri" w:hAnsi="Calibri"/>
                <w:sz w:val="16"/>
                <w:szCs w:val="16"/>
                <w:color w:val="auto"/>
              </w:rPr>
              <w:t>• executve compensaton</w:t>
            </w:r>
          </w:p>
        </w:tc>
        <w:tc>
          <w:tcPr>
            <w:tcW w:w="1840" w:type="dxa"/>
            <w:vAlign w:val="bottom"/>
            <w:shd w:val="clear" w:color="auto" w:fill="E5E5E5"/>
          </w:tcPr>
          <w:p>
            <w:pPr>
              <w:spacing w:after="0"/>
              <w:rPr>
                <w:sz w:val="18"/>
                <w:szCs w:val="18"/>
                <w:color w:val="auto"/>
              </w:rPr>
            </w:pPr>
          </w:p>
        </w:tc>
      </w:tr>
      <w:tr>
        <w:trPr>
          <w:trHeight w:val="81"/>
        </w:trPr>
        <w:tc>
          <w:tcPr>
            <w:tcW w:w="2420" w:type="dxa"/>
            <w:vAlign w:val="bottom"/>
            <w:shd w:val="clear" w:color="auto" w:fill="E5E5E5"/>
          </w:tcPr>
          <w:p>
            <w:pPr>
              <w:spacing w:after="0"/>
              <w:rPr>
                <w:sz w:val="7"/>
                <w:szCs w:val="7"/>
                <w:color w:val="auto"/>
              </w:rPr>
            </w:pPr>
          </w:p>
        </w:tc>
        <w:tc>
          <w:tcPr>
            <w:tcW w:w="6980" w:type="dxa"/>
            <w:vAlign w:val="bottom"/>
            <w:shd w:val="clear" w:color="auto" w:fill="E5E5E5"/>
          </w:tcPr>
          <w:p>
            <w:pPr>
              <w:spacing w:after="0"/>
              <w:rPr>
                <w:sz w:val="7"/>
                <w:szCs w:val="7"/>
                <w:color w:val="auto"/>
              </w:rPr>
            </w:pPr>
          </w:p>
        </w:tc>
        <w:tc>
          <w:tcPr>
            <w:tcW w:w="1840" w:type="dxa"/>
            <w:vAlign w:val="bottom"/>
            <w:shd w:val="clear" w:color="auto" w:fill="E5E5E5"/>
          </w:tcPr>
          <w:p>
            <w:pPr>
              <w:spacing w:after="0"/>
              <w:rPr>
                <w:sz w:val="7"/>
                <w:szCs w:val="7"/>
                <w:color w:val="auto"/>
              </w:rPr>
            </w:pPr>
          </w:p>
        </w:tc>
      </w:tr>
      <w:tr>
        <w:trPr>
          <w:trHeight w:val="216"/>
        </w:trPr>
        <w:tc>
          <w:tcPr>
            <w:tcW w:w="2420" w:type="dxa"/>
            <w:vAlign w:val="bottom"/>
          </w:tcPr>
          <w:p>
            <w:pPr>
              <w:ind w:left="280"/>
              <w:spacing w:after="0"/>
              <w:rPr>
                <w:sz w:val="20"/>
                <w:szCs w:val="20"/>
                <w:color w:val="auto"/>
              </w:rPr>
            </w:pPr>
            <w:r>
              <w:rPr>
                <w:rFonts w:ascii="Calibri" w:cs="Calibri" w:eastAsia="Calibri" w:hAnsi="Calibri"/>
                <w:sz w:val="16"/>
                <w:szCs w:val="16"/>
                <w:color w:val="auto"/>
              </w:rPr>
              <w:t>David L. Hauser*</w:t>
            </w:r>
          </w:p>
        </w:tc>
        <w:tc>
          <w:tcPr>
            <w:tcW w:w="6980" w:type="dxa"/>
            <w:vAlign w:val="bottom"/>
          </w:tcPr>
          <w:p>
            <w:pPr>
              <w:ind w:left="620"/>
              <w:spacing w:after="0"/>
              <w:rPr>
                <w:sz w:val="20"/>
                <w:szCs w:val="20"/>
                <w:color w:val="auto"/>
              </w:rPr>
            </w:pPr>
            <w:r>
              <w:rPr>
                <w:rFonts w:ascii="Calibri" w:cs="Calibri" w:eastAsia="Calibri" w:hAnsi="Calibri"/>
                <w:sz w:val="16"/>
                <w:szCs w:val="16"/>
                <w:color w:val="auto"/>
              </w:rPr>
              <w:t>• beneft programs</w:t>
            </w:r>
          </w:p>
        </w:tc>
        <w:tc>
          <w:tcPr>
            <w:tcW w:w="1840" w:type="dxa"/>
            <w:vAlign w:val="bottom"/>
          </w:tcPr>
          <w:p>
            <w:pPr>
              <w:spacing w:after="0"/>
              <w:rPr>
                <w:sz w:val="18"/>
                <w:szCs w:val="18"/>
                <w:color w:val="auto"/>
              </w:rPr>
            </w:pPr>
          </w:p>
        </w:tc>
      </w:tr>
      <w:tr>
        <w:trPr>
          <w:trHeight w:val="82"/>
        </w:trPr>
        <w:tc>
          <w:tcPr>
            <w:tcW w:w="2420" w:type="dxa"/>
            <w:vAlign w:val="bottom"/>
          </w:tcPr>
          <w:p>
            <w:pPr>
              <w:spacing w:after="0"/>
              <w:rPr>
                <w:sz w:val="7"/>
                <w:szCs w:val="7"/>
                <w:color w:val="auto"/>
              </w:rPr>
            </w:pPr>
          </w:p>
        </w:tc>
        <w:tc>
          <w:tcPr>
            <w:tcW w:w="6980" w:type="dxa"/>
            <w:vAlign w:val="bottom"/>
          </w:tcPr>
          <w:p>
            <w:pPr>
              <w:spacing w:after="0"/>
              <w:rPr>
                <w:sz w:val="7"/>
                <w:szCs w:val="7"/>
                <w:color w:val="auto"/>
              </w:rPr>
            </w:pPr>
          </w:p>
        </w:tc>
        <w:tc>
          <w:tcPr>
            <w:tcW w:w="1840" w:type="dxa"/>
            <w:vAlign w:val="bottom"/>
          </w:tcPr>
          <w:p>
            <w:pPr>
              <w:spacing w:after="0"/>
              <w:rPr>
                <w:sz w:val="7"/>
                <w:szCs w:val="7"/>
                <w:color w:val="auto"/>
              </w:rPr>
            </w:pPr>
          </w:p>
        </w:tc>
      </w:tr>
      <w:tr>
        <w:trPr>
          <w:trHeight w:val="215"/>
        </w:trPr>
        <w:tc>
          <w:tcPr>
            <w:tcW w:w="2420" w:type="dxa"/>
            <w:vAlign w:val="bottom"/>
            <w:shd w:val="clear" w:color="auto" w:fill="E5E5E5"/>
          </w:tcPr>
          <w:p>
            <w:pPr>
              <w:ind w:left="280"/>
              <w:spacing w:after="0"/>
              <w:rPr>
                <w:sz w:val="20"/>
                <w:szCs w:val="20"/>
                <w:color w:val="auto"/>
              </w:rPr>
            </w:pPr>
            <w:r>
              <w:rPr>
                <w:rFonts w:ascii="Calibri" w:cs="Calibri" w:eastAsia="Calibri" w:hAnsi="Calibri"/>
                <w:sz w:val="16"/>
                <w:szCs w:val="16"/>
                <w:color w:val="auto"/>
              </w:rPr>
              <w:t>Luther C. Kissam, IV</w:t>
            </w:r>
          </w:p>
        </w:tc>
        <w:tc>
          <w:tcPr>
            <w:tcW w:w="6980" w:type="dxa"/>
            <w:vAlign w:val="bottom"/>
            <w:shd w:val="clear" w:color="auto" w:fill="E5E5E5"/>
          </w:tcPr>
          <w:p>
            <w:pPr>
              <w:ind w:left="620"/>
              <w:spacing w:after="0"/>
              <w:rPr>
                <w:sz w:val="20"/>
                <w:szCs w:val="20"/>
                <w:color w:val="auto"/>
              </w:rPr>
            </w:pPr>
            <w:r>
              <w:rPr>
                <w:rFonts w:ascii="Calibri" w:cs="Calibri" w:eastAsia="Calibri" w:hAnsi="Calibri"/>
                <w:sz w:val="16"/>
                <w:szCs w:val="16"/>
                <w:color w:val="auto"/>
              </w:rPr>
              <w:t>• incentve compensaton clawback policy</w:t>
            </w:r>
          </w:p>
        </w:tc>
        <w:tc>
          <w:tcPr>
            <w:tcW w:w="1840" w:type="dxa"/>
            <w:vAlign w:val="bottom"/>
            <w:shd w:val="clear" w:color="auto" w:fill="E5E5E5"/>
          </w:tcPr>
          <w:p>
            <w:pPr>
              <w:spacing w:after="0"/>
              <w:rPr>
                <w:sz w:val="18"/>
                <w:szCs w:val="18"/>
                <w:color w:val="auto"/>
              </w:rPr>
            </w:pPr>
          </w:p>
        </w:tc>
      </w:tr>
      <w:tr>
        <w:trPr>
          <w:trHeight w:val="82"/>
        </w:trPr>
        <w:tc>
          <w:tcPr>
            <w:tcW w:w="2420" w:type="dxa"/>
            <w:vAlign w:val="bottom"/>
            <w:shd w:val="clear" w:color="auto" w:fill="E5E5E5"/>
          </w:tcPr>
          <w:p>
            <w:pPr>
              <w:spacing w:after="0"/>
              <w:rPr>
                <w:sz w:val="7"/>
                <w:szCs w:val="7"/>
                <w:color w:val="auto"/>
              </w:rPr>
            </w:pPr>
          </w:p>
        </w:tc>
        <w:tc>
          <w:tcPr>
            <w:tcW w:w="6980" w:type="dxa"/>
            <w:vAlign w:val="bottom"/>
            <w:shd w:val="clear" w:color="auto" w:fill="E5E5E5"/>
          </w:tcPr>
          <w:p>
            <w:pPr>
              <w:spacing w:after="0"/>
              <w:rPr>
                <w:sz w:val="7"/>
                <w:szCs w:val="7"/>
                <w:color w:val="auto"/>
              </w:rPr>
            </w:pPr>
          </w:p>
        </w:tc>
        <w:tc>
          <w:tcPr>
            <w:tcW w:w="1840" w:type="dxa"/>
            <w:vAlign w:val="bottom"/>
            <w:shd w:val="clear" w:color="auto" w:fill="E5E5E5"/>
          </w:tcPr>
          <w:p>
            <w:pPr>
              <w:spacing w:after="0"/>
              <w:rPr>
                <w:sz w:val="7"/>
                <w:szCs w:val="7"/>
                <w:color w:val="auto"/>
              </w:rPr>
            </w:pPr>
          </w:p>
        </w:tc>
      </w:tr>
      <w:tr>
        <w:trPr>
          <w:trHeight w:val="216"/>
        </w:trPr>
        <w:tc>
          <w:tcPr>
            <w:tcW w:w="2420" w:type="dxa"/>
            <w:vAlign w:val="bottom"/>
          </w:tcPr>
          <w:p>
            <w:pPr>
              <w:ind w:left="280"/>
              <w:spacing w:after="0"/>
              <w:rPr>
                <w:sz w:val="20"/>
                <w:szCs w:val="20"/>
                <w:color w:val="auto"/>
              </w:rPr>
            </w:pPr>
            <w:r>
              <w:rPr>
                <w:rFonts w:ascii="Calibri" w:cs="Calibri" w:eastAsia="Calibri" w:hAnsi="Calibri"/>
                <w:sz w:val="16"/>
                <w:szCs w:val="16"/>
                <w:color w:val="auto"/>
              </w:rPr>
              <w:t>Judy R. McReynolds</w:t>
            </w:r>
          </w:p>
        </w:tc>
        <w:tc>
          <w:tcPr>
            <w:tcW w:w="698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81"/>
        </w:trPr>
        <w:tc>
          <w:tcPr>
            <w:tcW w:w="2420" w:type="dxa"/>
            <w:vAlign w:val="bottom"/>
          </w:tcPr>
          <w:p>
            <w:pPr>
              <w:spacing w:after="0"/>
              <w:rPr>
                <w:sz w:val="7"/>
                <w:szCs w:val="7"/>
                <w:color w:val="auto"/>
              </w:rPr>
            </w:pPr>
          </w:p>
        </w:tc>
        <w:tc>
          <w:tcPr>
            <w:tcW w:w="6980" w:type="dxa"/>
            <w:vAlign w:val="bottom"/>
          </w:tcPr>
          <w:p>
            <w:pPr>
              <w:spacing w:after="0"/>
              <w:rPr>
                <w:sz w:val="7"/>
                <w:szCs w:val="7"/>
                <w:color w:val="auto"/>
              </w:rPr>
            </w:pPr>
          </w:p>
        </w:tc>
        <w:tc>
          <w:tcPr>
            <w:tcW w:w="1840" w:type="dxa"/>
            <w:vAlign w:val="bottom"/>
          </w:tcPr>
          <w:p>
            <w:pPr>
              <w:spacing w:after="0"/>
              <w:rPr>
                <w:sz w:val="7"/>
                <w:szCs w:val="7"/>
                <w:color w:val="auto"/>
              </w:rPr>
            </w:pPr>
          </w:p>
        </w:tc>
      </w:tr>
      <w:tr>
        <w:trPr>
          <w:trHeight w:val="216"/>
        </w:trPr>
        <w:tc>
          <w:tcPr>
            <w:tcW w:w="2420" w:type="dxa"/>
            <w:vAlign w:val="bottom"/>
            <w:shd w:val="clear" w:color="auto" w:fill="E5E5E5"/>
          </w:tcPr>
          <w:p>
            <w:pPr>
              <w:ind w:left="280"/>
              <w:spacing w:after="0"/>
              <w:rPr>
                <w:sz w:val="20"/>
                <w:szCs w:val="20"/>
                <w:color w:val="auto"/>
              </w:rPr>
            </w:pPr>
            <w:r>
              <w:rPr>
                <w:rFonts w:ascii="Calibri" w:cs="Calibri" w:eastAsia="Calibri" w:hAnsi="Calibri"/>
                <w:sz w:val="16"/>
                <w:szCs w:val="16"/>
                <w:color w:val="auto"/>
              </w:rPr>
              <w:t>Sheila G. Talton</w:t>
            </w:r>
          </w:p>
        </w:tc>
        <w:tc>
          <w:tcPr>
            <w:tcW w:w="6980" w:type="dxa"/>
            <w:vAlign w:val="bottom"/>
            <w:shd w:val="clear" w:color="auto" w:fill="E5E5E5"/>
          </w:tcPr>
          <w:p>
            <w:pPr>
              <w:spacing w:after="0"/>
              <w:rPr>
                <w:sz w:val="18"/>
                <w:szCs w:val="18"/>
                <w:color w:val="auto"/>
              </w:rPr>
            </w:pPr>
          </w:p>
        </w:tc>
        <w:tc>
          <w:tcPr>
            <w:tcW w:w="1840" w:type="dxa"/>
            <w:vAlign w:val="bottom"/>
            <w:shd w:val="clear" w:color="auto" w:fill="E5E5E5"/>
          </w:tcPr>
          <w:p>
            <w:pPr>
              <w:spacing w:after="0"/>
              <w:rPr>
                <w:sz w:val="18"/>
                <w:szCs w:val="18"/>
                <w:color w:val="auto"/>
              </w:rPr>
            </w:pPr>
          </w:p>
        </w:tc>
      </w:tr>
      <w:tr>
        <w:trPr>
          <w:trHeight w:val="82"/>
        </w:trPr>
        <w:tc>
          <w:tcPr>
            <w:tcW w:w="2420" w:type="dxa"/>
            <w:vAlign w:val="bottom"/>
            <w:shd w:val="clear" w:color="auto" w:fill="E5E5E5"/>
          </w:tcPr>
          <w:p>
            <w:pPr>
              <w:spacing w:after="0"/>
              <w:rPr>
                <w:sz w:val="7"/>
                <w:szCs w:val="7"/>
                <w:color w:val="auto"/>
              </w:rPr>
            </w:pPr>
          </w:p>
        </w:tc>
        <w:tc>
          <w:tcPr>
            <w:tcW w:w="6980" w:type="dxa"/>
            <w:vAlign w:val="bottom"/>
            <w:shd w:val="clear" w:color="auto" w:fill="E5E5E5"/>
          </w:tcPr>
          <w:p>
            <w:pPr>
              <w:spacing w:after="0"/>
              <w:rPr>
                <w:sz w:val="7"/>
                <w:szCs w:val="7"/>
                <w:color w:val="auto"/>
              </w:rPr>
            </w:pPr>
          </w:p>
        </w:tc>
        <w:tc>
          <w:tcPr>
            <w:tcW w:w="1840" w:type="dxa"/>
            <w:vAlign w:val="bottom"/>
            <w:shd w:val="clear" w:color="auto" w:fill="E5E5E5"/>
          </w:tcPr>
          <w:p>
            <w:pPr>
              <w:spacing w:after="0"/>
              <w:rPr>
                <w:sz w:val="7"/>
                <w:szCs w:val="7"/>
                <w:color w:val="auto"/>
              </w:rPr>
            </w:pPr>
          </w:p>
        </w:tc>
      </w:tr>
      <w:tr>
        <w:trPr>
          <w:trHeight w:val="297"/>
        </w:trPr>
        <w:tc>
          <w:tcPr>
            <w:tcW w:w="242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02"/>
        </w:trPr>
        <w:tc>
          <w:tcPr>
            <w:tcW w:w="2420" w:type="dxa"/>
            <w:vAlign w:val="bottom"/>
            <w:shd w:val="clear" w:color="auto" w:fill="E5E5E5"/>
          </w:tcPr>
          <w:p>
            <w:pPr>
              <w:ind w:left="120"/>
              <w:spacing w:after="0"/>
              <w:rPr>
                <w:sz w:val="20"/>
                <w:szCs w:val="20"/>
                <w:color w:val="auto"/>
              </w:rPr>
            </w:pPr>
            <w:r>
              <w:rPr>
                <w:rFonts w:ascii="Calibri" w:cs="Calibri" w:eastAsia="Calibri" w:hAnsi="Calibri"/>
                <w:sz w:val="16"/>
                <w:szCs w:val="16"/>
                <w:i w:val="1"/>
                <w:iCs w:val="1"/>
                <w:color w:val="auto"/>
              </w:rPr>
              <w:t>Audit Commitee:</w:t>
            </w:r>
          </w:p>
        </w:tc>
        <w:tc>
          <w:tcPr>
            <w:tcW w:w="6980" w:type="dxa"/>
            <w:vAlign w:val="bottom"/>
            <w:shd w:val="clear" w:color="auto" w:fill="E5E5E5"/>
          </w:tcPr>
          <w:p>
            <w:pPr>
              <w:ind w:left="380"/>
              <w:spacing w:after="0"/>
              <w:rPr>
                <w:sz w:val="20"/>
                <w:szCs w:val="20"/>
                <w:color w:val="auto"/>
              </w:rPr>
            </w:pPr>
            <w:r>
              <w:rPr>
                <w:rFonts w:ascii="Calibri" w:cs="Calibri" w:eastAsia="Calibri" w:hAnsi="Calibri"/>
                <w:sz w:val="16"/>
                <w:szCs w:val="16"/>
                <w:color w:val="auto"/>
              </w:rPr>
              <w:t>Oversees fnancial reportng process</w:t>
            </w:r>
          </w:p>
        </w:tc>
        <w:tc>
          <w:tcPr>
            <w:tcW w:w="1840" w:type="dxa"/>
            <w:vAlign w:val="bottom"/>
            <w:shd w:val="clear" w:color="auto" w:fill="E5E5E5"/>
          </w:tcPr>
          <w:p>
            <w:pPr>
              <w:jc w:val="center"/>
              <w:ind w:left="79"/>
              <w:spacing w:after="0" w:line="193" w:lineRule="exact"/>
              <w:rPr>
                <w:sz w:val="20"/>
                <w:szCs w:val="20"/>
                <w:color w:val="auto"/>
              </w:rPr>
            </w:pPr>
            <w:r>
              <w:rPr>
                <w:rFonts w:ascii="Calibri" w:cs="Calibri" w:eastAsia="Calibri" w:hAnsi="Calibri"/>
                <w:sz w:val="16"/>
                <w:szCs w:val="16"/>
                <w:color w:val="auto"/>
                <w:w w:val="97"/>
              </w:rPr>
              <w:t>4</w:t>
            </w:r>
          </w:p>
        </w:tc>
      </w:tr>
      <w:tr>
        <w:trPr>
          <w:trHeight w:val="68"/>
        </w:trPr>
        <w:tc>
          <w:tcPr>
            <w:tcW w:w="2420" w:type="dxa"/>
            <w:vAlign w:val="bottom"/>
            <w:shd w:val="clear" w:color="auto" w:fill="E5E5E5"/>
          </w:tcPr>
          <w:p>
            <w:pPr>
              <w:spacing w:after="0"/>
              <w:rPr>
                <w:sz w:val="5"/>
                <w:szCs w:val="5"/>
                <w:color w:val="auto"/>
              </w:rPr>
            </w:pPr>
          </w:p>
        </w:tc>
        <w:tc>
          <w:tcPr>
            <w:tcW w:w="6980" w:type="dxa"/>
            <w:vAlign w:val="bottom"/>
            <w:shd w:val="clear" w:color="auto" w:fill="E5E5E5"/>
          </w:tcPr>
          <w:p>
            <w:pPr>
              <w:spacing w:after="0"/>
              <w:rPr>
                <w:sz w:val="5"/>
                <w:szCs w:val="5"/>
                <w:color w:val="auto"/>
              </w:rPr>
            </w:pPr>
          </w:p>
        </w:tc>
        <w:tc>
          <w:tcPr>
            <w:tcW w:w="1840" w:type="dxa"/>
            <w:vAlign w:val="bottom"/>
            <w:shd w:val="clear" w:color="auto" w:fill="E5E5E5"/>
          </w:tcPr>
          <w:p>
            <w:pPr>
              <w:spacing w:after="0"/>
              <w:rPr>
                <w:sz w:val="5"/>
                <w:szCs w:val="5"/>
                <w:color w:val="auto"/>
              </w:rPr>
            </w:pPr>
          </w:p>
        </w:tc>
      </w:tr>
      <w:tr>
        <w:trPr>
          <w:trHeight w:val="216"/>
        </w:trPr>
        <w:tc>
          <w:tcPr>
            <w:tcW w:w="2420" w:type="dxa"/>
            <w:vAlign w:val="bottom"/>
          </w:tcPr>
          <w:p>
            <w:pPr>
              <w:ind w:left="280"/>
              <w:spacing w:after="0"/>
              <w:rPr>
                <w:sz w:val="20"/>
                <w:szCs w:val="20"/>
                <w:color w:val="auto"/>
              </w:rPr>
            </w:pPr>
            <w:r>
              <w:rPr>
                <w:rFonts w:ascii="Calibri" w:cs="Calibri" w:eastAsia="Calibri" w:hAnsi="Calibri"/>
                <w:sz w:val="16"/>
                <w:szCs w:val="16"/>
                <w:color w:val="auto"/>
              </w:rPr>
              <w:t>Peter D. Clarke</w:t>
            </w:r>
          </w:p>
        </w:tc>
        <w:tc>
          <w:tcPr>
            <w:tcW w:w="6980" w:type="dxa"/>
            <w:vAlign w:val="bottom"/>
          </w:tcPr>
          <w:p>
            <w:pPr>
              <w:ind w:left="620"/>
              <w:spacing w:after="0"/>
              <w:rPr>
                <w:sz w:val="20"/>
                <w:szCs w:val="20"/>
                <w:color w:val="auto"/>
              </w:rPr>
            </w:pPr>
            <w:r>
              <w:rPr>
                <w:rFonts w:ascii="Calibri" w:cs="Calibri" w:eastAsia="Calibri" w:hAnsi="Calibri"/>
                <w:sz w:val="16"/>
                <w:szCs w:val="16"/>
                <w:color w:val="auto"/>
              </w:rPr>
              <w:t>• evaluate performance of independent auditors</w:t>
            </w:r>
          </w:p>
        </w:tc>
        <w:tc>
          <w:tcPr>
            <w:tcW w:w="1840" w:type="dxa"/>
            <w:vAlign w:val="bottom"/>
          </w:tcPr>
          <w:p>
            <w:pPr>
              <w:spacing w:after="0"/>
              <w:rPr>
                <w:sz w:val="18"/>
                <w:szCs w:val="18"/>
                <w:color w:val="auto"/>
              </w:rPr>
            </w:pPr>
          </w:p>
        </w:tc>
      </w:tr>
      <w:tr>
        <w:trPr>
          <w:trHeight w:val="82"/>
        </w:trPr>
        <w:tc>
          <w:tcPr>
            <w:tcW w:w="2420" w:type="dxa"/>
            <w:vAlign w:val="bottom"/>
          </w:tcPr>
          <w:p>
            <w:pPr>
              <w:spacing w:after="0"/>
              <w:rPr>
                <w:sz w:val="7"/>
                <w:szCs w:val="7"/>
                <w:color w:val="auto"/>
              </w:rPr>
            </w:pPr>
          </w:p>
        </w:tc>
        <w:tc>
          <w:tcPr>
            <w:tcW w:w="6980" w:type="dxa"/>
            <w:vAlign w:val="bottom"/>
          </w:tcPr>
          <w:p>
            <w:pPr>
              <w:spacing w:after="0"/>
              <w:rPr>
                <w:sz w:val="7"/>
                <w:szCs w:val="7"/>
                <w:color w:val="auto"/>
              </w:rPr>
            </w:pPr>
          </w:p>
        </w:tc>
        <w:tc>
          <w:tcPr>
            <w:tcW w:w="1840" w:type="dxa"/>
            <w:vAlign w:val="bottom"/>
          </w:tcPr>
          <w:p>
            <w:pPr>
              <w:spacing w:after="0"/>
              <w:rPr>
                <w:sz w:val="7"/>
                <w:szCs w:val="7"/>
                <w:color w:val="auto"/>
              </w:rPr>
            </w:pPr>
          </w:p>
        </w:tc>
      </w:tr>
      <w:tr>
        <w:trPr>
          <w:trHeight w:val="215"/>
        </w:trPr>
        <w:tc>
          <w:tcPr>
            <w:tcW w:w="2420" w:type="dxa"/>
            <w:vAlign w:val="bottom"/>
            <w:shd w:val="clear" w:color="auto" w:fill="E5E5E5"/>
          </w:tcPr>
          <w:p>
            <w:pPr>
              <w:ind w:left="280"/>
              <w:spacing w:after="0"/>
              <w:rPr>
                <w:sz w:val="20"/>
                <w:szCs w:val="20"/>
                <w:color w:val="auto"/>
              </w:rPr>
            </w:pPr>
            <w:r>
              <w:rPr>
                <w:rFonts w:ascii="Calibri" w:cs="Calibri" w:eastAsia="Calibri" w:hAnsi="Calibri"/>
                <w:sz w:val="16"/>
                <w:szCs w:val="16"/>
                <w:color w:val="auto"/>
              </w:rPr>
              <w:t>David L. Hauser**</w:t>
            </w:r>
          </w:p>
        </w:tc>
        <w:tc>
          <w:tcPr>
            <w:tcW w:w="6980" w:type="dxa"/>
            <w:vAlign w:val="bottom"/>
            <w:shd w:val="clear" w:color="auto" w:fill="E5E5E5"/>
          </w:tcPr>
          <w:p>
            <w:pPr>
              <w:ind w:left="620"/>
              <w:spacing w:after="0"/>
              <w:rPr>
                <w:sz w:val="20"/>
                <w:szCs w:val="20"/>
                <w:color w:val="auto"/>
              </w:rPr>
            </w:pPr>
            <w:r>
              <w:rPr>
                <w:rFonts w:ascii="Calibri" w:cs="Calibri" w:eastAsia="Calibri" w:hAnsi="Calibri"/>
                <w:sz w:val="16"/>
                <w:szCs w:val="16"/>
                <w:color w:val="auto"/>
              </w:rPr>
              <w:t>• select independent auditors</w:t>
            </w:r>
          </w:p>
        </w:tc>
        <w:tc>
          <w:tcPr>
            <w:tcW w:w="1840" w:type="dxa"/>
            <w:vAlign w:val="bottom"/>
            <w:shd w:val="clear" w:color="auto" w:fill="E5E5E5"/>
          </w:tcPr>
          <w:p>
            <w:pPr>
              <w:spacing w:after="0"/>
              <w:rPr>
                <w:sz w:val="18"/>
                <w:szCs w:val="18"/>
                <w:color w:val="auto"/>
              </w:rPr>
            </w:pPr>
          </w:p>
        </w:tc>
      </w:tr>
      <w:tr>
        <w:trPr>
          <w:trHeight w:val="82"/>
        </w:trPr>
        <w:tc>
          <w:tcPr>
            <w:tcW w:w="2420" w:type="dxa"/>
            <w:vAlign w:val="bottom"/>
            <w:shd w:val="clear" w:color="auto" w:fill="E5E5E5"/>
          </w:tcPr>
          <w:p>
            <w:pPr>
              <w:spacing w:after="0"/>
              <w:rPr>
                <w:sz w:val="7"/>
                <w:szCs w:val="7"/>
                <w:color w:val="auto"/>
              </w:rPr>
            </w:pPr>
          </w:p>
        </w:tc>
        <w:tc>
          <w:tcPr>
            <w:tcW w:w="6980" w:type="dxa"/>
            <w:vAlign w:val="bottom"/>
            <w:shd w:val="clear" w:color="auto" w:fill="E5E5E5"/>
          </w:tcPr>
          <w:p>
            <w:pPr>
              <w:spacing w:after="0"/>
              <w:rPr>
                <w:sz w:val="7"/>
                <w:szCs w:val="7"/>
                <w:color w:val="auto"/>
              </w:rPr>
            </w:pPr>
          </w:p>
        </w:tc>
        <w:tc>
          <w:tcPr>
            <w:tcW w:w="1840" w:type="dxa"/>
            <w:vAlign w:val="bottom"/>
            <w:shd w:val="clear" w:color="auto" w:fill="E5E5E5"/>
          </w:tcPr>
          <w:p>
            <w:pPr>
              <w:spacing w:after="0"/>
              <w:rPr>
                <w:sz w:val="7"/>
                <w:szCs w:val="7"/>
                <w:color w:val="auto"/>
              </w:rPr>
            </w:pPr>
          </w:p>
        </w:tc>
      </w:tr>
      <w:tr>
        <w:trPr>
          <w:trHeight w:val="193"/>
        </w:trPr>
        <w:tc>
          <w:tcPr>
            <w:tcW w:w="2420" w:type="dxa"/>
            <w:vAlign w:val="bottom"/>
          </w:tcPr>
          <w:p>
            <w:pPr>
              <w:spacing w:after="0"/>
              <w:rPr>
                <w:sz w:val="16"/>
                <w:szCs w:val="16"/>
                <w:color w:val="auto"/>
              </w:rPr>
            </w:pPr>
          </w:p>
        </w:tc>
        <w:tc>
          <w:tcPr>
            <w:tcW w:w="6980" w:type="dxa"/>
            <w:vAlign w:val="bottom"/>
          </w:tcPr>
          <w:p>
            <w:pPr>
              <w:ind w:left="620"/>
              <w:spacing w:after="0" w:line="193" w:lineRule="exact"/>
              <w:rPr>
                <w:sz w:val="20"/>
                <w:szCs w:val="20"/>
                <w:color w:val="auto"/>
              </w:rPr>
            </w:pPr>
            <w:r>
              <w:rPr>
                <w:rFonts w:ascii="Calibri" w:cs="Calibri" w:eastAsia="Calibri" w:hAnsi="Calibri"/>
                <w:sz w:val="16"/>
                <w:szCs w:val="16"/>
                <w:color w:val="auto"/>
              </w:rPr>
              <w:t>• discuss with internal and independent auditors scope and plans for audits, adequacy and</w:t>
            </w:r>
          </w:p>
        </w:tc>
        <w:tc>
          <w:tcPr>
            <w:tcW w:w="1840" w:type="dxa"/>
            <w:vAlign w:val="bottom"/>
          </w:tcPr>
          <w:p>
            <w:pPr>
              <w:spacing w:after="0"/>
              <w:rPr>
                <w:sz w:val="16"/>
                <w:szCs w:val="16"/>
                <w:color w:val="auto"/>
              </w:rPr>
            </w:pPr>
          </w:p>
        </w:tc>
      </w:tr>
      <w:tr>
        <w:trPr>
          <w:trHeight w:val="198"/>
        </w:trPr>
        <w:tc>
          <w:tcPr>
            <w:tcW w:w="2420" w:type="dxa"/>
            <w:vAlign w:val="bottom"/>
          </w:tcPr>
          <w:p>
            <w:pPr>
              <w:ind w:left="280"/>
              <w:spacing w:after="0"/>
              <w:rPr>
                <w:sz w:val="20"/>
                <w:szCs w:val="20"/>
                <w:color w:val="auto"/>
              </w:rPr>
            </w:pPr>
            <w:r>
              <w:rPr>
                <w:rFonts w:ascii="Calibri" w:cs="Calibri" w:eastAsia="Calibri" w:hAnsi="Calibri"/>
                <w:sz w:val="16"/>
                <w:szCs w:val="16"/>
                <w:color w:val="auto"/>
              </w:rPr>
              <w:t>David E. Rainbolt</w:t>
            </w:r>
          </w:p>
        </w:tc>
        <w:tc>
          <w:tcPr>
            <w:tcW w:w="6980" w:type="dxa"/>
            <w:vAlign w:val="bottom"/>
          </w:tcPr>
          <w:p>
            <w:pPr>
              <w:ind w:left="780"/>
              <w:spacing w:after="0"/>
              <w:rPr>
                <w:sz w:val="20"/>
                <w:szCs w:val="20"/>
                <w:color w:val="auto"/>
              </w:rPr>
            </w:pPr>
            <w:r>
              <w:rPr>
                <w:rFonts w:ascii="Calibri" w:cs="Calibri" w:eastAsia="Calibri" w:hAnsi="Calibri"/>
                <w:sz w:val="16"/>
                <w:szCs w:val="16"/>
                <w:color w:val="auto"/>
              </w:rPr>
              <w:t>efectveness of internal controls for fnancial reportng purposes, and results of their</w:t>
            </w:r>
          </w:p>
        </w:tc>
        <w:tc>
          <w:tcPr>
            <w:tcW w:w="1840" w:type="dxa"/>
            <w:vAlign w:val="bottom"/>
          </w:tcPr>
          <w:p>
            <w:pPr>
              <w:spacing w:after="0"/>
              <w:rPr>
                <w:sz w:val="17"/>
                <w:szCs w:val="17"/>
                <w:color w:val="auto"/>
              </w:rPr>
            </w:pPr>
          </w:p>
        </w:tc>
      </w:tr>
      <w:tr>
        <w:trPr>
          <w:trHeight w:val="203"/>
        </w:trPr>
        <w:tc>
          <w:tcPr>
            <w:tcW w:w="2420" w:type="dxa"/>
            <w:vAlign w:val="bottom"/>
          </w:tcPr>
          <w:p>
            <w:pPr>
              <w:spacing w:after="0"/>
              <w:rPr>
                <w:sz w:val="17"/>
                <w:szCs w:val="17"/>
                <w:color w:val="auto"/>
              </w:rPr>
            </w:pPr>
          </w:p>
        </w:tc>
        <w:tc>
          <w:tcPr>
            <w:tcW w:w="6980" w:type="dxa"/>
            <w:vAlign w:val="bottom"/>
          </w:tcPr>
          <w:p>
            <w:pPr>
              <w:ind w:left="780"/>
              <w:spacing w:after="0"/>
              <w:rPr>
                <w:sz w:val="20"/>
                <w:szCs w:val="20"/>
                <w:color w:val="auto"/>
              </w:rPr>
            </w:pPr>
            <w:r>
              <w:rPr>
                <w:rFonts w:ascii="Calibri" w:cs="Calibri" w:eastAsia="Calibri" w:hAnsi="Calibri"/>
                <w:sz w:val="16"/>
                <w:szCs w:val="16"/>
                <w:color w:val="auto"/>
              </w:rPr>
              <w:t>examinaton</w:t>
            </w:r>
          </w:p>
        </w:tc>
        <w:tc>
          <w:tcPr>
            <w:tcW w:w="1840" w:type="dxa"/>
            <w:vAlign w:val="bottom"/>
          </w:tcPr>
          <w:p>
            <w:pPr>
              <w:spacing w:after="0"/>
              <w:rPr>
                <w:sz w:val="17"/>
                <w:szCs w:val="17"/>
                <w:color w:val="auto"/>
              </w:rPr>
            </w:pPr>
          </w:p>
        </w:tc>
      </w:tr>
    </w:tbl>
    <w:p>
      <w:pPr>
        <w:spacing w:after="0" w:line="36" w:lineRule="exact"/>
        <w:rPr>
          <w:sz w:val="20"/>
          <w:szCs w:val="20"/>
          <w:color w:val="auto"/>
        </w:rPr>
      </w:pPr>
    </w:p>
    <w:p>
      <w:pPr>
        <w:sectPr>
          <w:pgSz w:w="11900" w:h="16838" w:orient="portrait"/>
          <w:cols w:equalWidth="0" w:num="1">
            <w:col w:w="11240"/>
          </w:cols>
          <w:pgMar w:left="320" w:top="1157" w:right="339" w:bottom="1440" w:gutter="0" w:footer="0" w:header="0"/>
        </w:sectPr>
      </w:pPr>
    </w:p>
    <w:p>
      <w:pPr>
        <w:spacing w:after="0" w:line="93" w:lineRule="exact"/>
        <w:rPr>
          <w:sz w:val="20"/>
          <w:szCs w:val="20"/>
          <w:color w:val="auto"/>
        </w:rPr>
      </w:pPr>
    </w:p>
    <w:p>
      <w:pPr>
        <w:ind w:left="280"/>
        <w:spacing w:after="0"/>
        <w:rPr>
          <w:sz w:val="20"/>
          <w:szCs w:val="20"/>
          <w:color w:val="auto"/>
        </w:rPr>
      </w:pPr>
      <w:r>
        <w:rPr>
          <w:rFonts w:ascii="Calibri" w:cs="Calibri" w:eastAsia="Calibri" w:hAnsi="Calibri"/>
          <w:sz w:val="16"/>
          <w:szCs w:val="16"/>
          <w:color w:val="auto"/>
        </w:rPr>
        <w:t>J. Michael Sanner*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0" w:right="20"/>
        <w:spacing w:after="0" w:line="247" w:lineRule="auto"/>
        <w:rPr>
          <w:sz w:val="20"/>
          <w:szCs w:val="20"/>
          <w:color w:val="auto"/>
        </w:rPr>
      </w:pPr>
      <w:r>
        <w:rPr>
          <w:rFonts w:ascii="Calibri" w:cs="Calibri" w:eastAsia="Calibri" w:hAnsi="Calibri"/>
          <w:sz w:val="16"/>
          <w:szCs w:val="16"/>
          <w:i w:val="1"/>
          <w:iCs w:val="1"/>
          <w:color w:val="auto"/>
        </w:rPr>
        <w:t>Nominatng, Corporate Governance and Stewardship Commitee:</w:t>
      </w:r>
    </w:p>
    <w:p>
      <w:pPr>
        <w:spacing w:after="0" w:line="20" w:lineRule="exact"/>
        <w:rPr>
          <w:sz w:val="20"/>
          <w:szCs w:val="20"/>
          <w:color w:val="auto"/>
        </w:rPr>
      </w:pPr>
      <w:r>
        <w:rPr>
          <w:sz w:val="20"/>
          <w:szCs w:val="20"/>
          <w:color w:val="auto"/>
        </w:rPr>
        <w:br w:type="column"/>
      </w:r>
    </w:p>
    <w:p>
      <w:pPr>
        <w:ind w:left="400" w:right="1860" w:hanging="159"/>
        <w:spacing w:after="0" w:line="246" w:lineRule="auto"/>
        <w:tabs>
          <w:tab w:leader="none" w:pos="355" w:val="left"/>
        </w:tabs>
        <w:numPr>
          <w:ilvl w:val="0"/>
          <w:numId w:val="25"/>
        </w:numPr>
        <w:rPr>
          <w:rFonts w:ascii="Calibri" w:cs="Calibri" w:eastAsia="Calibri" w:hAnsi="Calibri"/>
          <w:sz w:val="16"/>
          <w:szCs w:val="16"/>
          <w:color w:val="auto"/>
        </w:rPr>
      </w:pPr>
      <w:r>
        <w:rPr>
          <w:rFonts w:ascii="Calibri" w:cs="Calibri" w:eastAsia="Calibri" w:hAnsi="Calibri"/>
          <w:sz w:val="16"/>
          <w:szCs w:val="16"/>
          <w:color w:val="auto"/>
        </w:rPr>
        <w:t>review interim fnancial statements and annual fnancial statements to be included in Form 10-K and Form 10-Q</w:t>
      </w:r>
    </w:p>
    <w:p>
      <w:pPr>
        <w:spacing w:after="0" w:line="56" w:lineRule="exact"/>
        <w:rPr>
          <w:rFonts w:ascii="Calibri" w:cs="Calibri" w:eastAsia="Calibri" w:hAnsi="Calibri"/>
          <w:sz w:val="16"/>
          <w:szCs w:val="16"/>
          <w:color w:val="auto"/>
        </w:rPr>
      </w:pPr>
    </w:p>
    <w:p>
      <w:pPr>
        <w:ind w:left="360" w:hanging="119"/>
        <w:spacing w:after="0"/>
        <w:tabs>
          <w:tab w:leader="none" w:pos="360" w:val="left"/>
        </w:tabs>
        <w:numPr>
          <w:ilvl w:val="0"/>
          <w:numId w:val="25"/>
        </w:numPr>
        <w:rPr>
          <w:rFonts w:ascii="Calibri" w:cs="Calibri" w:eastAsia="Calibri" w:hAnsi="Calibri"/>
          <w:sz w:val="16"/>
          <w:szCs w:val="16"/>
          <w:color w:val="auto"/>
        </w:rPr>
      </w:pPr>
      <w:r>
        <w:rPr>
          <w:rFonts w:ascii="Calibri" w:cs="Calibri" w:eastAsia="Calibri" w:hAnsi="Calibri"/>
          <w:sz w:val="16"/>
          <w:szCs w:val="16"/>
          <w:color w:val="auto"/>
        </w:rPr>
        <w:t>oversees risk assessment and risk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-1772285</wp:posOffset>
            </wp:positionH>
            <wp:positionV relativeFrom="paragraph">
              <wp:posOffset>-410845</wp:posOffset>
            </wp:positionV>
            <wp:extent cx="7132320" cy="274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52070</wp:posOffset>
            </wp:positionV>
            <wp:extent cx="7132320" cy="188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60" w:type="dxa"/>
            <w:vAlign w:val="bottom"/>
          </w:tcPr>
          <w:p>
            <w:pPr>
              <w:spacing w:after="0"/>
              <w:rPr>
                <w:sz w:val="20"/>
                <w:szCs w:val="20"/>
                <w:color w:val="auto"/>
              </w:rPr>
            </w:pPr>
            <w:r>
              <w:rPr>
                <w:rFonts w:ascii="Calibri" w:cs="Calibri" w:eastAsia="Calibri" w:hAnsi="Calibri"/>
                <w:sz w:val="16"/>
                <w:szCs w:val="16"/>
                <w:color w:val="auto"/>
              </w:rPr>
              <w:t>Reviews and recommends to the Board</w:t>
            </w:r>
          </w:p>
        </w:tc>
        <w:tc>
          <w:tcPr>
            <w:tcW w:w="2580" w:type="dxa"/>
            <w:vAlign w:val="bottom"/>
          </w:tcPr>
          <w:p>
            <w:pPr>
              <w:jc w:val="right"/>
              <w:spacing w:after="0"/>
              <w:rPr>
                <w:sz w:val="20"/>
                <w:szCs w:val="20"/>
                <w:color w:val="auto"/>
              </w:rPr>
            </w:pPr>
            <w:r>
              <w:rPr>
                <w:rFonts w:ascii="Calibri" w:cs="Calibri" w:eastAsia="Calibri" w:hAnsi="Calibri"/>
                <w:sz w:val="16"/>
                <w:szCs w:val="16"/>
                <w:color w:val="auto"/>
              </w:rPr>
              <w:t>5</w:t>
            </w:r>
          </w:p>
        </w:tc>
      </w:tr>
    </w:tbl>
    <w:p>
      <w:pPr>
        <w:spacing w:after="0" w:line="283" w:lineRule="exact"/>
        <w:rPr>
          <w:sz w:val="20"/>
          <w:szCs w:val="20"/>
          <w:color w:val="auto"/>
        </w:rPr>
      </w:pPr>
    </w:p>
    <w:p>
      <w:pPr>
        <w:sectPr>
          <w:pgSz w:w="11900" w:h="16838" w:orient="portrait"/>
          <w:cols w:equalWidth="0" w:num="2">
            <w:col w:w="2080" w:space="720"/>
            <w:col w:w="8440"/>
          </w:cols>
          <w:pgMar w:left="320" w:top="1157"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300" w:type="dxa"/>
            <w:vAlign w:val="bottom"/>
            <w:shd w:val="clear" w:color="auto" w:fill="E5E5E5"/>
          </w:tcPr>
          <w:p>
            <w:pPr>
              <w:ind w:left="280"/>
              <w:spacing w:after="0"/>
              <w:rPr>
                <w:sz w:val="20"/>
                <w:szCs w:val="20"/>
                <w:color w:val="auto"/>
              </w:rPr>
            </w:pPr>
            <w:r>
              <w:rPr>
                <w:rFonts w:ascii="Calibri" w:cs="Calibri" w:eastAsia="Calibri" w:hAnsi="Calibri"/>
                <w:sz w:val="16"/>
                <w:szCs w:val="16"/>
                <w:color w:val="auto"/>
              </w:rPr>
              <w:t>Frank A. Bozich</w:t>
            </w:r>
          </w:p>
        </w:tc>
        <w:tc>
          <w:tcPr>
            <w:tcW w:w="7260" w:type="dxa"/>
            <w:vAlign w:val="bottom"/>
            <w:shd w:val="clear" w:color="auto" w:fill="E5E5E5"/>
          </w:tcPr>
          <w:p>
            <w:pPr>
              <w:ind w:left="740"/>
              <w:spacing w:after="0"/>
              <w:rPr>
                <w:sz w:val="20"/>
                <w:szCs w:val="20"/>
                <w:color w:val="auto"/>
              </w:rPr>
            </w:pPr>
            <w:r>
              <w:rPr>
                <w:rFonts w:ascii="Calibri" w:cs="Calibri" w:eastAsia="Calibri" w:hAnsi="Calibri"/>
                <w:sz w:val="16"/>
                <w:szCs w:val="16"/>
                <w:color w:val="auto"/>
              </w:rPr>
              <w:t>• nominees for electon as directors</w:t>
            </w:r>
          </w:p>
        </w:tc>
        <w:tc>
          <w:tcPr>
            <w:tcW w:w="16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2300" w:type="dxa"/>
            <w:vAlign w:val="bottom"/>
            <w:shd w:val="clear" w:color="auto" w:fill="E5E5E5"/>
          </w:tcPr>
          <w:p>
            <w:pPr>
              <w:spacing w:after="0"/>
              <w:rPr>
                <w:sz w:val="7"/>
                <w:szCs w:val="7"/>
                <w:color w:val="auto"/>
              </w:rPr>
            </w:pPr>
          </w:p>
        </w:tc>
        <w:tc>
          <w:tcPr>
            <w:tcW w:w="7260" w:type="dxa"/>
            <w:vAlign w:val="bottom"/>
            <w:shd w:val="clear" w:color="auto" w:fill="E5E5E5"/>
          </w:tcPr>
          <w:p>
            <w:pPr>
              <w:spacing w:after="0"/>
              <w:rPr>
                <w:sz w:val="7"/>
                <w:szCs w:val="7"/>
                <w:color w:val="auto"/>
              </w:rPr>
            </w:pPr>
          </w:p>
        </w:tc>
        <w:tc>
          <w:tcPr>
            <w:tcW w:w="1680" w:type="dxa"/>
            <w:vAlign w:val="bottom"/>
            <w:shd w:val="clear" w:color="auto" w:fill="E5E5E5"/>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2300" w:type="dxa"/>
            <w:vAlign w:val="bottom"/>
          </w:tcPr>
          <w:p>
            <w:pPr>
              <w:ind w:left="280"/>
              <w:spacing w:after="0"/>
              <w:rPr>
                <w:sz w:val="20"/>
                <w:szCs w:val="20"/>
                <w:color w:val="auto"/>
              </w:rPr>
            </w:pPr>
            <w:r>
              <w:rPr>
                <w:rFonts w:ascii="Calibri" w:cs="Calibri" w:eastAsia="Calibri" w:hAnsi="Calibri"/>
                <w:sz w:val="16"/>
                <w:szCs w:val="16"/>
                <w:color w:val="auto"/>
              </w:rPr>
              <w:t>Peter D. Clarke*</w:t>
            </w:r>
          </w:p>
        </w:tc>
        <w:tc>
          <w:tcPr>
            <w:tcW w:w="7260" w:type="dxa"/>
            <w:vAlign w:val="bottom"/>
          </w:tcPr>
          <w:p>
            <w:pPr>
              <w:ind w:left="740"/>
              <w:spacing w:after="0"/>
              <w:rPr>
                <w:sz w:val="20"/>
                <w:szCs w:val="20"/>
                <w:color w:val="auto"/>
              </w:rPr>
            </w:pPr>
            <w:r>
              <w:rPr>
                <w:rFonts w:ascii="Calibri" w:cs="Calibri" w:eastAsia="Calibri" w:hAnsi="Calibri"/>
                <w:sz w:val="16"/>
                <w:szCs w:val="16"/>
                <w:color w:val="auto"/>
              </w:rPr>
              <w:t>• membership of director commitees</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300" w:type="dxa"/>
            <w:vAlign w:val="bottom"/>
          </w:tcPr>
          <w:p>
            <w:pPr>
              <w:spacing w:after="0"/>
              <w:rPr>
                <w:sz w:val="7"/>
                <w:szCs w:val="7"/>
                <w:color w:val="auto"/>
              </w:rPr>
            </w:pPr>
          </w:p>
        </w:tc>
        <w:tc>
          <w:tcPr>
            <w:tcW w:w="72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2300" w:type="dxa"/>
            <w:vAlign w:val="bottom"/>
            <w:shd w:val="clear" w:color="auto" w:fill="E5E5E5"/>
          </w:tcPr>
          <w:p>
            <w:pPr>
              <w:ind w:left="280"/>
              <w:spacing w:after="0"/>
              <w:rPr>
                <w:sz w:val="20"/>
                <w:szCs w:val="20"/>
                <w:color w:val="auto"/>
              </w:rPr>
            </w:pPr>
            <w:r>
              <w:rPr>
                <w:rFonts w:ascii="Calibri" w:cs="Calibri" w:eastAsia="Calibri" w:hAnsi="Calibri"/>
                <w:sz w:val="16"/>
                <w:szCs w:val="16"/>
                <w:color w:val="auto"/>
              </w:rPr>
              <w:t>Cathy R. Gates**</w:t>
            </w:r>
          </w:p>
        </w:tc>
        <w:tc>
          <w:tcPr>
            <w:tcW w:w="7260" w:type="dxa"/>
            <w:vAlign w:val="bottom"/>
            <w:shd w:val="clear" w:color="auto" w:fill="E5E5E5"/>
          </w:tcPr>
          <w:p>
            <w:pPr>
              <w:ind w:left="740"/>
              <w:spacing w:after="0"/>
              <w:rPr>
                <w:sz w:val="20"/>
                <w:szCs w:val="20"/>
                <w:color w:val="auto"/>
              </w:rPr>
            </w:pPr>
            <w:r>
              <w:rPr>
                <w:rFonts w:ascii="Calibri" w:cs="Calibri" w:eastAsia="Calibri" w:hAnsi="Calibri"/>
                <w:sz w:val="16"/>
                <w:szCs w:val="16"/>
                <w:color w:val="auto"/>
              </w:rPr>
              <w:t>• succession plans</w:t>
            </w:r>
          </w:p>
        </w:tc>
        <w:tc>
          <w:tcPr>
            <w:tcW w:w="16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300" w:type="dxa"/>
            <w:vAlign w:val="bottom"/>
            <w:shd w:val="clear" w:color="auto" w:fill="E5E5E5"/>
          </w:tcPr>
          <w:p>
            <w:pPr>
              <w:spacing w:after="0"/>
              <w:rPr>
                <w:sz w:val="7"/>
                <w:szCs w:val="7"/>
                <w:color w:val="auto"/>
              </w:rPr>
            </w:pPr>
          </w:p>
        </w:tc>
        <w:tc>
          <w:tcPr>
            <w:tcW w:w="7260" w:type="dxa"/>
            <w:vAlign w:val="bottom"/>
            <w:shd w:val="clear" w:color="auto" w:fill="E5E5E5"/>
          </w:tcPr>
          <w:p>
            <w:pPr>
              <w:spacing w:after="0"/>
              <w:rPr>
                <w:sz w:val="7"/>
                <w:szCs w:val="7"/>
                <w:color w:val="auto"/>
              </w:rPr>
            </w:pPr>
          </w:p>
        </w:tc>
        <w:tc>
          <w:tcPr>
            <w:tcW w:w="1680" w:type="dxa"/>
            <w:vAlign w:val="bottom"/>
            <w:shd w:val="clear" w:color="auto" w:fill="E5E5E5"/>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2300" w:type="dxa"/>
            <w:vAlign w:val="bottom"/>
          </w:tcPr>
          <w:p>
            <w:pPr>
              <w:ind w:left="280"/>
              <w:spacing w:after="0"/>
              <w:rPr>
                <w:sz w:val="20"/>
                <w:szCs w:val="20"/>
                <w:color w:val="auto"/>
              </w:rPr>
            </w:pPr>
            <w:r>
              <w:rPr>
                <w:rFonts w:ascii="Calibri" w:cs="Calibri" w:eastAsia="Calibri" w:hAnsi="Calibri"/>
                <w:sz w:val="16"/>
                <w:szCs w:val="16"/>
                <w:color w:val="auto"/>
              </w:rPr>
              <w:t>Luther C. Kissam, IV</w:t>
            </w:r>
          </w:p>
        </w:tc>
        <w:tc>
          <w:tcPr>
            <w:tcW w:w="7260" w:type="dxa"/>
            <w:vAlign w:val="bottom"/>
          </w:tcPr>
          <w:p>
            <w:pPr>
              <w:ind w:left="740"/>
              <w:spacing w:after="0"/>
              <w:rPr>
                <w:sz w:val="20"/>
                <w:szCs w:val="20"/>
                <w:color w:val="auto"/>
              </w:rPr>
            </w:pPr>
            <w:r>
              <w:rPr>
                <w:rFonts w:ascii="Calibri" w:cs="Calibri" w:eastAsia="Calibri" w:hAnsi="Calibri"/>
                <w:sz w:val="16"/>
                <w:szCs w:val="16"/>
                <w:color w:val="auto"/>
              </w:rPr>
              <w:t>• various corporate governance issues</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2300" w:type="dxa"/>
            <w:vAlign w:val="bottom"/>
          </w:tcPr>
          <w:p>
            <w:pPr>
              <w:spacing w:after="0"/>
              <w:rPr>
                <w:sz w:val="7"/>
                <w:szCs w:val="7"/>
                <w:color w:val="auto"/>
              </w:rPr>
            </w:pPr>
          </w:p>
        </w:tc>
        <w:tc>
          <w:tcPr>
            <w:tcW w:w="72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2300" w:type="dxa"/>
            <w:vAlign w:val="bottom"/>
            <w:vMerge w:val="restart"/>
            <w:shd w:val="clear" w:color="auto" w:fill="E5E5E5"/>
          </w:tcPr>
          <w:p>
            <w:pPr>
              <w:ind w:left="280"/>
              <w:spacing w:after="0"/>
              <w:rPr>
                <w:sz w:val="20"/>
                <w:szCs w:val="20"/>
                <w:color w:val="auto"/>
              </w:rPr>
            </w:pPr>
            <w:r>
              <w:rPr>
                <w:rFonts w:ascii="Calibri" w:cs="Calibri" w:eastAsia="Calibri" w:hAnsi="Calibri"/>
                <w:sz w:val="16"/>
                <w:szCs w:val="16"/>
                <w:color w:val="auto"/>
              </w:rPr>
              <w:t>David E. Rainbolt</w:t>
            </w:r>
          </w:p>
        </w:tc>
        <w:tc>
          <w:tcPr>
            <w:tcW w:w="7260" w:type="dxa"/>
            <w:vAlign w:val="bottom"/>
            <w:shd w:val="clear" w:color="auto" w:fill="E5E5E5"/>
          </w:tcPr>
          <w:p>
            <w:pPr>
              <w:ind w:left="740"/>
              <w:spacing w:after="0" w:line="193" w:lineRule="exact"/>
              <w:rPr>
                <w:sz w:val="20"/>
                <w:szCs w:val="20"/>
                <w:color w:val="auto"/>
              </w:rPr>
            </w:pPr>
            <w:r>
              <w:rPr>
                <w:rFonts w:ascii="Calibri" w:cs="Calibri" w:eastAsia="Calibri" w:hAnsi="Calibri"/>
                <w:sz w:val="16"/>
                <w:szCs w:val="16"/>
                <w:color w:val="auto"/>
              </w:rPr>
              <w:t>• plans to address contngent events that could signifcantly afect the Company, including</w:t>
            </w:r>
          </w:p>
        </w:tc>
        <w:tc>
          <w:tcPr>
            <w:tcW w:w="16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300" w:type="dxa"/>
            <w:vAlign w:val="bottom"/>
            <w:vMerge w:val="continue"/>
            <w:shd w:val="clear" w:color="auto" w:fill="E5E5E5"/>
          </w:tcPr>
          <w:p>
            <w:pPr>
              <w:spacing w:after="0"/>
              <w:rPr>
                <w:sz w:val="7"/>
                <w:szCs w:val="7"/>
                <w:color w:val="auto"/>
              </w:rPr>
            </w:pPr>
          </w:p>
        </w:tc>
        <w:tc>
          <w:tcPr>
            <w:tcW w:w="7260" w:type="dxa"/>
            <w:vAlign w:val="bottom"/>
            <w:vMerge w:val="restart"/>
            <w:shd w:val="clear" w:color="auto" w:fill="E5E5E5"/>
          </w:tcPr>
          <w:p>
            <w:pPr>
              <w:ind w:left="900"/>
              <w:spacing w:after="0"/>
              <w:rPr>
                <w:sz w:val="20"/>
                <w:szCs w:val="20"/>
                <w:color w:val="auto"/>
              </w:rPr>
            </w:pPr>
            <w:r>
              <w:rPr>
                <w:rFonts w:ascii="Calibri" w:cs="Calibri" w:eastAsia="Calibri" w:hAnsi="Calibri"/>
                <w:sz w:val="16"/>
                <w:szCs w:val="16"/>
                <w:color w:val="auto"/>
              </w:rPr>
              <w:t>extreme weather events, natural disasters, cybersecurity events and acts of terrorism</w:t>
            </w:r>
          </w:p>
        </w:tc>
        <w:tc>
          <w:tcPr>
            <w:tcW w:w="1680" w:type="dxa"/>
            <w:vAlign w:val="bottom"/>
            <w:shd w:val="clear" w:color="auto" w:fill="E5E5E5"/>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300" w:type="dxa"/>
            <w:vAlign w:val="bottom"/>
            <w:tcBorders>
              <w:bottom w:val="single" w:sz="8" w:color="E5E5E5"/>
            </w:tcBorders>
            <w:shd w:val="clear" w:color="auto" w:fill="E5E5E5"/>
          </w:tcPr>
          <w:p>
            <w:pPr>
              <w:spacing w:after="0"/>
              <w:rPr>
                <w:sz w:val="11"/>
                <w:szCs w:val="11"/>
                <w:color w:val="auto"/>
              </w:rPr>
            </w:pPr>
          </w:p>
        </w:tc>
        <w:tc>
          <w:tcPr>
            <w:tcW w:w="7260" w:type="dxa"/>
            <w:vAlign w:val="bottom"/>
            <w:tcBorders>
              <w:bottom w:val="single" w:sz="8" w:color="E5E5E5"/>
            </w:tcBorders>
            <w:vMerge w:val="continue"/>
            <w:shd w:val="clear" w:color="auto" w:fill="E5E5E5"/>
          </w:tcPr>
          <w:p>
            <w:pPr>
              <w:spacing w:after="0"/>
              <w:rPr>
                <w:sz w:val="11"/>
                <w:szCs w:val="11"/>
                <w:color w:val="auto"/>
              </w:rPr>
            </w:pPr>
          </w:p>
        </w:tc>
        <w:tc>
          <w:tcPr>
            <w:tcW w:w="1680" w:type="dxa"/>
            <w:vAlign w:val="bottom"/>
            <w:tcBorders>
              <w:bottom w:val="single" w:sz="8" w:color="E5E5E5"/>
            </w:tcBorders>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2300" w:type="dxa"/>
            <w:vAlign w:val="bottom"/>
          </w:tcPr>
          <w:p>
            <w:pPr>
              <w:ind w:left="280"/>
              <w:spacing w:after="0"/>
              <w:rPr>
                <w:sz w:val="20"/>
                <w:szCs w:val="20"/>
                <w:color w:val="auto"/>
              </w:rPr>
            </w:pPr>
            <w:r>
              <w:rPr>
                <w:rFonts w:ascii="Calibri" w:cs="Calibri" w:eastAsia="Calibri" w:hAnsi="Calibri"/>
                <w:sz w:val="16"/>
                <w:szCs w:val="16"/>
                <w:color w:val="auto"/>
              </w:rPr>
              <w:t>J. Michael Sanner</w:t>
            </w:r>
          </w:p>
        </w:tc>
        <w:tc>
          <w:tcPr>
            <w:tcW w:w="7260" w:type="dxa"/>
            <w:vAlign w:val="bottom"/>
          </w:tcPr>
          <w:p>
            <w:pPr>
              <w:ind w:left="500"/>
              <w:spacing w:after="0"/>
              <w:rPr>
                <w:sz w:val="20"/>
                <w:szCs w:val="20"/>
                <w:color w:val="auto"/>
              </w:rPr>
            </w:pPr>
            <w:r>
              <w:rPr>
                <w:rFonts w:ascii="Calibri" w:cs="Calibri" w:eastAsia="Calibri" w:hAnsi="Calibri"/>
                <w:sz w:val="16"/>
                <w:szCs w:val="16"/>
                <w:color w:val="auto"/>
              </w:rPr>
              <w:t>Reviews and reports to the Board on</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300" w:type="dxa"/>
            <w:vAlign w:val="bottom"/>
          </w:tcPr>
          <w:p>
            <w:pPr>
              <w:spacing w:after="0"/>
              <w:rPr>
                <w:sz w:val="7"/>
                <w:szCs w:val="7"/>
                <w:color w:val="auto"/>
              </w:rPr>
            </w:pPr>
          </w:p>
        </w:tc>
        <w:tc>
          <w:tcPr>
            <w:tcW w:w="72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2300" w:type="dxa"/>
            <w:vAlign w:val="bottom"/>
            <w:shd w:val="clear" w:color="auto" w:fill="E5E5E5"/>
          </w:tcPr>
          <w:p>
            <w:pPr>
              <w:ind w:left="280"/>
              <w:spacing w:after="0"/>
              <w:rPr>
                <w:sz w:val="20"/>
                <w:szCs w:val="20"/>
                <w:color w:val="auto"/>
              </w:rPr>
            </w:pPr>
            <w:r>
              <w:rPr>
                <w:rFonts w:ascii="Calibri" w:cs="Calibri" w:eastAsia="Calibri" w:hAnsi="Calibri"/>
                <w:sz w:val="16"/>
                <w:szCs w:val="16"/>
                <w:color w:val="auto"/>
              </w:rPr>
              <w:t>Sheila G. Talton</w:t>
            </w:r>
          </w:p>
        </w:tc>
        <w:tc>
          <w:tcPr>
            <w:tcW w:w="7260" w:type="dxa"/>
            <w:vAlign w:val="bottom"/>
            <w:shd w:val="clear" w:color="auto" w:fill="E5E5E5"/>
          </w:tcPr>
          <w:p>
            <w:pPr>
              <w:ind w:left="740"/>
              <w:spacing w:after="0"/>
              <w:rPr>
                <w:sz w:val="20"/>
                <w:szCs w:val="20"/>
                <w:color w:val="auto"/>
              </w:rPr>
            </w:pPr>
            <w:r>
              <w:rPr>
                <w:rFonts w:ascii="Calibri" w:cs="Calibri" w:eastAsia="Calibri" w:hAnsi="Calibri"/>
                <w:sz w:val="16"/>
                <w:szCs w:val="16"/>
                <w:color w:val="auto"/>
              </w:rPr>
              <w:t>• environmental initatves and compliance strategies</w:t>
            </w:r>
          </w:p>
        </w:tc>
        <w:tc>
          <w:tcPr>
            <w:tcW w:w="16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300" w:type="dxa"/>
            <w:vAlign w:val="bottom"/>
            <w:shd w:val="clear" w:color="auto" w:fill="E5E5E5"/>
          </w:tcPr>
          <w:p>
            <w:pPr>
              <w:spacing w:after="0"/>
              <w:rPr>
                <w:sz w:val="7"/>
                <w:szCs w:val="7"/>
                <w:color w:val="auto"/>
              </w:rPr>
            </w:pPr>
          </w:p>
        </w:tc>
        <w:tc>
          <w:tcPr>
            <w:tcW w:w="7260" w:type="dxa"/>
            <w:vAlign w:val="bottom"/>
            <w:shd w:val="clear" w:color="auto" w:fill="E5E5E5"/>
          </w:tcPr>
          <w:p>
            <w:pPr>
              <w:spacing w:after="0"/>
              <w:rPr>
                <w:sz w:val="7"/>
                <w:szCs w:val="7"/>
                <w:color w:val="auto"/>
              </w:rPr>
            </w:pPr>
          </w:p>
        </w:tc>
        <w:tc>
          <w:tcPr>
            <w:tcW w:w="1680" w:type="dxa"/>
            <w:vAlign w:val="bottom"/>
            <w:shd w:val="clear" w:color="auto" w:fill="E5E5E5"/>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2300" w:type="dxa"/>
            <w:vAlign w:val="bottom"/>
          </w:tcPr>
          <w:p>
            <w:pPr>
              <w:spacing w:after="0"/>
              <w:rPr>
                <w:sz w:val="16"/>
                <w:szCs w:val="16"/>
                <w:color w:val="auto"/>
              </w:rPr>
            </w:pPr>
          </w:p>
        </w:tc>
        <w:tc>
          <w:tcPr>
            <w:tcW w:w="7260" w:type="dxa"/>
            <w:vAlign w:val="bottom"/>
          </w:tcPr>
          <w:p>
            <w:pPr>
              <w:ind w:left="740"/>
              <w:spacing w:after="0" w:line="193" w:lineRule="exact"/>
              <w:rPr>
                <w:sz w:val="20"/>
                <w:szCs w:val="20"/>
                <w:color w:val="auto"/>
              </w:rPr>
            </w:pPr>
            <w:r>
              <w:rPr>
                <w:rFonts w:ascii="Calibri" w:cs="Calibri" w:eastAsia="Calibri" w:hAnsi="Calibri"/>
                <w:sz w:val="16"/>
                <w:szCs w:val="16"/>
                <w:color w:val="auto"/>
              </w:rPr>
              <w:t>• the Company's corporate stewardship and corporate responsibility programs, including</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300" w:type="dxa"/>
            <w:vAlign w:val="bottom"/>
          </w:tcPr>
          <w:p>
            <w:pPr>
              <w:spacing w:after="0"/>
              <w:rPr>
                <w:sz w:val="17"/>
                <w:szCs w:val="17"/>
                <w:color w:val="auto"/>
              </w:rPr>
            </w:pPr>
          </w:p>
        </w:tc>
        <w:tc>
          <w:tcPr>
            <w:tcW w:w="7260" w:type="dxa"/>
            <w:vAlign w:val="bottom"/>
          </w:tcPr>
          <w:p>
            <w:pPr>
              <w:ind w:left="900"/>
              <w:spacing w:after="0"/>
              <w:rPr>
                <w:sz w:val="20"/>
                <w:szCs w:val="20"/>
                <w:color w:val="auto"/>
              </w:rPr>
            </w:pPr>
            <w:r>
              <w:rPr>
                <w:rFonts w:ascii="Calibri" w:cs="Calibri" w:eastAsia="Calibri" w:hAnsi="Calibri"/>
                <w:sz w:val="16"/>
                <w:szCs w:val="16"/>
                <w:color w:val="auto"/>
              </w:rPr>
              <w:t>sustainability, diversity, climate and other ESG maters</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2300" w:type="dxa"/>
            <w:vAlign w:val="bottom"/>
          </w:tcPr>
          <w:p>
            <w:pPr>
              <w:spacing w:after="0"/>
              <w:rPr>
                <w:sz w:val="3"/>
                <w:szCs w:val="3"/>
                <w:color w:val="auto"/>
              </w:rPr>
            </w:pPr>
          </w:p>
        </w:tc>
        <w:tc>
          <w:tcPr>
            <w:tcW w:w="72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2300" w:type="dxa"/>
            <w:vAlign w:val="bottom"/>
            <w:tcBorders>
              <w:bottom w:val="single" w:sz="8" w:color="E5E5E5"/>
            </w:tcBorders>
            <w:shd w:val="clear" w:color="auto" w:fill="E5E5E5"/>
          </w:tcPr>
          <w:p>
            <w:pPr>
              <w:spacing w:after="0"/>
              <w:rPr>
                <w:sz w:val="24"/>
                <w:szCs w:val="24"/>
                <w:color w:val="auto"/>
              </w:rPr>
            </w:pPr>
          </w:p>
        </w:tc>
        <w:tc>
          <w:tcPr>
            <w:tcW w:w="7260" w:type="dxa"/>
            <w:vAlign w:val="bottom"/>
            <w:tcBorders>
              <w:bottom w:val="single" w:sz="8" w:color="E5E5E5"/>
            </w:tcBorders>
            <w:shd w:val="clear" w:color="auto" w:fill="E5E5E5"/>
          </w:tcPr>
          <w:p>
            <w:pPr>
              <w:ind w:left="740"/>
              <w:spacing w:after="0"/>
              <w:rPr>
                <w:sz w:val="20"/>
                <w:szCs w:val="20"/>
                <w:color w:val="auto"/>
              </w:rPr>
            </w:pPr>
            <w:r>
              <w:rPr>
                <w:rFonts w:ascii="Calibri" w:cs="Calibri" w:eastAsia="Calibri" w:hAnsi="Calibri"/>
                <w:sz w:val="16"/>
                <w:szCs w:val="16"/>
                <w:color w:val="auto"/>
              </w:rPr>
              <w:t>• cybersecurity, informaton technology and technology maters</w:t>
            </w:r>
          </w:p>
        </w:tc>
        <w:tc>
          <w:tcPr>
            <w:tcW w:w="1680" w:type="dxa"/>
            <w:vAlign w:val="bottom"/>
            <w:tcBorders>
              <w:bottom w:val="single" w:sz="8" w:color="E5E5E5"/>
            </w:tcBorders>
            <w:shd w:val="clear" w:color="auto" w:fill="E5E5E5"/>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0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300" w:type="dxa"/>
            <w:vAlign w:val="bottom"/>
            <w:shd w:val="clear" w:color="auto" w:fill="E5E5E5"/>
          </w:tcPr>
          <w:p>
            <w:pPr>
              <w:ind w:left="120"/>
              <w:spacing w:after="0"/>
              <w:rPr>
                <w:sz w:val="20"/>
                <w:szCs w:val="20"/>
                <w:color w:val="auto"/>
              </w:rPr>
            </w:pPr>
            <w:r>
              <w:rPr>
                <w:rFonts w:ascii="Calibri" w:cs="Calibri" w:eastAsia="Calibri" w:hAnsi="Calibri"/>
                <w:sz w:val="16"/>
                <w:szCs w:val="16"/>
                <w:i w:val="1"/>
                <w:iCs w:val="1"/>
                <w:color w:val="auto"/>
              </w:rPr>
              <w:t>Executve Commitee:</w:t>
            </w:r>
          </w:p>
        </w:tc>
        <w:tc>
          <w:tcPr>
            <w:tcW w:w="7260" w:type="dxa"/>
            <w:vAlign w:val="bottom"/>
            <w:shd w:val="clear" w:color="auto" w:fill="E5E5E5"/>
          </w:tcPr>
          <w:p>
            <w:pPr>
              <w:ind w:left="500"/>
              <w:spacing w:after="0"/>
              <w:rPr>
                <w:sz w:val="20"/>
                <w:szCs w:val="20"/>
                <w:color w:val="auto"/>
              </w:rPr>
            </w:pPr>
            <w:r>
              <w:rPr>
                <w:rFonts w:ascii="Calibri" w:cs="Calibri" w:eastAsia="Calibri" w:hAnsi="Calibri"/>
                <w:sz w:val="16"/>
                <w:szCs w:val="16"/>
                <w:color w:val="auto"/>
              </w:rPr>
              <w:t>Performs dutes of the Board during intervals between Board meetngs</w:t>
            </w:r>
          </w:p>
        </w:tc>
        <w:tc>
          <w:tcPr>
            <w:tcW w:w="1680" w:type="dxa"/>
            <w:vAlign w:val="bottom"/>
            <w:shd w:val="clear" w:color="auto" w:fill="E5E5E5"/>
          </w:tcPr>
          <w:p>
            <w:pPr>
              <w:ind w:left="760"/>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68"/>
        </w:trPr>
        <w:tc>
          <w:tcPr>
            <w:tcW w:w="2300" w:type="dxa"/>
            <w:vAlign w:val="bottom"/>
            <w:shd w:val="clear" w:color="auto" w:fill="E5E5E5"/>
          </w:tcPr>
          <w:p>
            <w:pPr>
              <w:spacing w:after="0"/>
              <w:rPr>
                <w:sz w:val="5"/>
                <w:szCs w:val="5"/>
                <w:color w:val="auto"/>
              </w:rPr>
            </w:pPr>
          </w:p>
        </w:tc>
        <w:tc>
          <w:tcPr>
            <w:tcW w:w="7260" w:type="dxa"/>
            <w:vAlign w:val="bottom"/>
            <w:shd w:val="clear" w:color="auto" w:fill="E5E5E5"/>
          </w:tcPr>
          <w:p>
            <w:pPr>
              <w:spacing w:after="0"/>
              <w:rPr>
                <w:sz w:val="5"/>
                <w:szCs w:val="5"/>
                <w:color w:val="auto"/>
              </w:rPr>
            </w:pPr>
          </w:p>
        </w:tc>
        <w:tc>
          <w:tcPr>
            <w:tcW w:w="1680" w:type="dxa"/>
            <w:vAlign w:val="bottom"/>
            <w:shd w:val="clear" w:color="auto" w:fill="E5E5E5"/>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2300" w:type="dxa"/>
            <w:vAlign w:val="bottom"/>
          </w:tcPr>
          <w:p>
            <w:pPr>
              <w:ind w:left="280"/>
              <w:spacing w:after="0"/>
              <w:rPr>
                <w:sz w:val="20"/>
                <w:szCs w:val="20"/>
                <w:color w:val="auto"/>
              </w:rPr>
            </w:pPr>
            <w:r>
              <w:rPr>
                <w:rFonts w:ascii="Calibri" w:cs="Calibri" w:eastAsia="Calibri" w:hAnsi="Calibri"/>
                <w:sz w:val="16"/>
                <w:szCs w:val="16"/>
                <w:color w:val="auto"/>
              </w:rPr>
              <w:t>Peter D. Clarke</w:t>
            </w:r>
          </w:p>
        </w:tc>
        <w:tc>
          <w:tcPr>
            <w:tcW w:w="7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2300" w:type="dxa"/>
            <w:vAlign w:val="bottom"/>
          </w:tcPr>
          <w:p>
            <w:pPr>
              <w:spacing w:after="0"/>
              <w:rPr>
                <w:sz w:val="7"/>
                <w:szCs w:val="7"/>
                <w:color w:val="auto"/>
              </w:rPr>
            </w:pPr>
          </w:p>
        </w:tc>
        <w:tc>
          <w:tcPr>
            <w:tcW w:w="72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2300" w:type="dxa"/>
            <w:vAlign w:val="bottom"/>
            <w:shd w:val="clear" w:color="auto" w:fill="E5E5E5"/>
          </w:tcPr>
          <w:p>
            <w:pPr>
              <w:ind w:left="280"/>
              <w:spacing w:after="0"/>
              <w:rPr>
                <w:sz w:val="20"/>
                <w:szCs w:val="20"/>
                <w:color w:val="auto"/>
              </w:rPr>
            </w:pPr>
            <w:r>
              <w:rPr>
                <w:rFonts w:ascii="Calibri" w:cs="Calibri" w:eastAsia="Calibri" w:hAnsi="Calibri"/>
                <w:sz w:val="16"/>
                <w:szCs w:val="16"/>
                <w:color w:val="auto"/>
              </w:rPr>
              <w:t>David L. Hauser</w:t>
            </w:r>
          </w:p>
        </w:tc>
        <w:tc>
          <w:tcPr>
            <w:tcW w:w="7260" w:type="dxa"/>
            <w:vAlign w:val="bottom"/>
            <w:shd w:val="clear" w:color="auto" w:fill="E5E5E5"/>
          </w:tcPr>
          <w:p>
            <w:pPr>
              <w:spacing w:after="0"/>
              <w:rPr>
                <w:sz w:val="18"/>
                <w:szCs w:val="18"/>
                <w:color w:val="auto"/>
              </w:rPr>
            </w:pPr>
          </w:p>
        </w:tc>
        <w:tc>
          <w:tcPr>
            <w:tcW w:w="16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2300" w:type="dxa"/>
            <w:vAlign w:val="bottom"/>
            <w:shd w:val="clear" w:color="auto" w:fill="E5E5E5"/>
          </w:tcPr>
          <w:p>
            <w:pPr>
              <w:spacing w:after="0"/>
              <w:rPr>
                <w:sz w:val="7"/>
                <w:szCs w:val="7"/>
                <w:color w:val="auto"/>
              </w:rPr>
            </w:pPr>
          </w:p>
        </w:tc>
        <w:tc>
          <w:tcPr>
            <w:tcW w:w="7260" w:type="dxa"/>
            <w:vAlign w:val="bottom"/>
            <w:shd w:val="clear" w:color="auto" w:fill="E5E5E5"/>
          </w:tcPr>
          <w:p>
            <w:pPr>
              <w:spacing w:after="0"/>
              <w:rPr>
                <w:sz w:val="7"/>
                <w:szCs w:val="7"/>
                <w:color w:val="auto"/>
              </w:rPr>
            </w:pPr>
          </w:p>
        </w:tc>
        <w:tc>
          <w:tcPr>
            <w:tcW w:w="1680" w:type="dxa"/>
            <w:vAlign w:val="bottom"/>
            <w:shd w:val="clear" w:color="auto" w:fill="E5E5E5"/>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300" w:type="dxa"/>
            <w:vAlign w:val="bottom"/>
          </w:tcPr>
          <w:p>
            <w:pPr>
              <w:ind w:left="280"/>
              <w:spacing w:after="0"/>
              <w:rPr>
                <w:sz w:val="20"/>
                <w:szCs w:val="20"/>
                <w:color w:val="auto"/>
              </w:rPr>
            </w:pPr>
            <w:r>
              <w:rPr>
                <w:rFonts w:ascii="Calibri" w:cs="Calibri" w:eastAsia="Calibri" w:hAnsi="Calibri"/>
                <w:sz w:val="16"/>
                <w:szCs w:val="16"/>
                <w:color w:val="auto"/>
              </w:rPr>
              <w:t>Judy R. McReynolds***</w:t>
            </w:r>
          </w:p>
        </w:tc>
        <w:tc>
          <w:tcPr>
            <w:tcW w:w="7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2300" w:type="dxa"/>
            <w:vAlign w:val="bottom"/>
          </w:tcPr>
          <w:p>
            <w:pPr>
              <w:spacing w:after="0"/>
              <w:rPr>
                <w:sz w:val="7"/>
                <w:szCs w:val="7"/>
                <w:color w:val="auto"/>
              </w:rPr>
            </w:pPr>
          </w:p>
        </w:tc>
        <w:tc>
          <w:tcPr>
            <w:tcW w:w="72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2300" w:type="dxa"/>
            <w:vAlign w:val="bottom"/>
            <w:shd w:val="clear" w:color="auto" w:fill="E5E5E5"/>
          </w:tcPr>
          <w:p>
            <w:pPr>
              <w:ind w:left="280"/>
              <w:spacing w:after="0"/>
              <w:rPr>
                <w:sz w:val="20"/>
                <w:szCs w:val="20"/>
                <w:color w:val="auto"/>
              </w:rPr>
            </w:pPr>
            <w:r>
              <w:rPr>
                <w:rFonts w:ascii="Calibri" w:cs="Calibri" w:eastAsia="Calibri" w:hAnsi="Calibri"/>
                <w:sz w:val="16"/>
                <w:szCs w:val="16"/>
                <w:color w:val="auto"/>
              </w:rPr>
              <w:t>J. Michael Sanner</w:t>
            </w:r>
          </w:p>
        </w:tc>
        <w:tc>
          <w:tcPr>
            <w:tcW w:w="7260" w:type="dxa"/>
            <w:vAlign w:val="bottom"/>
            <w:shd w:val="clear" w:color="auto" w:fill="E5E5E5"/>
          </w:tcPr>
          <w:p>
            <w:pPr>
              <w:spacing w:after="0"/>
              <w:rPr>
                <w:sz w:val="18"/>
                <w:szCs w:val="18"/>
                <w:color w:val="auto"/>
              </w:rPr>
            </w:pPr>
          </w:p>
        </w:tc>
        <w:tc>
          <w:tcPr>
            <w:tcW w:w="16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2300" w:type="dxa"/>
            <w:vAlign w:val="bottom"/>
            <w:tcBorders>
              <w:bottom w:val="single" w:sz="8" w:color="auto"/>
            </w:tcBorders>
            <w:shd w:val="clear" w:color="auto" w:fill="E5E5E5"/>
          </w:tcPr>
          <w:p>
            <w:pPr>
              <w:spacing w:after="0"/>
              <w:rPr>
                <w:sz w:val="7"/>
                <w:szCs w:val="7"/>
                <w:color w:val="auto"/>
              </w:rPr>
            </w:pPr>
          </w:p>
        </w:tc>
        <w:tc>
          <w:tcPr>
            <w:tcW w:w="7260" w:type="dxa"/>
            <w:vAlign w:val="bottom"/>
            <w:tcBorders>
              <w:bottom w:val="single" w:sz="8" w:color="auto"/>
            </w:tcBorders>
            <w:shd w:val="clear" w:color="auto" w:fill="E5E5E5"/>
          </w:tcPr>
          <w:p>
            <w:pPr>
              <w:spacing w:after="0"/>
              <w:rPr>
                <w:sz w:val="7"/>
                <w:szCs w:val="7"/>
                <w:color w:val="auto"/>
              </w:rPr>
            </w:pPr>
          </w:p>
        </w:tc>
        <w:tc>
          <w:tcPr>
            <w:tcW w:w="1680" w:type="dxa"/>
            <w:vAlign w:val="bottom"/>
            <w:tcBorders>
              <w:bottom w:val="single" w:sz="8" w:color="E5E5E5"/>
            </w:tcBorders>
            <w:shd w:val="clear" w:color="auto" w:fill="E5E5E5"/>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300" w:type="dxa"/>
            <w:vAlign w:val="bottom"/>
          </w:tcPr>
          <w:p>
            <w:pPr>
              <w:ind w:left="120"/>
              <w:spacing w:after="0" w:line="187" w:lineRule="exact"/>
              <w:rPr>
                <w:sz w:val="20"/>
                <w:szCs w:val="20"/>
                <w:color w:val="auto"/>
              </w:rPr>
            </w:pPr>
            <w:r>
              <w:rPr>
                <w:rFonts w:ascii="Calibri" w:cs="Calibri" w:eastAsia="Calibri" w:hAnsi="Calibri"/>
                <w:sz w:val="16"/>
                <w:szCs w:val="16"/>
                <w:color w:val="auto"/>
              </w:rPr>
              <w:t>* Chair</w:t>
            </w:r>
          </w:p>
        </w:tc>
        <w:tc>
          <w:tcPr>
            <w:tcW w:w="72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-133350</wp:posOffset>
            </wp:positionV>
            <wp:extent cx="1071880" cy="11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71880" cy="11430"/>
                    </a:xfrm>
                    <a:prstGeom prst="rect">
                      <a:avLst/>
                    </a:prstGeom>
                    <a:noFill/>
                  </pic:spPr>
                </pic:pic>
              </a:graphicData>
            </a:graphic>
          </wp:anchor>
        </w:drawing>
      </w:r>
    </w:p>
    <w:p>
      <w:pPr>
        <w:spacing w:after="0" w:line="78" w:lineRule="exact"/>
        <w:rPr>
          <w:sz w:val="20"/>
          <w:szCs w:val="20"/>
          <w:color w:val="auto"/>
        </w:rPr>
      </w:pPr>
    </w:p>
    <w:p>
      <w:pPr>
        <w:ind w:left="120" w:right="120" w:hanging="8"/>
        <w:spacing w:after="0" w:line="246" w:lineRule="auto"/>
        <w:tabs>
          <w:tab w:leader="none" w:pos="322" w:val="left"/>
        </w:tabs>
        <w:numPr>
          <w:ilvl w:val="0"/>
          <w:numId w:val="26"/>
        </w:numPr>
        <w:rPr>
          <w:rFonts w:ascii="Calibri" w:cs="Calibri" w:eastAsia="Calibri" w:hAnsi="Calibri"/>
          <w:sz w:val="16"/>
          <w:szCs w:val="16"/>
          <w:color w:val="auto"/>
        </w:rPr>
      </w:pPr>
      <w:r>
        <w:rPr>
          <w:rFonts w:ascii="Calibri" w:cs="Calibri" w:eastAsia="Calibri" w:hAnsi="Calibri"/>
          <w:sz w:val="16"/>
          <w:szCs w:val="16"/>
          <w:color w:val="auto"/>
        </w:rPr>
        <w:t>Efectve January 1, 2024, Ms. Gates was rotated from the Nominatng, Corporate Governance and Stewardship Commitee to the Audit Commitee, and Mr. Hauser was rotated from the Audit Commitee to the Nominatng, Corporate Governance and Stewardship Commitee.</w:t>
      </w:r>
    </w:p>
    <w:p>
      <w:pPr>
        <w:spacing w:after="0" w:line="29" w:lineRule="exact"/>
        <w:rPr>
          <w:rFonts w:ascii="Calibri" w:cs="Calibri" w:eastAsia="Calibri" w:hAnsi="Calibri"/>
          <w:sz w:val="16"/>
          <w:szCs w:val="16"/>
          <w:color w:val="auto"/>
        </w:rPr>
      </w:pPr>
    </w:p>
    <w:p>
      <w:pPr>
        <w:ind w:left="400" w:hanging="288"/>
        <w:spacing w:after="0"/>
        <w:tabs>
          <w:tab w:leader="none" w:pos="400" w:val="left"/>
        </w:tabs>
        <w:numPr>
          <w:ilvl w:val="0"/>
          <w:numId w:val="27"/>
        </w:numPr>
        <w:rPr>
          <w:rFonts w:ascii="Calibri" w:cs="Calibri" w:eastAsia="Calibri" w:hAnsi="Calibri"/>
          <w:sz w:val="16"/>
          <w:szCs w:val="16"/>
          <w:color w:val="auto"/>
        </w:rPr>
      </w:pPr>
      <w:r>
        <w:rPr>
          <w:rFonts w:ascii="Calibri" w:cs="Calibri" w:eastAsia="Calibri" w:hAnsi="Calibri"/>
          <w:sz w:val="16"/>
          <w:szCs w:val="16"/>
          <w:color w:val="auto"/>
        </w:rPr>
        <w:t>Lead Director</w:t>
      </w:r>
    </w:p>
    <w:p>
      <w:pPr>
        <w:spacing w:after="0" w:line="200" w:lineRule="exact"/>
        <w:rPr>
          <w:sz w:val="20"/>
          <w:szCs w:val="20"/>
          <w:color w:val="auto"/>
        </w:rPr>
      </w:pPr>
    </w:p>
    <w:p>
      <w:pPr>
        <w:spacing w:after="0" w:line="273" w:lineRule="exact"/>
        <w:rPr>
          <w:sz w:val="20"/>
          <w:szCs w:val="20"/>
          <w:color w:val="auto"/>
        </w:rPr>
      </w:pPr>
    </w:p>
    <w:p>
      <w:pPr>
        <w:spacing w:after="0"/>
        <w:tabs>
          <w:tab w:leader="none" w:pos="660" w:val="left"/>
        </w:tabs>
        <w:rPr>
          <w:sz w:val="20"/>
          <w:szCs w:val="20"/>
          <w:color w:val="auto"/>
        </w:rPr>
      </w:pPr>
      <w:r>
        <w:rPr>
          <w:rFonts w:ascii="Calibri" w:cs="Calibri" w:eastAsia="Calibri" w:hAnsi="Calibri"/>
          <w:sz w:val="18"/>
          <w:szCs w:val="18"/>
          <w:color w:val="auto"/>
        </w:rPr>
        <w:t>13</w:t>
      </w:r>
      <w:r>
        <w:rPr>
          <w:sz w:val="20"/>
          <w:szCs w:val="20"/>
          <w:color w:val="auto"/>
        </w:rPr>
        <w:tab/>
      </w:r>
      <w:r>
        <w:rPr>
          <w:rFonts w:ascii="Calibri" w:cs="Calibri" w:eastAsia="Calibri" w:hAnsi="Calibri"/>
          <w:sz w:val="18"/>
          <w:szCs w:val="18"/>
          <w:b w:val="1"/>
          <w:bCs w:val="1"/>
          <w:color w:val="EE2724"/>
        </w:rPr>
        <w:t xml:space="preserve">OGE Energy Corp. </w:t>
      </w:r>
      <w:r>
        <w:rPr>
          <w:rFonts w:ascii="Calibri" w:cs="Calibri" w:eastAsia="Calibri" w:hAnsi="Calibri"/>
          <w:sz w:val="18"/>
          <w:szCs w:val="18"/>
          <w:color w:val="00000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type w:val="continuous"/>
        </w:sectPr>
      </w:pPr>
    </w:p>
    <w:bookmarkStart w:id="19" w:name="page20"/>
    <w:bookmarkEnd w:id="19"/>
    <w:p>
      <w:pPr>
        <w:jc w:val="both"/>
        <w:ind w:firstLine="374"/>
        <w:spacing w:after="0" w:line="235" w:lineRule="auto"/>
        <w:rPr>
          <w:sz w:val="20"/>
          <w:szCs w:val="20"/>
          <w:color w:val="auto"/>
        </w:rPr>
      </w:pPr>
      <w:r>
        <w:rPr>
          <w:rFonts w:ascii="Calibri" w:cs="Calibri" w:eastAsia="Calibri" w:hAnsi="Calibri"/>
          <w:sz w:val="18"/>
          <w:szCs w:val="18"/>
          <w:b w:val="1"/>
          <w:bCs w:val="1"/>
          <w:color w:val="auto"/>
        </w:rPr>
        <w:t xml:space="preserve">Director Compensaton. </w:t>
      </w:r>
      <w:r>
        <w:rPr>
          <w:rFonts w:ascii="Calibri" w:cs="Calibri" w:eastAsia="Calibri" w:hAnsi="Calibri"/>
          <w:sz w:val="18"/>
          <w:szCs w:val="18"/>
          <w:color w:val="auto"/>
        </w:rPr>
        <w:t>Compensaton of non-management directors of the Company in 2023 included an annual retainer fee as listed below. The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annual equity retainer was deposited in the director's account under the Company's deferred Compensaton Plan and converted to 4,317.7 common stock units based on the closing price of the Company's Common Stock on December 12, 2023. In 2023, the independent directors did not receive additonal compensaton for atending Board or commitee meetngs but were instead paid a quarterly cash retainer.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540" w:type="dxa"/>
            <w:vAlign w:val="bottom"/>
          </w:tcPr>
          <w:p>
            <w:pPr>
              <w:ind w:left="60"/>
              <w:spacing w:after="0"/>
              <w:rPr>
                <w:sz w:val="20"/>
                <w:szCs w:val="20"/>
                <w:color w:val="auto"/>
              </w:rPr>
            </w:pPr>
            <w:r>
              <w:rPr>
                <w:rFonts w:ascii="Calibri" w:cs="Calibri" w:eastAsia="Calibri" w:hAnsi="Calibri"/>
                <w:sz w:val="18"/>
                <w:szCs w:val="18"/>
                <w:b w:val="1"/>
                <w:bCs w:val="1"/>
                <w:color w:val="auto"/>
              </w:rPr>
              <w:t>Positon Held</w:t>
            </w:r>
          </w:p>
        </w:tc>
        <w:tc>
          <w:tcPr>
            <w:tcW w:w="3420" w:type="dxa"/>
            <w:vAlign w:val="bottom"/>
          </w:tcPr>
          <w:p>
            <w:pPr>
              <w:spacing w:after="0"/>
              <w:rPr>
                <w:sz w:val="19"/>
                <w:szCs w:val="19"/>
                <w:color w:val="auto"/>
              </w:rPr>
            </w:pPr>
          </w:p>
        </w:tc>
        <w:tc>
          <w:tcPr>
            <w:tcW w:w="2280" w:type="dxa"/>
            <w:vAlign w:val="bottom"/>
            <w:gridSpan w:val="2"/>
          </w:tcPr>
          <w:p>
            <w:pPr>
              <w:jc w:val="center"/>
              <w:ind w:left="610"/>
              <w:spacing w:after="0"/>
              <w:rPr>
                <w:sz w:val="20"/>
                <w:szCs w:val="20"/>
                <w:color w:val="auto"/>
              </w:rPr>
            </w:pPr>
            <w:r>
              <w:rPr>
                <w:rFonts w:ascii="Calibri" w:cs="Calibri" w:eastAsia="Calibri" w:hAnsi="Calibri"/>
                <w:sz w:val="18"/>
                <w:szCs w:val="18"/>
                <w:b w:val="1"/>
                <w:bCs w:val="1"/>
                <w:color w:val="auto"/>
              </w:rPr>
              <w:t>Compensaton</w:t>
            </w:r>
          </w:p>
        </w:tc>
      </w:tr>
      <w:tr>
        <w:trPr>
          <w:trHeight w:val="51"/>
        </w:trPr>
        <w:tc>
          <w:tcPr>
            <w:tcW w:w="5540" w:type="dxa"/>
            <w:vAlign w:val="bottom"/>
            <w:tcBorders>
              <w:bottom w:val="single" w:sz="8" w:color="auto"/>
            </w:tcBorders>
          </w:tcPr>
          <w:p>
            <w:pPr>
              <w:spacing w:after="0"/>
              <w:rPr>
                <w:sz w:val="4"/>
                <w:szCs w:val="4"/>
                <w:color w:val="auto"/>
              </w:rPr>
            </w:pPr>
          </w:p>
        </w:tc>
        <w:tc>
          <w:tcPr>
            <w:tcW w:w="342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257"/>
        </w:trPr>
        <w:tc>
          <w:tcPr>
            <w:tcW w:w="5540" w:type="dxa"/>
            <w:vAlign w:val="bottom"/>
            <w:tcBorders>
              <w:bottom w:val="single" w:sz="8" w:color="E5E5E5"/>
            </w:tcBorders>
            <w:shd w:val="clear" w:color="auto" w:fill="E5E5E5"/>
          </w:tcPr>
          <w:p>
            <w:pPr>
              <w:ind w:left="60"/>
              <w:spacing w:after="0"/>
              <w:rPr>
                <w:sz w:val="20"/>
                <w:szCs w:val="20"/>
                <w:color w:val="auto"/>
              </w:rPr>
            </w:pPr>
            <w:r>
              <w:rPr>
                <w:rFonts w:ascii="Calibri" w:cs="Calibri" w:eastAsia="Calibri" w:hAnsi="Calibri"/>
                <w:sz w:val="18"/>
                <w:szCs w:val="18"/>
                <w:color w:val="auto"/>
              </w:rPr>
              <w:t>Board of Director</w:t>
            </w:r>
          </w:p>
        </w:tc>
        <w:tc>
          <w:tcPr>
            <w:tcW w:w="3420" w:type="dxa"/>
            <w:vAlign w:val="bottom"/>
            <w:tcBorders>
              <w:bottom w:val="single" w:sz="8" w:color="E5E5E5"/>
            </w:tcBorders>
            <w:shd w:val="clear" w:color="auto" w:fill="E5E5E5"/>
          </w:tcPr>
          <w:p>
            <w:pPr>
              <w:spacing w:after="0"/>
              <w:rPr>
                <w:sz w:val="22"/>
                <w:szCs w:val="22"/>
                <w:color w:val="auto"/>
              </w:rPr>
            </w:pPr>
          </w:p>
        </w:tc>
        <w:tc>
          <w:tcPr>
            <w:tcW w:w="1660" w:type="dxa"/>
            <w:vAlign w:val="bottom"/>
            <w:tcBorders>
              <w:bottom w:val="single" w:sz="8" w:color="E5E5E5"/>
            </w:tcBorders>
            <w:shd w:val="clear" w:color="auto" w:fill="E5E5E5"/>
          </w:tcPr>
          <w:p>
            <w:pPr>
              <w:jc w:val="right"/>
              <w:ind w:right="110"/>
              <w:spacing w:after="0"/>
              <w:rPr>
                <w:sz w:val="20"/>
                <w:szCs w:val="20"/>
                <w:color w:val="auto"/>
              </w:rPr>
            </w:pPr>
            <w:r>
              <w:rPr>
                <w:rFonts w:ascii="Calibri" w:cs="Calibri" w:eastAsia="Calibri" w:hAnsi="Calibri"/>
                <w:sz w:val="18"/>
                <w:szCs w:val="18"/>
                <w:color w:val="auto"/>
              </w:rPr>
              <w:t>$</w:t>
            </w:r>
          </w:p>
        </w:tc>
        <w:tc>
          <w:tcPr>
            <w:tcW w:w="620" w:type="dxa"/>
            <w:vAlign w:val="bottom"/>
            <w:tcBorders>
              <w:bottom w:val="single" w:sz="8" w:color="E5E5E5"/>
            </w:tcBorders>
            <w:shd w:val="clear" w:color="auto" w:fill="E5E5E5"/>
          </w:tcPr>
          <w:p>
            <w:pPr>
              <w:jc w:val="right"/>
              <w:spacing w:after="0"/>
              <w:rPr>
                <w:sz w:val="20"/>
                <w:szCs w:val="20"/>
                <w:color w:val="auto"/>
              </w:rPr>
            </w:pPr>
            <w:r>
              <w:rPr>
                <w:rFonts w:ascii="Calibri" w:cs="Calibri" w:eastAsia="Calibri" w:hAnsi="Calibri"/>
                <w:sz w:val="18"/>
                <w:szCs w:val="18"/>
                <w:color w:val="auto"/>
                <w:w w:val="97"/>
              </w:rPr>
              <w:t>267,500</w:t>
            </w:r>
          </w:p>
        </w:tc>
      </w:tr>
      <w:tr>
        <w:trPr>
          <w:trHeight w:val="247"/>
        </w:trPr>
        <w:tc>
          <w:tcPr>
            <w:tcW w:w="5540" w:type="dxa"/>
            <w:vAlign w:val="bottom"/>
          </w:tcPr>
          <w:p>
            <w:pPr>
              <w:ind w:left="280"/>
              <w:spacing w:after="0"/>
              <w:rPr>
                <w:sz w:val="20"/>
                <w:szCs w:val="20"/>
                <w:color w:val="auto"/>
              </w:rPr>
            </w:pPr>
            <w:r>
              <w:rPr>
                <w:rFonts w:ascii="Calibri" w:cs="Calibri" w:eastAsia="Calibri" w:hAnsi="Calibri"/>
                <w:sz w:val="18"/>
                <w:szCs w:val="18"/>
                <w:color w:val="auto"/>
              </w:rPr>
              <w:t>Quarterly Cash Installments</w:t>
            </w:r>
          </w:p>
        </w:tc>
        <w:tc>
          <w:tcPr>
            <w:tcW w:w="3420" w:type="dxa"/>
            <w:vAlign w:val="bottom"/>
          </w:tcPr>
          <w:p>
            <w:pPr>
              <w:jc w:val="right"/>
              <w:ind w:right="30"/>
              <w:spacing w:after="0"/>
              <w:rPr>
                <w:sz w:val="20"/>
                <w:szCs w:val="20"/>
                <w:color w:val="auto"/>
              </w:rPr>
            </w:pPr>
            <w:r>
              <w:rPr>
                <w:rFonts w:ascii="Calibri" w:cs="Calibri" w:eastAsia="Calibri" w:hAnsi="Calibri"/>
                <w:sz w:val="18"/>
                <w:szCs w:val="18"/>
                <w:color w:val="auto"/>
              </w:rPr>
              <w:t>$</w:t>
            </w:r>
          </w:p>
        </w:tc>
        <w:tc>
          <w:tcPr>
            <w:tcW w:w="1660" w:type="dxa"/>
            <w:vAlign w:val="bottom"/>
          </w:tcPr>
          <w:p>
            <w:pPr>
              <w:jc w:val="right"/>
              <w:ind w:right="870"/>
              <w:spacing w:after="0"/>
              <w:rPr>
                <w:sz w:val="20"/>
                <w:szCs w:val="20"/>
                <w:color w:val="auto"/>
              </w:rPr>
            </w:pPr>
            <w:r>
              <w:rPr>
                <w:rFonts w:ascii="Calibri" w:cs="Calibri" w:eastAsia="Calibri" w:hAnsi="Calibri"/>
                <w:sz w:val="18"/>
                <w:szCs w:val="18"/>
                <w:color w:val="auto"/>
              </w:rPr>
              <w:t>115,000</w:t>
            </w:r>
          </w:p>
        </w:tc>
        <w:tc>
          <w:tcPr>
            <w:tcW w:w="620" w:type="dxa"/>
            <w:vAlign w:val="bottom"/>
          </w:tcPr>
          <w:p>
            <w:pPr>
              <w:spacing w:after="0"/>
              <w:rPr>
                <w:sz w:val="21"/>
                <w:szCs w:val="21"/>
                <w:color w:val="auto"/>
              </w:rPr>
            </w:pPr>
          </w:p>
        </w:tc>
      </w:tr>
      <w:tr>
        <w:trPr>
          <w:trHeight w:val="37"/>
        </w:trPr>
        <w:tc>
          <w:tcPr>
            <w:tcW w:w="5540" w:type="dxa"/>
            <w:vAlign w:val="bottom"/>
          </w:tcPr>
          <w:p>
            <w:pPr>
              <w:spacing w:after="0"/>
              <w:rPr>
                <w:sz w:val="3"/>
                <w:szCs w:val="3"/>
                <w:color w:val="auto"/>
              </w:rPr>
            </w:pPr>
          </w:p>
        </w:tc>
        <w:tc>
          <w:tcPr>
            <w:tcW w:w="34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4"/>
        </w:trPr>
        <w:tc>
          <w:tcPr>
            <w:tcW w:w="5540" w:type="dxa"/>
            <w:vAlign w:val="bottom"/>
            <w:tcBorders>
              <w:bottom w:val="single" w:sz="8" w:color="E5E5E5"/>
            </w:tcBorders>
            <w:shd w:val="clear" w:color="auto" w:fill="E5E5E5"/>
          </w:tcPr>
          <w:p>
            <w:pPr>
              <w:ind w:left="280"/>
              <w:spacing w:after="0"/>
              <w:rPr>
                <w:sz w:val="20"/>
                <w:szCs w:val="20"/>
                <w:color w:val="auto"/>
              </w:rPr>
            </w:pPr>
            <w:r>
              <w:rPr>
                <w:rFonts w:ascii="Calibri" w:cs="Calibri" w:eastAsia="Calibri" w:hAnsi="Calibri"/>
                <w:sz w:val="18"/>
                <w:szCs w:val="18"/>
                <w:color w:val="auto"/>
              </w:rPr>
              <w:t>Deferred Compensaton Plan</w:t>
            </w:r>
          </w:p>
        </w:tc>
        <w:tc>
          <w:tcPr>
            <w:tcW w:w="3420" w:type="dxa"/>
            <w:vAlign w:val="bottom"/>
            <w:tcBorders>
              <w:bottom w:val="single" w:sz="8" w:color="E5E5E5"/>
            </w:tcBorders>
            <w:shd w:val="clear" w:color="auto" w:fill="E5E5E5"/>
          </w:tcPr>
          <w:p>
            <w:pPr>
              <w:jc w:val="right"/>
              <w:ind w:right="30"/>
              <w:spacing w:after="0"/>
              <w:rPr>
                <w:sz w:val="20"/>
                <w:szCs w:val="20"/>
                <w:color w:val="auto"/>
              </w:rPr>
            </w:pPr>
            <w:r>
              <w:rPr>
                <w:rFonts w:ascii="Calibri" w:cs="Calibri" w:eastAsia="Calibri" w:hAnsi="Calibri"/>
                <w:sz w:val="18"/>
                <w:szCs w:val="18"/>
                <w:color w:val="auto"/>
              </w:rPr>
              <w:t>$</w:t>
            </w:r>
          </w:p>
        </w:tc>
        <w:tc>
          <w:tcPr>
            <w:tcW w:w="1660" w:type="dxa"/>
            <w:vAlign w:val="bottom"/>
            <w:tcBorders>
              <w:bottom w:val="single" w:sz="8" w:color="E5E5E5"/>
            </w:tcBorders>
            <w:shd w:val="clear" w:color="auto" w:fill="E5E5E5"/>
          </w:tcPr>
          <w:p>
            <w:pPr>
              <w:jc w:val="right"/>
              <w:ind w:right="870"/>
              <w:spacing w:after="0"/>
              <w:rPr>
                <w:sz w:val="20"/>
                <w:szCs w:val="20"/>
                <w:color w:val="auto"/>
              </w:rPr>
            </w:pPr>
            <w:r>
              <w:rPr>
                <w:rFonts w:ascii="Calibri" w:cs="Calibri" w:eastAsia="Calibri" w:hAnsi="Calibri"/>
                <w:sz w:val="18"/>
                <w:szCs w:val="18"/>
                <w:color w:val="auto"/>
              </w:rPr>
              <w:t>152,500</w:t>
            </w:r>
          </w:p>
        </w:tc>
        <w:tc>
          <w:tcPr>
            <w:tcW w:w="620" w:type="dxa"/>
            <w:vAlign w:val="bottom"/>
            <w:tcBorders>
              <w:bottom w:val="single" w:sz="8" w:color="E5E5E5"/>
            </w:tcBorders>
            <w:shd w:val="clear" w:color="auto" w:fill="E5E5E5"/>
          </w:tcPr>
          <w:p>
            <w:pPr>
              <w:spacing w:after="0"/>
              <w:rPr>
                <w:sz w:val="22"/>
                <w:szCs w:val="22"/>
                <w:color w:val="auto"/>
              </w:rPr>
            </w:pPr>
          </w:p>
        </w:tc>
      </w:tr>
      <w:tr>
        <w:trPr>
          <w:trHeight w:val="247"/>
        </w:trPr>
        <w:tc>
          <w:tcPr>
            <w:tcW w:w="5540" w:type="dxa"/>
            <w:vAlign w:val="bottom"/>
          </w:tcPr>
          <w:p>
            <w:pPr>
              <w:ind w:left="60"/>
              <w:spacing w:after="0"/>
              <w:rPr>
                <w:sz w:val="20"/>
                <w:szCs w:val="20"/>
                <w:color w:val="auto"/>
              </w:rPr>
            </w:pPr>
            <w:r>
              <w:rPr>
                <w:rFonts w:ascii="Calibri" w:cs="Calibri" w:eastAsia="Calibri" w:hAnsi="Calibri"/>
                <w:sz w:val="18"/>
                <w:szCs w:val="18"/>
                <w:color w:val="auto"/>
              </w:rPr>
              <w:t>Lead Director</w:t>
            </w:r>
          </w:p>
        </w:tc>
        <w:tc>
          <w:tcPr>
            <w:tcW w:w="3420" w:type="dxa"/>
            <w:vAlign w:val="bottom"/>
          </w:tcPr>
          <w:p>
            <w:pPr>
              <w:spacing w:after="0"/>
              <w:rPr>
                <w:sz w:val="21"/>
                <w:szCs w:val="21"/>
                <w:color w:val="auto"/>
              </w:rPr>
            </w:pPr>
          </w:p>
        </w:tc>
        <w:tc>
          <w:tcPr>
            <w:tcW w:w="1660" w:type="dxa"/>
            <w:vAlign w:val="bottom"/>
          </w:tcPr>
          <w:p>
            <w:pPr>
              <w:jc w:val="center"/>
              <w:ind w:left="1270"/>
              <w:spacing w:after="0"/>
              <w:rPr>
                <w:sz w:val="20"/>
                <w:szCs w:val="20"/>
                <w:color w:val="auto"/>
              </w:rPr>
            </w:pPr>
            <w:r>
              <w:rPr>
                <w:rFonts w:ascii="Calibri" w:cs="Calibri" w:eastAsia="Calibri" w:hAnsi="Calibri"/>
                <w:sz w:val="18"/>
                <w:szCs w:val="18"/>
                <w:color w:val="auto"/>
              </w:rPr>
              <w:t>$</w:t>
            </w:r>
          </w:p>
        </w:tc>
        <w:tc>
          <w:tcPr>
            <w:tcW w:w="620" w:type="dxa"/>
            <w:vAlign w:val="bottom"/>
          </w:tcPr>
          <w:p>
            <w:pPr>
              <w:jc w:val="right"/>
              <w:spacing w:after="0"/>
              <w:rPr>
                <w:sz w:val="20"/>
                <w:szCs w:val="20"/>
                <w:color w:val="auto"/>
              </w:rPr>
            </w:pPr>
            <w:r>
              <w:rPr>
                <w:rFonts w:ascii="Calibri" w:cs="Calibri" w:eastAsia="Calibri" w:hAnsi="Calibri"/>
                <w:sz w:val="18"/>
                <w:szCs w:val="18"/>
                <w:color w:val="auto"/>
              </w:rPr>
              <w:t>30,000</w:t>
            </w:r>
          </w:p>
        </w:tc>
      </w:tr>
      <w:tr>
        <w:trPr>
          <w:trHeight w:val="37"/>
        </w:trPr>
        <w:tc>
          <w:tcPr>
            <w:tcW w:w="5540" w:type="dxa"/>
            <w:vAlign w:val="bottom"/>
          </w:tcPr>
          <w:p>
            <w:pPr>
              <w:spacing w:after="0"/>
              <w:rPr>
                <w:sz w:val="3"/>
                <w:szCs w:val="3"/>
                <w:color w:val="auto"/>
              </w:rPr>
            </w:pPr>
          </w:p>
        </w:tc>
        <w:tc>
          <w:tcPr>
            <w:tcW w:w="34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5540" w:type="dxa"/>
            <w:vAlign w:val="bottom"/>
            <w:tcBorders>
              <w:bottom w:val="single" w:sz="8" w:color="E5E5E5"/>
            </w:tcBorders>
            <w:shd w:val="clear" w:color="auto" w:fill="E5E5E5"/>
          </w:tcPr>
          <w:p>
            <w:pPr>
              <w:ind w:left="60"/>
              <w:spacing w:after="0"/>
              <w:rPr>
                <w:sz w:val="20"/>
                <w:szCs w:val="20"/>
                <w:color w:val="auto"/>
              </w:rPr>
            </w:pPr>
            <w:r>
              <w:rPr>
                <w:rFonts w:ascii="Calibri" w:cs="Calibri" w:eastAsia="Calibri" w:hAnsi="Calibri"/>
                <w:sz w:val="18"/>
                <w:szCs w:val="18"/>
                <w:color w:val="auto"/>
              </w:rPr>
              <w:t>Chair of Commitee</w:t>
            </w:r>
          </w:p>
        </w:tc>
        <w:tc>
          <w:tcPr>
            <w:tcW w:w="3420" w:type="dxa"/>
            <w:vAlign w:val="bottom"/>
            <w:tcBorders>
              <w:bottom w:val="single" w:sz="8" w:color="E5E5E5"/>
            </w:tcBorders>
            <w:shd w:val="clear" w:color="auto" w:fill="E5E5E5"/>
          </w:tcPr>
          <w:p>
            <w:pPr>
              <w:spacing w:after="0"/>
              <w:rPr>
                <w:sz w:val="22"/>
                <w:szCs w:val="22"/>
                <w:color w:val="auto"/>
              </w:rPr>
            </w:pPr>
          </w:p>
        </w:tc>
        <w:tc>
          <w:tcPr>
            <w:tcW w:w="1660" w:type="dxa"/>
            <w:vAlign w:val="bottom"/>
            <w:tcBorders>
              <w:bottom w:val="single" w:sz="8" w:color="E5E5E5"/>
            </w:tcBorders>
            <w:shd w:val="clear" w:color="auto" w:fill="E5E5E5"/>
          </w:tcPr>
          <w:p>
            <w:pPr>
              <w:jc w:val="center"/>
              <w:ind w:left="1270"/>
              <w:spacing w:after="0"/>
              <w:rPr>
                <w:sz w:val="20"/>
                <w:szCs w:val="20"/>
                <w:color w:val="auto"/>
              </w:rPr>
            </w:pPr>
            <w:r>
              <w:rPr>
                <w:rFonts w:ascii="Calibri" w:cs="Calibri" w:eastAsia="Calibri" w:hAnsi="Calibri"/>
                <w:sz w:val="18"/>
                <w:szCs w:val="18"/>
                <w:color w:val="auto"/>
              </w:rPr>
              <w:t>$</w:t>
            </w:r>
          </w:p>
        </w:tc>
        <w:tc>
          <w:tcPr>
            <w:tcW w:w="620" w:type="dxa"/>
            <w:vAlign w:val="bottom"/>
            <w:tcBorders>
              <w:bottom w:val="single" w:sz="8" w:color="E5E5E5"/>
            </w:tcBorders>
            <w:shd w:val="clear" w:color="auto" w:fill="E5E5E5"/>
          </w:tcPr>
          <w:p>
            <w:pPr>
              <w:jc w:val="right"/>
              <w:spacing w:after="0"/>
              <w:rPr>
                <w:sz w:val="20"/>
                <w:szCs w:val="20"/>
                <w:color w:val="auto"/>
              </w:rPr>
            </w:pPr>
            <w:r>
              <w:rPr>
                <w:rFonts w:ascii="Calibri" w:cs="Calibri" w:eastAsia="Calibri" w:hAnsi="Calibri"/>
                <w:sz w:val="18"/>
                <w:szCs w:val="18"/>
                <w:color w:val="auto"/>
              </w:rPr>
              <w:t>15,000</w:t>
            </w:r>
          </w:p>
        </w:tc>
      </w:tr>
      <w:tr>
        <w:trPr>
          <w:trHeight w:val="233"/>
        </w:trPr>
        <w:tc>
          <w:tcPr>
            <w:tcW w:w="5540" w:type="dxa"/>
            <w:vAlign w:val="bottom"/>
          </w:tcPr>
          <w:p>
            <w:pPr>
              <w:ind w:left="60"/>
              <w:spacing w:after="0"/>
              <w:rPr>
                <w:sz w:val="20"/>
                <w:szCs w:val="20"/>
                <w:color w:val="auto"/>
              </w:rPr>
            </w:pPr>
            <w:r>
              <w:rPr>
                <w:rFonts w:ascii="Calibri" w:cs="Calibri" w:eastAsia="Calibri" w:hAnsi="Calibri"/>
                <w:sz w:val="18"/>
                <w:szCs w:val="18"/>
                <w:color w:val="auto"/>
              </w:rPr>
              <w:t>Serve on Audit Commitee</w:t>
            </w:r>
          </w:p>
        </w:tc>
        <w:tc>
          <w:tcPr>
            <w:tcW w:w="34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Calibri" w:cs="Calibri" w:eastAsia="Calibri" w:hAnsi="Calibri"/>
                <w:sz w:val="18"/>
                <w:szCs w:val="18"/>
                <w:color w:val="auto"/>
              </w:rPr>
              <w:t>$</w:t>
            </w:r>
          </w:p>
        </w:tc>
        <w:tc>
          <w:tcPr>
            <w:tcW w:w="620" w:type="dxa"/>
            <w:vAlign w:val="bottom"/>
          </w:tcPr>
          <w:p>
            <w:pPr>
              <w:jc w:val="right"/>
              <w:spacing w:after="0"/>
              <w:rPr>
                <w:sz w:val="20"/>
                <w:szCs w:val="20"/>
                <w:color w:val="auto"/>
              </w:rPr>
            </w:pPr>
            <w:r>
              <w:rPr>
                <w:rFonts w:ascii="Calibri" w:cs="Calibri" w:eastAsia="Calibri" w:hAnsi="Calibri"/>
                <w:sz w:val="18"/>
                <w:szCs w:val="18"/>
                <w:color w:val="auto"/>
              </w:rPr>
              <w:t>5,000</w:t>
            </w:r>
          </w:p>
        </w:tc>
      </w:tr>
      <w:tr>
        <w:trPr>
          <w:trHeight w:val="37"/>
        </w:trPr>
        <w:tc>
          <w:tcPr>
            <w:tcW w:w="5540" w:type="dxa"/>
            <w:vAlign w:val="bottom"/>
            <w:tcBorders>
              <w:bottom w:val="single" w:sz="8" w:color="auto"/>
            </w:tcBorders>
          </w:tcPr>
          <w:p>
            <w:pPr>
              <w:spacing w:after="0"/>
              <w:rPr>
                <w:sz w:val="3"/>
                <w:szCs w:val="3"/>
                <w:color w:val="auto"/>
              </w:rPr>
            </w:pPr>
          </w:p>
        </w:tc>
        <w:tc>
          <w:tcPr>
            <w:tcW w:w="34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bl>
    <w:p>
      <w:pPr>
        <w:spacing w:after="0" w:line="194"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Under the Company's Deferred Compensaton Plan, non-management directors may defer payment of all or part of their quarterly and annual cash retainer fees, which deferred amounts in 2023 were credited to their accounts as of the scheduled payment date. Amounts credited to the accounts are assumed to be invested in one or more of the investment optons permited under the Company's Deferred Compensaton Plan. In 2023, those investment optons included a Company Common Stock fund, whose value was determined based on the stock price of the Company's Common Stock. When an individual ceases to be a director of the Company, all amounts credited under the Company's Deferred Compensaton Plan are paid in cash in a lump sum or installments. In certain circumstances, partcipants may also be enttled to in-service withdrawals from the Company's Deferred Compensaton Plan.</w:t>
      </w:r>
    </w:p>
    <w:p>
      <w:pPr>
        <w:spacing w:after="0" w:line="221"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On December 5, 2023, the Compensaton Commitee met to consider director compensaton. At that meetng, the Compensaton Commitee recommended, and the Board subsequently approved, an increase in the annual equity retainer from $140,000 to $152,500. That amount was credited on December 12, 2023. There were no changes in the annual cash retainer for 2024.</w:t>
      </w:r>
    </w:p>
    <w:p>
      <w:pPr>
        <w:spacing w:after="0" w:line="2" w:lineRule="exact"/>
        <w:rPr>
          <w:sz w:val="20"/>
          <w:szCs w:val="20"/>
          <w:color w:val="auto"/>
        </w:rPr>
      </w:pPr>
    </w:p>
    <w:tbl>
      <w:tblPr>
        <w:tblLayout w:type="fixed"/>
        <w:tblInd w:w="10" w:type="dxa"/>
        <w:tblCellMar>
          <w:top w:w="0" w:type="dxa"/>
          <w:left w:w="0" w:type="dxa"/>
          <w:bottom w:w="0" w:type="dxa"/>
          <w:right w:w="0" w:type="dxa"/>
        </w:tblCellMar>
      </w:tblPr>
      <w:tr>
        <w:trPr>
          <w:trHeight w:val="224"/>
        </w:trPr>
        <w:tc>
          <w:tcPr>
            <w:tcW w:w="2400" w:type="dxa"/>
            <w:vAlign w:val="bottom"/>
            <w:tcBorders>
              <w:top w:val="single" w:sz="8" w:color="auto"/>
              <w:left w:val="single" w:sz="8" w:color="auto"/>
              <w:right w:val="single" w:sz="8" w:color="auto"/>
            </w:tcBorders>
          </w:tcPr>
          <w:p>
            <w:pPr>
              <w:ind w:left="980"/>
              <w:spacing w:after="0"/>
              <w:rPr>
                <w:sz w:val="20"/>
                <w:szCs w:val="20"/>
                <w:color w:val="auto"/>
              </w:rPr>
            </w:pPr>
            <w:r>
              <w:rPr>
                <w:rFonts w:ascii="Calibri" w:cs="Calibri" w:eastAsia="Calibri" w:hAnsi="Calibri"/>
                <w:sz w:val="18"/>
                <w:szCs w:val="18"/>
                <w:color w:val="auto"/>
              </w:rPr>
              <w:t>Name</w:t>
            </w: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right w:val="single" w:sz="8" w:color="auto"/>
            </w:tcBorders>
          </w:tcPr>
          <w:p>
            <w:pPr>
              <w:jc w:val="center"/>
              <w:ind w:right="190"/>
              <w:spacing w:after="0"/>
              <w:rPr>
                <w:sz w:val="20"/>
                <w:szCs w:val="20"/>
                <w:color w:val="auto"/>
              </w:rPr>
            </w:pPr>
            <w:r>
              <w:rPr>
                <w:rFonts w:ascii="Calibri" w:cs="Calibri" w:eastAsia="Calibri" w:hAnsi="Calibri"/>
                <w:sz w:val="18"/>
                <w:szCs w:val="18"/>
                <w:color w:val="auto"/>
                <w:w w:val="96"/>
              </w:rPr>
              <w:t>Fees</w:t>
            </w: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right w:val="single" w:sz="8" w:color="auto"/>
            </w:tcBorders>
          </w:tcPr>
          <w:p>
            <w:pPr>
              <w:jc w:val="center"/>
              <w:ind w:right="210"/>
              <w:spacing w:after="0"/>
              <w:rPr>
                <w:sz w:val="20"/>
                <w:szCs w:val="20"/>
                <w:color w:val="auto"/>
              </w:rPr>
            </w:pPr>
            <w:r>
              <w:rPr>
                <w:rFonts w:ascii="Calibri" w:cs="Calibri" w:eastAsia="Calibri" w:hAnsi="Calibri"/>
                <w:sz w:val="18"/>
                <w:szCs w:val="18"/>
                <w:color w:val="auto"/>
              </w:rPr>
              <w:t>Stock</w:t>
            </w:r>
          </w:p>
        </w:tc>
        <w:tc>
          <w:tcPr>
            <w:tcW w:w="840" w:type="dxa"/>
            <w:vAlign w:val="bottom"/>
            <w:tcBorders>
              <w:top w:val="single" w:sz="8" w:color="auto"/>
              <w:right w:val="single" w:sz="8" w:color="auto"/>
            </w:tcBorders>
          </w:tcPr>
          <w:p>
            <w:pPr>
              <w:jc w:val="center"/>
              <w:ind w:right="30"/>
              <w:spacing w:after="0"/>
              <w:rPr>
                <w:sz w:val="20"/>
                <w:szCs w:val="20"/>
                <w:color w:val="auto"/>
              </w:rPr>
            </w:pPr>
            <w:r>
              <w:rPr>
                <w:rFonts w:ascii="Calibri" w:cs="Calibri" w:eastAsia="Calibri" w:hAnsi="Calibri"/>
                <w:sz w:val="18"/>
                <w:szCs w:val="18"/>
                <w:color w:val="auto"/>
              </w:rPr>
              <w:t>Opton</w:t>
            </w:r>
          </w:p>
        </w:tc>
        <w:tc>
          <w:tcPr>
            <w:tcW w:w="1400" w:type="dxa"/>
            <w:vAlign w:val="bottom"/>
            <w:tcBorders>
              <w:top w:val="single" w:sz="8" w:color="auto"/>
              <w:right w:val="single" w:sz="8" w:color="auto"/>
            </w:tcBorders>
          </w:tcPr>
          <w:p>
            <w:pPr>
              <w:jc w:val="center"/>
              <w:ind w:right="30"/>
              <w:spacing w:after="0"/>
              <w:rPr>
                <w:sz w:val="20"/>
                <w:szCs w:val="20"/>
                <w:color w:val="auto"/>
              </w:rPr>
            </w:pPr>
            <w:r>
              <w:rPr>
                <w:rFonts w:ascii="Calibri" w:cs="Calibri" w:eastAsia="Calibri" w:hAnsi="Calibri"/>
                <w:sz w:val="18"/>
                <w:szCs w:val="18"/>
                <w:color w:val="auto"/>
                <w:w w:val="97"/>
              </w:rPr>
              <w:t>Non-Equity</w:t>
            </w:r>
          </w:p>
        </w:tc>
        <w:tc>
          <w:tcPr>
            <w:tcW w:w="1400" w:type="dxa"/>
            <w:vAlign w:val="bottom"/>
            <w:tcBorders>
              <w:top w:val="single" w:sz="8" w:color="auto"/>
              <w:right w:val="single" w:sz="8" w:color="auto"/>
            </w:tcBorders>
          </w:tcPr>
          <w:p>
            <w:pPr>
              <w:jc w:val="center"/>
              <w:ind w:right="10"/>
              <w:spacing w:after="0"/>
              <w:rPr>
                <w:sz w:val="20"/>
                <w:szCs w:val="20"/>
                <w:color w:val="auto"/>
              </w:rPr>
            </w:pPr>
            <w:r>
              <w:rPr>
                <w:rFonts w:ascii="Calibri" w:cs="Calibri" w:eastAsia="Calibri" w:hAnsi="Calibri"/>
                <w:sz w:val="18"/>
                <w:szCs w:val="18"/>
                <w:color w:val="auto"/>
                <w:w w:val="96"/>
              </w:rPr>
              <w:t>Change in</w:t>
            </w:r>
          </w:p>
        </w:tc>
        <w:tc>
          <w:tcPr>
            <w:tcW w:w="1460" w:type="dxa"/>
            <w:vAlign w:val="bottom"/>
            <w:tcBorders>
              <w:top w:val="single" w:sz="8" w:color="auto"/>
              <w:right w:val="single" w:sz="8" w:color="auto"/>
            </w:tcBorders>
          </w:tcPr>
          <w:p>
            <w:pPr>
              <w:jc w:val="center"/>
              <w:ind w:right="50"/>
              <w:spacing w:after="0"/>
              <w:rPr>
                <w:sz w:val="20"/>
                <w:szCs w:val="20"/>
                <w:color w:val="auto"/>
              </w:rPr>
            </w:pPr>
            <w:r>
              <w:rPr>
                <w:rFonts w:ascii="Calibri" w:cs="Calibri" w:eastAsia="Calibri" w:hAnsi="Calibri"/>
                <w:sz w:val="18"/>
                <w:szCs w:val="18"/>
                <w:color w:val="auto"/>
                <w:w w:val="97"/>
              </w:rPr>
              <w:t>All Other</w:t>
            </w:r>
          </w:p>
        </w:tc>
        <w:tc>
          <w:tcPr>
            <w:tcW w:w="280" w:type="dxa"/>
            <w:vAlign w:val="bottom"/>
            <w:tcBorders>
              <w:top w:val="single" w:sz="8" w:color="auto"/>
            </w:tcBorders>
          </w:tcPr>
          <w:p>
            <w:pPr>
              <w:spacing w:after="0"/>
              <w:rPr>
                <w:sz w:val="19"/>
                <w:szCs w:val="19"/>
                <w:color w:val="auto"/>
              </w:rPr>
            </w:pPr>
          </w:p>
        </w:tc>
        <w:tc>
          <w:tcPr>
            <w:tcW w:w="1120" w:type="dxa"/>
            <w:vAlign w:val="bottom"/>
            <w:tcBorders>
              <w:top w:val="single" w:sz="8" w:color="auto"/>
              <w:right w:val="single" w:sz="8" w:color="auto"/>
            </w:tcBorders>
          </w:tcPr>
          <w:p>
            <w:pPr>
              <w:jc w:val="center"/>
              <w:ind w:right="290"/>
              <w:spacing w:after="0"/>
              <w:rPr>
                <w:sz w:val="20"/>
                <w:szCs w:val="20"/>
                <w:color w:val="auto"/>
              </w:rPr>
            </w:pPr>
            <w:r>
              <w:rPr>
                <w:rFonts w:ascii="Calibri" w:cs="Calibri" w:eastAsia="Calibri" w:hAnsi="Calibri"/>
                <w:sz w:val="18"/>
                <w:szCs w:val="18"/>
                <w:color w:val="auto"/>
                <w:w w:val="91"/>
              </w:rPr>
              <w:t>Total</w:t>
            </w:r>
          </w:p>
        </w:tc>
      </w:tr>
      <w:tr>
        <w:trPr>
          <w:trHeight w:val="215"/>
        </w:trPr>
        <w:tc>
          <w:tcPr>
            <w:tcW w:w="24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right w:val="single" w:sz="8" w:color="auto"/>
            </w:tcBorders>
          </w:tcPr>
          <w:p>
            <w:pPr>
              <w:jc w:val="center"/>
              <w:ind w:right="190"/>
              <w:spacing w:after="0" w:line="215" w:lineRule="exact"/>
              <w:rPr>
                <w:sz w:val="20"/>
                <w:szCs w:val="20"/>
                <w:color w:val="auto"/>
              </w:rPr>
            </w:pPr>
            <w:r>
              <w:rPr>
                <w:rFonts w:ascii="Calibri" w:cs="Calibri" w:eastAsia="Calibri" w:hAnsi="Calibri"/>
                <w:sz w:val="18"/>
                <w:szCs w:val="18"/>
                <w:color w:val="auto"/>
                <w:w w:val="95"/>
              </w:rPr>
              <w:t>Earned or</w:t>
            </w:r>
          </w:p>
        </w:tc>
        <w:tc>
          <w:tcPr>
            <w:tcW w:w="160" w:type="dxa"/>
            <w:vAlign w:val="bottom"/>
          </w:tcPr>
          <w:p>
            <w:pPr>
              <w:spacing w:after="0"/>
              <w:rPr>
                <w:sz w:val="18"/>
                <w:szCs w:val="18"/>
                <w:color w:val="auto"/>
              </w:rPr>
            </w:pPr>
          </w:p>
        </w:tc>
        <w:tc>
          <w:tcPr>
            <w:tcW w:w="980" w:type="dxa"/>
            <w:vAlign w:val="bottom"/>
            <w:tcBorders>
              <w:right w:val="single" w:sz="8" w:color="auto"/>
            </w:tcBorders>
          </w:tcPr>
          <w:p>
            <w:pPr>
              <w:jc w:val="center"/>
              <w:ind w:right="210"/>
              <w:spacing w:after="0" w:line="215" w:lineRule="exact"/>
              <w:rPr>
                <w:sz w:val="20"/>
                <w:szCs w:val="20"/>
                <w:color w:val="auto"/>
              </w:rPr>
            </w:pPr>
            <w:r>
              <w:rPr>
                <w:rFonts w:ascii="Calibri" w:cs="Calibri" w:eastAsia="Calibri" w:hAnsi="Calibri"/>
                <w:sz w:val="18"/>
                <w:szCs w:val="18"/>
                <w:color w:val="auto"/>
                <w:w w:val="95"/>
              </w:rPr>
              <w:t>Awards</w:t>
            </w:r>
          </w:p>
        </w:tc>
        <w:tc>
          <w:tcPr>
            <w:tcW w:w="840" w:type="dxa"/>
            <w:vAlign w:val="bottom"/>
            <w:tcBorders>
              <w:right w:val="single" w:sz="8" w:color="auto"/>
            </w:tcBorders>
          </w:tcPr>
          <w:p>
            <w:pPr>
              <w:jc w:val="center"/>
              <w:ind w:right="30"/>
              <w:spacing w:after="0" w:line="215" w:lineRule="exact"/>
              <w:rPr>
                <w:sz w:val="20"/>
                <w:szCs w:val="20"/>
                <w:color w:val="auto"/>
              </w:rPr>
            </w:pPr>
            <w:r>
              <w:rPr>
                <w:rFonts w:ascii="Calibri" w:cs="Calibri" w:eastAsia="Calibri" w:hAnsi="Calibri"/>
                <w:sz w:val="18"/>
                <w:szCs w:val="18"/>
                <w:color w:val="auto"/>
                <w:w w:val="95"/>
              </w:rPr>
              <w:t>Awards</w:t>
            </w:r>
          </w:p>
        </w:tc>
        <w:tc>
          <w:tcPr>
            <w:tcW w:w="1400" w:type="dxa"/>
            <w:vAlign w:val="bottom"/>
            <w:tcBorders>
              <w:right w:val="single" w:sz="8" w:color="auto"/>
            </w:tcBorders>
          </w:tcPr>
          <w:p>
            <w:pPr>
              <w:jc w:val="center"/>
              <w:ind w:right="30"/>
              <w:spacing w:after="0" w:line="215" w:lineRule="exact"/>
              <w:rPr>
                <w:sz w:val="20"/>
                <w:szCs w:val="20"/>
                <w:color w:val="auto"/>
              </w:rPr>
            </w:pPr>
            <w:r>
              <w:rPr>
                <w:rFonts w:ascii="Calibri" w:cs="Calibri" w:eastAsia="Calibri" w:hAnsi="Calibri"/>
                <w:sz w:val="18"/>
                <w:szCs w:val="18"/>
                <w:color w:val="auto"/>
              </w:rPr>
              <w:t>Incentve Plan</w:t>
            </w:r>
          </w:p>
        </w:tc>
        <w:tc>
          <w:tcPr>
            <w:tcW w:w="1400" w:type="dxa"/>
            <w:vAlign w:val="bottom"/>
            <w:tcBorders>
              <w:right w:val="single" w:sz="8" w:color="auto"/>
            </w:tcBorders>
          </w:tcPr>
          <w:p>
            <w:pPr>
              <w:jc w:val="center"/>
              <w:spacing w:after="0" w:line="215" w:lineRule="exact"/>
              <w:rPr>
                <w:sz w:val="20"/>
                <w:szCs w:val="20"/>
                <w:color w:val="auto"/>
              </w:rPr>
            </w:pPr>
            <w:r>
              <w:rPr>
                <w:rFonts w:ascii="Calibri" w:cs="Calibri" w:eastAsia="Calibri" w:hAnsi="Calibri"/>
                <w:sz w:val="18"/>
                <w:szCs w:val="18"/>
                <w:color w:val="auto"/>
                <w:w w:val="96"/>
              </w:rPr>
              <w:t>Pension</w:t>
            </w:r>
          </w:p>
        </w:tc>
        <w:tc>
          <w:tcPr>
            <w:tcW w:w="1460" w:type="dxa"/>
            <w:vAlign w:val="bottom"/>
            <w:tcBorders>
              <w:right w:val="single" w:sz="8" w:color="auto"/>
            </w:tcBorders>
          </w:tcPr>
          <w:p>
            <w:pPr>
              <w:jc w:val="center"/>
              <w:ind w:right="10"/>
              <w:spacing w:after="0" w:line="215" w:lineRule="exact"/>
              <w:rPr>
                <w:sz w:val="20"/>
                <w:szCs w:val="20"/>
                <w:color w:val="auto"/>
              </w:rPr>
            </w:pPr>
            <w:r>
              <w:rPr>
                <w:rFonts w:ascii="Calibri" w:cs="Calibri" w:eastAsia="Calibri" w:hAnsi="Calibri"/>
                <w:sz w:val="18"/>
                <w:szCs w:val="18"/>
                <w:color w:val="auto"/>
              </w:rPr>
              <w:t>Compensaton</w:t>
            </w:r>
          </w:p>
        </w:tc>
        <w:tc>
          <w:tcPr>
            <w:tcW w:w="280" w:type="dxa"/>
            <w:vAlign w:val="bottom"/>
          </w:tcPr>
          <w:p>
            <w:pPr>
              <w:spacing w:after="0"/>
              <w:rPr>
                <w:sz w:val="18"/>
                <w:szCs w:val="18"/>
                <w:color w:val="auto"/>
              </w:rPr>
            </w:pPr>
          </w:p>
        </w:tc>
        <w:tc>
          <w:tcPr>
            <w:tcW w:w="1120" w:type="dxa"/>
            <w:vAlign w:val="bottom"/>
            <w:tcBorders>
              <w:right w:val="single" w:sz="8" w:color="auto"/>
            </w:tcBorders>
          </w:tcPr>
          <w:p>
            <w:pPr>
              <w:jc w:val="center"/>
              <w:ind w:right="270"/>
              <w:spacing w:after="0" w:line="215" w:lineRule="exact"/>
              <w:rPr>
                <w:sz w:val="20"/>
                <w:szCs w:val="20"/>
                <w:color w:val="auto"/>
              </w:rPr>
            </w:pPr>
            <w:r>
              <w:rPr>
                <w:rFonts w:ascii="Calibri" w:cs="Calibri" w:eastAsia="Calibri" w:hAnsi="Calibri"/>
                <w:sz w:val="18"/>
                <w:szCs w:val="18"/>
                <w:color w:val="auto"/>
                <w:w w:val="99"/>
              </w:rPr>
              <w:t>($)</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right w:val="single" w:sz="8" w:color="auto"/>
            </w:tcBorders>
          </w:tcPr>
          <w:p>
            <w:pPr>
              <w:jc w:val="center"/>
              <w:ind w:right="190"/>
              <w:spacing w:after="0" w:line="216" w:lineRule="exact"/>
              <w:rPr>
                <w:sz w:val="20"/>
                <w:szCs w:val="20"/>
                <w:color w:val="auto"/>
              </w:rPr>
            </w:pPr>
            <w:r>
              <w:rPr>
                <w:rFonts w:ascii="Calibri" w:cs="Calibri" w:eastAsia="Calibri" w:hAnsi="Calibri"/>
                <w:sz w:val="18"/>
                <w:szCs w:val="18"/>
                <w:color w:val="auto"/>
                <w:w w:val="97"/>
              </w:rPr>
              <w:t>Paid in</w:t>
            </w:r>
          </w:p>
        </w:tc>
        <w:tc>
          <w:tcPr>
            <w:tcW w:w="160" w:type="dxa"/>
            <w:vAlign w:val="bottom"/>
          </w:tcPr>
          <w:p>
            <w:pPr>
              <w:spacing w:after="0"/>
              <w:rPr>
                <w:sz w:val="18"/>
                <w:szCs w:val="18"/>
                <w:color w:val="auto"/>
              </w:rPr>
            </w:pPr>
          </w:p>
        </w:tc>
        <w:tc>
          <w:tcPr>
            <w:tcW w:w="980" w:type="dxa"/>
            <w:vAlign w:val="bottom"/>
            <w:tcBorders>
              <w:right w:val="single" w:sz="8" w:color="auto"/>
            </w:tcBorders>
          </w:tcPr>
          <w:p>
            <w:pPr>
              <w:jc w:val="center"/>
              <w:ind w:right="210"/>
              <w:spacing w:after="0" w:line="216" w:lineRule="exact"/>
              <w:rPr>
                <w:sz w:val="20"/>
                <w:szCs w:val="20"/>
                <w:color w:val="auto"/>
              </w:rPr>
            </w:pPr>
            <w:r>
              <w:rPr>
                <w:rFonts w:ascii="Calibri" w:cs="Calibri" w:eastAsia="Calibri" w:hAnsi="Calibri"/>
                <w:sz w:val="18"/>
                <w:szCs w:val="18"/>
                <w:color w:val="auto"/>
                <w:w w:val="99"/>
              </w:rPr>
              <w:t>($)(1)</w:t>
            </w:r>
          </w:p>
        </w:tc>
        <w:tc>
          <w:tcPr>
            <w:tcW w:w="840" w:type="dxa"/>
            <w:vAlign w:val="bottom"/>
            <w:tcBorders>
              <w:right w:val="single" w:sz="8" w:color="auto"/>
            </w:tcBorders>
          </w:tcPr>
          <w:p>
            <w:pPr>
              <w:jc w:val="center"/>
              <w:ind w:right="30"/>
              <w:spacing w:after="0" w:line="216" w:lineRule="exact"/>
              <w:rPr>
                <w:sz w:val="20"/>
                <w:szCs w:val="20"/>
                <w:color w:val="auto"/>
              </w:rPr>
            </w:pPr>
            <w:r>
              <w:rPr>
                <w:rFonts w:ascii="Calibri" w:cs="Calibri" w:eastAsia="Calibri" w:hAnsi="Calibri"/>
                <w:sz w:val="18"/>
                <w:szCs w:val="18"/>
                <w:color w:val="auto"/>
                <w:w w:val="99"/>
              </w:rPr>
              <w:t>($)</w:t>
            </w:r>
          </w:p>
        </w:tc>
        <w:tc>
          <w:tcPr>
            <w:tcW w:w="1400" w:type="dxa"/>
            <w:vAlign w:val="bottom"/>
            <w:tcBorders>
              <w:right w:val="single" w:sz="8" w:color="auto"/>
            </w:tcBorders>
          </w:tcPr>
          <w:p>
            <w:pPr>
              <w:jc w:val="center"/>
              <w:ind w:right="30"/>
              <w:spacing w:after="0" w:line="216" w:lineRule="exact"/>
              <w:rPr>
                <w:sz w:val="20"/>
                <w:szCs w:val="20"/>
                <w:color w:val="auto"/>
              </w:rPr>
            </w:pPr>
            <w:r>
              <w:rPr>
                <w:rFonts w:ascii="Calibri" w:cs="Calibri" w:eastAsia="Calibri" w:hAnsi="Calibri"/>
                <w:sz w:val="18"/>
                <w:szCs w:val="18"/>
                <w:color w:val="auto"/>
              </w:rPr>
              <w:t>Compensaton</w:t>
            </w:r>
          </w:p>
        </w:tc>
        <w:tc>
          <w:tcPr>
            <w:tcW w:w="1400" w:type="dxa"/>
            <w:vAlign w:val="bottom"/>
            <w:tcBorders>
              <w:right w:val="single" w:sz="8" w:color="auto"/>
            </w:tcBorders>
          </w:tcPr>
          <w:p>
            <w:pPr>
              <w:jc w:val="center"/>
              <w:spacing w:after="0" w:line="216" w:lineRule="exact"/>
              <w:rPr>
                <w:sz w:val="20"/>
                <w:szCs w:val="20"/>
                <w:color w:val="auto"/>
              </w:rPr>
            </w:pPr>
            <w:r>
              <w:rPr>
                <w:rFonts w:ascii="Calibri" w:cs="Calibri" w:eastAsia="Calibri" w:hAnsi="Calibri"/>
                <w:sz w:val="18"/>
                <w:szCs w:val="18"/>
                <w:color w:val="auto"/>
                <w:w w:val="95"/>
              </w:rPr>
              <w:t>Value and</w:t>
            </w:r>
          </w:p>
        </w:tc>
        <w:tc>
          <w:tcPr>
            <w:tcW w:w="1460" w:type="dxa"/>
            <w:vAlign w:val="bottom"/>
            <w:tcBorders>
              <w:right w:val="single" w:sz="8" w:color="auto"/>
            </w:tcBorders>
          </w:tcPr>
          <w:p>
            <w:pPr>
              <w:jc w:val="center"/>
              <w:ind w:right="10"/>
              <w:spacing w:after="0" w:line="216" w:lineRule="exact"/>
              <w:rPr>
                <w:sz w:val="20"/>
                <w:szCs w:val="20"/>
                <w:color w:val="auto"/>
              </w:rPr>
            </w:pPr>
            <w:r>
              <w:rPr>
                <w:rFonts w:ascii="Calibri" w:cs="Calibri" w:eastAsia="Calibri" w:hAnsi="Calibri"/>
                <w:sz w:val="18"/>
                <w:szCs w:val="18"/>
                <w:color w:val="auto"/>
                <w:w w:val="99"/>
              </w:rPr>
              <w:t>($)</w:t>
            </w:r>
          </w:p>
        </w:tc>
        <w:tc>
          <w:tcPr>
            <w:tcW w:w="280" w:type="dxa"/>
            <w:vAlign w:val="bottom"/>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right w:val="single" w:sz="8" w:color="auto"/>
            </w:tcBorders>
          </w:tcPr>
          <w:p>
            <w:pPr>
              <w:jc w:val="center"/>
              <w:ind w:right="210"/>
              <w:spacing w:after="0" w:line="216" w:lineRule="exact"/>
              <w:rPr>
                <w:sz w:val="20"/>
                <w:szCs w:val="20"/>
                <w:color w:val="auto"/>
              </w:rPr>
            </w:pPr>
            <w:r>
              <w:rPr>
                <w:rFonts w:ascii="Calibri" w:cs="Calibri" w:eastAsia="Calibri" w:hAnsi="Calibri"/>
                <w:sz w:val="18"/>
                <w:szCs w:val="18"/>
                <w:color w:val="auto"/>
                <w:w w:val="97"/>
              </w:rPr>
              <w:t>Cash</w:t>
            </w:r>
          </w:p>
        </w:tc>
        <w:tc>
          <w:tcPr>
            <w:tcW w:w="1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center"/>
              <w:ind w:right="30"/>
              <w:spacing w:after="0" w:line="216" w:lineRule="exact"/>
              <w:rPr>
                <w:sz w:val="20"/>
                <w:szCs w:val="20"/>
                <w:color w:val="auto"/>
              </w:rPr>
            </w:pPr>
            <w:r>
              <w:rPr>
                <w:rFonts w:ascii="Calibri" w:cs="Calibri" w:eastAsia="Calibri" w:hAnsi="Calibri"/>
                <w:sz w:val="18"/>
                <w:szCs w:val="18"/>
                <w:color w:val="auto"/>
                <w:w w:val="99"/>
              </w:rPr>
              <w:t>($)</w:t>
            </w:r>
          </w:p>
        </w:tc>
        <w:tc>
          <w:tcPr>
            <w:tcW w:w="1400" w:type="dxa"/>
            <w:vAlign w:val="bottom"/>
            <w:tcBorders>
              <w:right w:val="single" w:sz="8" w:color="auto"/>
            </w:tcBorders>
          </w:tcPr>
          <w:p>
            <w:pPr>
              <w:jc w:val="center"/>
              <w:ind w:right="30"/>
              <w:spacing w:after="0" w:line="216" w:lineRule="exact"/>
              <w:rPr>
                <w:sz w:val="20"/>
                <w:szCs w:val="20"/>
                <w:color w:val="auto"/>
              </w:rPr>
            </w:pPr>
            <w:r>
              <w:rPr>
                <w:rFonts w:ascii="Calibri" w:cs="Calibri" w:eastAsia="Calibri" w:hAnsi="Calibri"/>
                <w:sz w:val="18"/>
                <w:szCs w:val="18"/>
                <w:color w:val="auto"/>
              </w:rPr>
              <w:t>Nonqualifed</w:t>
            </w:r>
          </w:p>
        </w:tc>
        <w:tc>
          <w:tcPr>
            <w:tcW w:w="146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right w:val="single" w:sz="8" w:color="auto"/>
            </w:tcBorders>
          </w:tcPr>
          <w:p>
            <w:pPr>
              <w:jc w:val="center"/>
              <w:ind w:right="190"/>
              <w:spacing w:after="0" w:line="216" w:lineRule="exact"/>
              <w:rPr>
                <w:sz w:val="20"/>
                <w:szCs w:val="20"/>
                <w:color w:val="auto"/>
              </w:rPr>
            </w:pPr>
            <w:r>
              <w:rPr>
                <w:rFonts w:ascii="Calibri" w:cs="Calibri" w:eastAsia="Calibri" w:hAnsi="Calibri"/>
                <w:sz w:val="18"/>
                <w:szCs w:val="18"/>
                <w:color w:val="auto"/>
                <w:w w:val="99"/>
              </w:rPr>
              <w:t>($)</w:t>
            </w:r>
          </w:p>
        </w:tc>
        <w:tc>
          <w:tcPr>
            <w:tcW w:w="1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center"/>
              <w:ind w:right="30"/>
              <w:spacing w:after="0" w:line="216" w:lineRule="exact"/>
              <w:rPr>
                <w:sz w:val="20"/>
                <w:szCs w:val="20"/>
                <w:color w:val="auto"/>
              </w:rPr>
            </w:pPr>
            <w:r>
              <w:rPr>
                <w:rFonts w:ascii="Calibri" w:cs="Calibri" w:eastAsia="Calibri" w:hAnsi="Calibri"/>
                <w:sz w:val="18"/>
                <w:szCs w:val="18"/>
                <w:color w:val="auto"/>
                <w:w w:val="97"/>
              </w:rPr>
              <w:t>Deferred</w:t>
            </w:r>
          </w:p>
        </w:tc>
        <w:tc>
          <w:tcPr>
            <w:tcW w:w="146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center"/>
              <w:ind w:right="30"/>
              <w:spacing w:after="0" w:line="216" w:lineRule="exact"/>
              <w:rPr>
                <w:sz w:val="20"/>
                <w:szCs w:val="20"/>
                <w:color w:val="auto"/>
              </w:rPr>
            </w:pPr>
            <w:r>
              <w:rPr>
                <w:rFonts w:ascii="Calibri" w:cs="Calibri" w:eastAsia="Calibri" w:hAnsi="Calibri"/>
                <w:sz w:val="18"/>
                <w:szCs w:val="18"/>
                <w:color w:val="auto"/>
              </w:rPr>
              <w:t>Compensaton</w:t>
            </w:r>
          </w:p>
        </w:tc>
        <w:tc>
          <w:tcPr>
            <w:tcW w:w="146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center"/>
              <w:ind w:right="30"/>
              <w:spacing w:after="0" w:line="216" w:lineRule="exact"/>
              <w:rPr>
                <w:sz w:val="20"/>
                <w:szCs w:val="20"/>
                <w:color w:val="auto"/>
              </w:rPr>
            </w:pPr>
            <w:r>
              <w:rPr>
                <w:rFonts w:ascii="Calibri" w:cs="Calibri" w:eastAsia="Calibri" w:hAnsi="Calibri"/>
                <w:sz w:val="18"/>
                <w:szCs w:val="18"/>
                <w:color w:val="auto"/>
                <w:w w:val="96"/>
              </w:rPr>
              <w:t>Earnings</w:t>
            </w:r>
          </w:p>
        </w:tc>
        <w:tc>
          <w:tcPr>
            <w:tcW w:w="146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center"/>
              <w:ind w:right="30"/>
              <w:spacing w:after="0" w:line="216" w:lineRule="exact"/>
              <w:rPr>
                <w:sz w:val="20"/>
                <w:szCs w:val="20"/>
                <w:color w:val="auto"/>
              </w:rPr>
            </w:pPr>
            <w:r>
              <w:rPr>
                <w:rFonts w:ascii="Calibri" w:cs="Calibri" w:eastAsia="Calibri" w:hAnsi="Calibri"/>
                <w:sz w:val="18"/>
                <w:szCs w:val="18"/>
                <w:color w:val="auto"/>
                <w:w w:val="99"/>
              </w:rPr>
              <w:t>($)</w:t>
            </w:r>
          </w:p>
        </w:tc>
        <w:tc>
          <w:tcPr>
            <w:tcW w:w="146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r>
      <w:tr>
        <w:trPr>
          <w:trHeight w:val="54"/>
        </w:trPr>
        <w:tc>
          <w:tcPr>
            <w:tcW w:w="2400" w:type="dxa"/>
            <w:vAlign w:val="bottom"/>
            <w:tcBorders>
              <w:left w:val="single" w:sz="8" w:color="auto"/>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r>
      <w:tr>
        <w:trPr>
          <w:trHeight w:val="195"/>
        </w:trPr>
        <w:tc>
          <w:tcPr>
            <w:tcW w:w="2400" w:type="dxa"/>
            <w:vAlign w:val="bottom"/>
            <w:tcBorders>
              <w:left w:val="single" w:sz="8" w:color="auto"/>
              <w:right w:val="single" w:sz="8" w:color="auto"/>
            </w:tcBorders>
          </w:tcPr>
          <w:p>
            <w:pPr>
              <w:ind w:left="1100"/>
              <w:spacing w:after="0" w:line="195" w:lineRule="exact"/>
              <w:rPr>
                <w:sz w:val="20"/>
                <w:szCs w:val="20"/>
                <w:color w:val="auto"/>
              </w:rPr>
            </w:pPr>
            <w:r>
              <w:rPr>
                <w:rFonts w:ascii="Calibri" w:cs="Calibri" w:eastAsia="Calibri" w:hAnsi="Calibri"/>
                <w:sz w:val="18"/>
                <w:szCs w:val="18"/>
                <w:color w:val="auto"/>
              </w:rPr>
              <w:t>(a)</w:t>
            </w:r>
          </w:p>
        </w:tc>
        <w:tc>
          <w:tcPr>
            <w:tcW w:w="120" w:type="dxa"/>
            <w:vAlign w:val="bottom"/>
          </w:tcPr>
          <w:p>
            <w:pPr>
              <w:spacing w:after="0"/>
              <w:rPr>
                <w:sz w:val="16"/>
                <w:szCs w:val="16"/>
                <w:color w:val="auto"/>
              </w:rPr>
            </w:pPr>
          </w:p>
        </w:tc>
        <w:tc>
          <w:tcPr>
            <w:tcW w:w="1080" w:type="dxa"/>
            <w:vAlign w:val="bottom"/>
            <w:tcBorders>
              <w:right w:val="single" w:sz="8" w:color="auto"/>
            </w:tcBorders>
          </w:tcPr>
          <w:p>
            <w:pPr>
              <w:jc w:val="center"/>
              <w:ind w:right="190"/>
              <w:spacing w:after="0" w:line="195" w:lineRule="exact"/>
              <w:rPr>
                <w:sz w:val="20"/>
                <w:szCs w:val="20"/>
                <w:color w:val="auto"/>
              </w:rPr>
            </w:pPr>
            <w:r>
              <w:rPr>
                <w:rFonts w:ascii="Calibri" w:cs="Calibri" w:eastAsia="Calibri" w:hAnsi="Calibri"/>
                <w:sz w:val="18"/>
                <w:szCs w:val="18"/>
                <w:color w:val="auto"/>
                <w:w w:val="97"/>
              </w:rPr>
              <w:t>(b)</w:t>
            </w:r>
          </w:p>
        </w:tc>
        <w:tc>
          <w:tcPr>
            <w:tcW w:w="160" w:type="dxa"/>
            <w:vAlign w:val="bottom"/>
          </w:tcPr>
          <w:p>
            <w:pPr>
              <w:spacing w:after="0"/>
              <w:rPr>
                <w:sz w:val="16"/>
                <w:szCs w:val="16"/>
                <w:color w:val="auto"/>
              </w:rPr>
            </w:pPr>
          </w:p>
        </w:tc>
        <w:tc>
          <w:tcPr>
            <w:tcW w:w="980" w:type="dxa"/>
            <w:vAlign w:val="bottom"/>
            <w:tcBorders>
              <w:right w:val="single" w:sz="8" w:color="auto"/>
            </w:tcBorders>
          </w:tcPr>
          <w:p>
            <w:pPr>
              <w:ind w:left="240"/>
              <w:spacing w:after="0" w:line="195" w:lineRule="exact"/>
              <w:rPr>
                <w:sz w:val="20"/>
                <w:szCs w:val="20"/>
                <w:color w:val="auto"/>
              </w:rPr>
            </w:pPr>
            <w:r>
              <w:rPr>
                <w:rFonts w:ascii="Calibri" w:cs="Calibri" w:eastAsia="Calibri" w:hAnsi="Calibri"/>
                <w:sz w:val="18"/>
                <w:szCs w:val="18"/>
                <w:color w:val="auto"/>
              </w:rPr>
              <w:t>(c)</w:t>
            </w:r>
          </w:p>
        </w:tc>
        <w:tc>
          <w:tcPr>
            <w:tcW w:w="840" w:type="dxa"/>
            <w:vAlign w:val="bottom"/>
            <w:tcBorders>
              <w:right w:val="single" w:sz="8" w:color="auto"/>
            </w:tcBorders>
          </w:tcPr>
          <w:p>
            <w:pPr>
              <w:jc w:val="center"/>
              <w:ind w:right="30"/>
              <w:spacing w:after="0" w:line="195" w:lineRule="exact"/>
              <w:rPr>
                <w:sz w:val="20"/>
                <w:szCs w:val="20"/>
                <w:color w:val="auto"/>
              </w:rPr>
            </w:pPr>
            <w:r>
              <w:rPr>
                <w:rFonts w:ascii="Calibri" w:cs="Calibri" w:eastAsia="Calibri" w:hAnsi="Calibri"/>
                <w:sz w:val="18"/>
                <w:szCs w:val="18"/>
                <w:color w:val="auto"/>
                <w:w w:val="97"/>
              </w:rPr>
              <w:t>(d)</w:t>
            </w:r>
          </w:p>
        </w:tc>
        <w:tc>
          <w:tcPr>
            <w:tcW w:w="1400" w:type="dxa"/>
            <w:vAlign w:val="bottom"/>
            <w:tcBorders>
              <w:right w:val="single" w:sz="8" w:color="auto"/>
            </w:tcBorders>
          </w:tcPr>
          <w:p>
            <w:pPr>
              <w:jc w:val="center"/>
              <w:ind w:right="30"/>
              <w:spacing w:after="0" w:line="195" w:lineRule="exact"/>
              <w:rPr>
                <w:sz w:val="20"/>
                <w:szCs w:val="20"/>
                <w:color w:val="auto"/>
              </w:rPr>
            </w:pPr>
            <w:r>
              <w:rPr>
                <w:rFonts w:ascii="Calibri" w:cs="Calibri" w:eastAsia="Calibri" w:hAnsi="Calibri"/>
                <w:sz w:val="18"/>
                <w:szCs w:val="18"/>
                <w:color w:val="auto"/>
              </w:rPr>
              <w:t>(e)</w:t>
            </w:r>
          </w:p>
        </w:tc>
        <w:tc>
          <w:tcPr>
            <w:tcW w:w="1400" w:type="dxa"/>
            <w:vAlign w:val="bottom"/>
            <w:tcBorders>
              <w:right w:val="single" w:sz="8" w:color="auto"/>
            </w:tcBorders>
          </w:tcPr>
          <w:p>
            <w:pPr>
              <w:jc w:val="center"/>
              <w:ind w:right="30"/>
              <w:spacing w:after="0" w:line="195" w:lineRule="exact"/>
              <w:rPr>
                <w:sz w:val="20"/>
                <w:szCs w:val="20"/>
                <w:color w:val="auto"/>
              </w:rPr>
            </w:pPr>
            <w:r>
              <w:rPr>
                <w:rFonts w:ascii="Calibri" w:cs="Calibri" w:eastAsia="Calibri" w:hAnsi="Calibri"/>
                <w:sz w:val="18"/>
                <w:szCs w:val="18"/>
                <w:color w:val="auto"/>
                <w:w w:val="97"/>
              </w:rPr>
              <w:t>(f)</w:t>
            </w:r>
          </w:p>
        </w:tc>
        <w:tc>
          <w:tcPr>
            <w:tcW w:w="1460" w:type="dxa"/>
            <w:vAlign w:val="bottom"/>
            <w:tcBorders>
              <w:right w:val="single" w:sz="8" w:color="auto"/>
            </w:tcBorders>
          </w:tcPr>
          <w:p>
            <w:pPr>
              <w:jc w:val="center"/>
              <w:ind w:right="30"/>
              <w:spacing w:after="0" w:line="195" w:lineRule="exact"/>
              <w:rPr>
                <w:sz w:val="20"/>
                <w:szCs w:val="20"/>
                <w:color w:val="auto"/>
              </w:rPr>
            </w:pPr>
            <w:r>
              <w:rPr>
                <w:rFonts w:ascii="Calibri" w:cs="Calibri" w:eastAsia="Calibri" w:hAnsi="Calibri"/>
                <w:sz w:val="18"/>
                <w:szCs w:val="18"/>
                <w:color w:val="auto"/>
                <w:w w:val="92"/>
              </w:rPr>
              <w:t>(g)</w:t>
            </w:r>
          </w:p>
        </w:tc>
        <w:tc>
          <w:tcPr>
            <w:tcW w:w="280" w:type="dxa"/>
            <w:vAlign w:val="bottom"/>
          </w:tcPr>
          <w:p>
            <w:pPr>
              <w:spacing w:after="0"/>
              <w:rPr>
                <w:sz w:val="16"/>
                <w:szCs w:val="16"/>
                <w:color w:val="auto"/>
              </w:rPr>
            </w:pPr>
          </w:p>
        </w:tc>
        <w:tc>
          <w:tcPr>
            <w:tcW w:w="1120" w:type="dxa"/>
            <w:vAlign w:val="bottom"/>
            <w:tcBorders>
              <w:right w:val="single" w:sz="8" w:color="auto"/>
            </w:tcBorders>
          </w:tcPr>
          <w:p>
            <w:pPr>
              <w:jc w:val="center"/>
              <w:ind w:right="310"/>
              <w:spacing w:after="0" w:line="195" w:lineRule="exact"/>
              <w:rPr>
                <w:sz w:val="20"/>
                <w:szCs w:val="20"/>
                <w:color w:val="auto"/>
              </w:rPr>
            </w:pPr>
            <w:r>
              <w:rPr>
                <w:rFonts w:ascii="Calibri" w:cs="Calibri" w:eastAsia="Calibri" w:hAnsi="Calibri"/>
                <w:sz w:val="18"/>
                <w:szCs w:val="18"/>
                <w:color w:val="auto"/>
                <w:w w:val="97"/>
              </w:rPr>
              <w:t>(h)</w:t>
            </w:r>
          </w:p>
        </w:tc>
      </w:tr>
      <w:tr>
        <w:trPr>
          <w:trHeight w:val="25"/>
        </w:trPr>
        <w:tc>
          <w:tcPr>
            <w:tcW w:w="240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41"/>
        </w:trPr>
        <w:tc>
          <w:tcPr>
            <w:tcW w:w="2400" w:type="dxa"/>
            <w:vAlign w:val="bottom"/>
            <w:tcBorders>
              <w:left w:val="single" w:sz="8" w:color="auto"/>
              <w:bottom w:val="single" w:sz="8" w:color="E7E6E6"/>
              <w:right w:val="single" w:sz="8" w:color="auto"/>
            </w:tcBorders>
            <w:shd w:val="clear" w:color="auto" w:fill="E7E6E6"/>
          </w:tcPr>
          <w:p>
            <w:pPr>
              <w:ind w:left="40"/>
              <w:spacing w:after="0" w:line="208" w:lineRule="exact"/>
              <w:rPr>
                <w:sz w:val="20"/>
                <w:szCs w:val="20"/>
                <w:color w:val="auto"/>
              </w:rPr>
            </w:pPr>
            <w:r>
              <w:rPr>
                <w:rFonts w:ascii="Calibri" w:cs="Calibri" w:eastAsia="Calibri" w:hAnsi="Calibri"/>
                <w:sz w:val="18"/>
                <w:szCs w:val="18"/>
                <w:color w:val="auto"/>
              </w:rPr>
              <w:t>Frank A. Bozich</w:t>
            </w:r>
          </w:p>
        </w:tc>
        <w:tc>
          <w:tcPr>
            <w:tcW w:w="120" w:type="dxa"/>
            <w:vAlign w:val="bottom"/>
            <w:tcBorders>
              <w:bottom w:val="single" w:sz="8" w:color="E7E6E6"/>
            </w:tcBorders>
            <w:shd w:val="clear" w:color="auto" w:fill="E7E6E6"/>
          </w:tcPr>
          <w:p>
            <w:pPr>
              <w:jc w:val="right"/>
              <w:spacing w:after="0"/>
              <w:rPr>
                <w:sz w:val="20"/>
                <w:szCs w:val="20"/>
                <w:color w:val="auto"/>
              </w:rPr>
            </w:pPr>
            <w:r>
              <w:rPr>
                <w:rFonts w:ascii="Calibri" w:cs="Calibri" w:eastAsia="Calibri" w:hAnsi="Calibri"/>
                <w:sz w:val="16"/>
                <w:szCs w:val="16"/>
                <w:color w:val="auto"/>
                <w:w w:val="73"/>
              </w:rPr>
              <w:t>$</w:t>
            </w:r>
          </w:p>
        </w:tc>
        <w:tc>
          <w:tcPr>
            <w:tcW w:w="1080" w:type="dxa"/>
            <w:vAlign w:val="bottom"/>
            <w:tcBorders>
              <w:bottom w:val="single" w:sz="8" w:color="E7E6E6"/>
              <w:right w:val="single" w:sz="8" w:color="auto"/>
            </w:tcBorders>
            <w:shd w:val="clear" w:color="auto" w:fill="E7E6E6"/>
          </w:tcPr>
          <w:p>
            <w:pPr>
              <w:jc w:val="right"/>
              <w:ind w:right="50"/>
              <w:spacing w:after="0" w:line="208" w:lineRule="exact"/>
              <w:rPr>
                <w:sz w:val="20"/>
                <w:szCs w:val="20"/>
                <w:color w:val="auto"/>
              </w:rPr>
            </w:pPr>
            <w:r>
              <w:rPr>
                <w:rFonts w:ascii="Calibri" w:cs="Calibri" w:eastAsia="Calibri" w:hAnsi="Calibri"/>
                <w:sz w:val="18"/>
                <w:szCs w:val="18"/>
                <w:color w:val="auto"/>
              </w:rPr>
              <w:t>115,000</w:t>
            </w:r>
          </w:p>
        </w:tc>
        <w:tc>
          <w:tcPr>
            <w:tcW w:w="160" w:type="dxa"/>
            <w:vAlign w:val="bottom"/>
            <w:tcBorders>
              <w:bottom w:val="single" w:sz="8" w:color="E7E6E6"/>
            </w:tcBorders>
            <w:shd w:val="clear" w:color="auto" w:fill="E7E6E6"/>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980" w:type="dxa"/>
            <w:vAlign w:val="bottom"/>
            <w:tcBorders>
              <w:bottom w:val="single" w:sz="8" w:color="E7E6E6"/>
              <w:right w:val="single" w:sz="8" w:color="auto"/>
            </w:tcBorders>
            <w:shd w:val="clear" w:color="auto" w:fill="E7E6E6"/>
          </w:tcPr>
          <w:p>
            <w:pPr>
              <w:ind w:left="260"/>
              <w:spacing w:after="0" w:line="208" w:lineRule="exact"/>
              <w:rPr>
                <w:sz w:val="20"/>
                <w:szCs w:val="20"/>
                <w:color w:val="auto"/>
              </w:rPr>
            </w:pPr>
            <w:r>
              <w:rPr>
                <w:rFonts w:ascii="Calibri" w:cs="Calibri" w:eastAsia="Calibri" w:hAnsi="Calibri"/>
                <w:sz w:val="18"/>
                <w:szCs w:val="18"/>
                <w:color w:val="auto"/>
              </w:rPr>
              <w:t>152,500</w:t>
            </w:r>
          </w:p>
        </w:tc>
        <w:tc>
          <w:tcPr>
            <w:tcW w:w="840" w:type="dxa"/>
            <w:vAlign w:val="bottom"/>
            <w:tcBorders>
              <w:bottom w:val="single" w:sz="8" w:color="E7E6E6"/>
              <w:right w:val="single" w:sz="8" w:color="auto"/>
            </w:tcBorders>
            <w:shd w:val="clear" w:color="auto" w:fill="E7E6E6"/>
          </w:tcPr>
          <w:p>
            <w:pPr>
              <w:ind w:left="540"/>
              <w:spacing w:after="0" w:line="208" w:lineRule="exact"/>
              <w:rPr>
                <w:sz w:val="20"/>
                <w:szCs w:val="20"/>
                <w:color w:val="auto"/>
              </w:rPr>
            </w:pPr>
            <w:r>
              <w:rPr>
                <w:rFonts w:ascii="Calibri" w:cs="Calibri" w:eastAsia="Calibri" w:hAnsi="Calibri"/>
                <w:sz w:val="18"/>
                <w:szCs w:val="18"/>
                <w:color w:val="auto"/>
              </w:rPr>
              <w:t>—</w:t>
            </w:r>
          </w:p>
        </w:tc>
        <w:tc>
          <w:tcPr>
            <w:tcW w:w="1400" w:type="dxa"/>
            <w:vAlign w:val="bottom"/>
            <w:tcBorders>
              <w:bottom w:val="single" w:sz="8" w:color="E7E6E6"/>
              <w:right w:val="single" w:sz="8" w:color="auto"/>
            </w:tcBorders>
            <w:shd w:val="clear" w:color="auto" w:fill="E7E6E6"/>
          </w:tcPr>
          <w:p>
            <w:pPr>
              <w:ind w:left="1120"/>
              <w:spacing w:after="0" w:line="208" w:lineRule="exact"/>
              <w:rPr>
                <w:sz w:val="20"/>
                <w:szCs w:val="20"/>
                <w:color w:val="auto"/>
              </w:rPr>
            </w:pPr>
            <w:r>
              <w:rPr>
                <w:rFonts w:ascii="Calibri" w:cs="Calibri" w:eastAsia="Calibri" w:hAnsi="Calibri"/>
                <w:sz w:val="18"/>
                <w:szCs w:val="18"/>
                <w:color w:val="auto"/>
              </w:rPr>
              <w:t>—</w:t>
            </w:r>
          </w:p>
        </w:tc>
        <w:tc>
          <w:tcPr>
            <w:tcW w:w="1400" w:type="dxa"/>
            <w:vAlign w:val="bottom"/>
            <w:tcBorders>
              <w:bottom w:val="single" w:sz="8" w:color="E7E6E6"/>
              <w:right w:val="single" w:sz="8" w:color="auto"/>
            </w:tcBorders>
            <w:shd w:val="clear" w:color="auto" w:fill="E7E6E6"/>
          </w:tcPr>
          <w:p>
            <w:pPr>
              <w:ind w:left="1120"/>
              <w:spacing w:after="0" w:line="208" w:lineRule="exact"/>
              <w:rPr>
                <w:sz w:val="20"/>
                <w:szCs w:val="20"/>
                <w:color w:val="auto"/>
              </w:rPr>
            </w:pPr>
            <w:r>
              <w:rPr>
                <w:rFonts w:ascii="Calibri" w:cs="Calibri" w:eastAsia="Calibri" w:hAnsi="Calibri"/>
                <w:sz w:val="18"/>
                <w:szCs w:val="18"/>
                <w:color w:val="auto"/>
              </w:rPr>
              <w:t>—</w:t>
            </w:r>
          </w:p>
        </w:tc>
        <w:tc>
          <w:tcPr>
            <w:tcW w:w="1460" w:type="dxa"/>
            <w:vAlign w:val="bottom"/>
            <w:tcBorders>
              <w:bottom w:val="single" w:sz="8" w:color="E7E6E6"/>
              <w:right w:val="single" w:sz="8" w:color="auto"/>
            </w:tcBorders>
            <w:shd w:val="clear" w:color="auto" w:fill="E7E6E6"/>
          </w:tcPr>
          <w:p>
            <w:pPr>
              <w:ind w:left="1180"/>
              <w:spacing w:after="0" w:line="208" w:lineRule="exact"/>
              <w:rPr>
                <w:sz w:val="20"/>
                <w:szCs w:val="20"/>
                <w:color w:val="auto"/>
              </w:rPr>
            </w:pPr>
            <w:r>
              <w:rPr>
                <w:rFonts w:ascii="Calibri" w:cs="Calibri" w:eastAsia="Calibri" w:hAnsi="Calibri"/>
                <w:sz w:val="18"/>
                <w:szCs w:val="18"/>
                <w:color w:val="auto"/>
              </w:rPr>
              <w:t>—</w:t>
            </w:r>
          </w:p>
        </w:tc>
        <w:tc>
          <w:tcPr>
            <w:tcW w:w="280" w:type="dxa"/>
            <w:vAlign w:val="bottom"/>
            <w:tcBorders>
              <w:bottom w:val="single" w:sz="8" w:color="E7E6E6"/>
            </w:tcBorders>
            <w:shd w:val="clear" w:color="auto" w:fill="E7E6E6"/>
          </w:tcPr>
          <w:p>
            <w:pPr>
              <w:jc w:val="right"/>
              <w:ind w:right="90"/>
              <w:spacing w:after="0" w:line="208" w:lineRule="exact"/>
              <w:rPr>
                <w:sz w:val="20"/>
                <w:szCs w:val="20"/>
                <w:color w:val="auto"/>
              </w:rPr>
            </w:pPr>
            <w:r>
              <w:rPr>
                <w:rFonts w:ascii="Calibri" w:cs="Calibri" w:eastAsia="Calibri" w:hAnsi="Calibri"/>
                <w:sz w:val="18"/>
                <w:szCs w:val="18"/>
                <w:color w:val="auto"/>
                <w:w w:val="87"/>
              </w:rPr>
              <w:t>$</w:t>
            </w:r>
          </w:p>
        </w:tc>
        <w:tc>
          <w:tcPr>
            <w:tcW w:w="1120" w:type="dxa"/>
            <w:vAlign w:val="bottom"/>
            <w:tcBorders>
              <w:bottom w:val="single" w:sz="8" w:color="E7E6E6"/>
              <w:right w:val="single" w:sz="8" w:color="auto"/>
            </w:tcBorders>
            <w:shd w:val="clear" w:color="auto" w:fill="E7E6E6"/>
          </w:tcPr>
          <w:p>
            <w:pPr>
              <w:jc w:val="right"/>
              <w:ind w:right="30"/>
              <w:spacing w:after="0" w:line="208" w:lineRule="exact"/>
              <w:rPr>
                <w:sz w:val="20"/>
                <w:szCs w:val="20"/>
                <w:color w:val="auto"/>
              </w:rPr>
            </w:pPr>
            <w:r>
              <w:rPr>
                <w:rFonts w:ascii="Calibri" w:cs="Calibri" w:eastAsia="Calibri" w:hAnsi="Calibri"/>
                <w:sz w:val="18"/>
                <w:szCs w:val="18"/>
                <w:color w:val="auto"/>
              </w:rPr>
              <w:t>267,500</w:t>
            </w:r>
          </w:p>
        </w:tc>
      </w:tr>
      <w:tr>
        <w:trPr>
          <w:trHeight w:val="208"/>
        </w:trPr>
        <w:tc>
          <w:tcPr>
            <w:tcW w:w="2400" w:type="dxa"/>
            <w:vAlign w:val="bottom"/>
            <w:tcBorders>
              <w:top w:val="single" w:sz="8" w:color="auto"/>
              <w:left w:val="single" w:sz="8" w:color="auto"/>
              <w:right w:val="single" w:sz="8" w:color="auto"/>
            </w:tcBorders>
          </w:tcPr>
          <w:p>
            <w:pPr>
              <w:ind w:left="40"/>
              <w:spacing w:after="0" w:line="208" w:lineRule="exact"/>
              <w:rPr>
                <w:sz w:val="20"/>
                <w:szCs w:val="20"/>
                <w:color w:val="auto"/>
              </w:rPr>
            </w:pPr>
            <w:r>
              <w:rPr>
                <w:rFonts w:ascii="Calibri" w:cs="Calibri" w:eastAsia="Calibri" w:hAnsi="Calibri"/>
                <w:sz w:val="18"/>
                <w:szCs w:val="18"/>
                <w:color w:val="auto"/>
              </w:rPr>
              <w:t>Peter D. Clarke</w:t>
            </w:r>
          </w:p>
        </w:tc>
        <w:tc>
          <w:tcPr>
            <w:tcW w:w="120" w:type="dxa"/>
            <w:vAlign w:val="bottom"/>
            <w:tcBorders>
              <w:top w:val="single" w:sz="8" w:color="auto"/>
            </w:tcBorders>
          </w:tcPr>
          <w:p>
            <w:pPr>
              <w:jc w:val="right"/>
              <w:spacing w:after="0"/>
              <w:rPr>
                <w:sz w:val="20"/>
                <w:szCs w:val="20"/>
                <w:color w:val="auto"/>
              </w:rPr>
            </w:pPr>
            <w:r>
              <w:rPr>
                <w:rFonts w:ascii="Calibri" w:cs="Calibri" w:eastAsia="Calibri" w:hAnsi="Calibri"/>
                <w:sz w:val="16"/>
                <w:szCs w:val="16"/>
                <w:color w:val="auto"/>
                <w:w w:val="73"/>
              </w:rPr>
              <w:t>$</w:t>
            </w:r>
          </w:p>
        </w:tc>
        <w:tc>
          <w:tcPr>
            <w:tcW w:w="1080" w:type="dxa"/>
            <w:vAlign w:val="bottom"/>
            <w:tcBorders>
              <w:top w:val="single" w:sz="8" w:color="auto"/>
              <w:right w:val="single" w:sz="8" w:color="auto"/>
            </w:tcBorders>
          </w:tcPr>
          <w:p>
            <w:pPr>
              <w:jc w:val="right"/>
              <w:ind w:right="50"/>
              <w:spacing w:after="0" w:line="208" w:lineRule="exact"/>
              <w:rPr>
                <w:sz w:val="20"/>
                <w:szCs w:val="20"/>
                <w:color w:val="auto"/>
              </w:rPr>
            </w:pPr>
            <w:r>
              <w:rPr>
                <w:rFonts w:ascii="Calibri" w:cs="Calibri" w:eastAsia="Calibri" w:hAnsi="Calibri"/>
                <w:sz w:val="18"/>
                <w:szCs w:val="18"/>
                <w:color w:val="auto"/>
              </w:rPr>
              <w:t>135,000</w:t>
            </w:r>
          </w:p>
        </w:tc>
        <w:tc>
          <w:tcPr>
            <w:tcW w:w="1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980" w:type="dxa"/>
            <w:vAlign w:val="bottom"/>
            <w:tcBorders>
              <w:top w:val="single" w:sz="8" w:color="auto"/>
              <w:right w:val="single" w:sz="8" w:color="auto"/>
            </w:tcBorders>
          </w:tcPr>
          <w:p>
            <w:pPr>
              <w:ind w:left="260"/>
              <w:spacing w:after="0" w:line="208" w:lineRule="exact"/>
              <w:rPr>
                <w:sz w:val="20"/>
                <w:szCs w:val="20"/>
                <w:color w:val="auto"/>
              </w:rPr>
            </w:pPr>
            <w:r>
              <w:rPr>
                <w:rFonts w:ascii="Calibri" w:cs="Calibri" w:eastAsia="Calibri" w:hAnsi="Calibri"/>
                <w:sz w:val="18"/>
                <w:szCs w:val="18"/>
                <w:color w:val="auto"/>
              </w:rPr>
              <w:t>152,500</w:t>
            </w:r>
          </w:p>
        </w:tc>
        <w:tc>
          <w:tcPr>
            <w:tcW w:w="840" w:type="dxa"/>
            <w:vAlign w:val="bottom"/>
            <w:tcBorders>
              <w:top w:val="single" w:sz="8" w:color="auto"/>
              <w:right w:val="single" w:sz="8" w:color="auto"/>
            </w:tcBorders>
          </w:tcPr>
          <w:p>
            <w:pPr>
              <w:ind w:left="540"/>
              <w:spacing w:after="0" w:line="208" w:lineRule="exact"/>
              <w:rPr>
                <w:sz w:val="20"/>
                <w:szCs w:val="20"/>
                <w:color w:val="auto"/>
              </w:rPr>
            </w:pPr>
            <w:r>
              <w:rPr>
                <w:rFonts w:ascii="Calibri" w:cs="Calibri" w:eastAsia="Calibri" w:hAnsi="Calibri"/>
                <w:sz w:val="18"/>
                <w:szCs w:val="18"/>
                <w:color w:val="auto"/>
              </w:rPr>
              <w:t>—</w:t>
            </w:r>
          </w:p>
        </w:tc>
        <w:tc>
          <w:tcPr>
            <w:tcW w:w="1400" w:type="dxa"/>
            <w:vAlign w:val="bottom"/>
            <w:tcBorders>
              <w:top w:val="single" w:sz="8" w:color="auto"/>
              <w:right w:val="single" w:sz="8" w:color="auto"/>
            </w:tcBorders>
          </w:tcPr>
          <w:p>
            <w:pPr>
              <w:ind w:left="1120"/>
              <w:spacing w:after="0" w:line="208" w:lineRule="exact"/>
              <w:rPr>
                <w:sz w:val="20"/>
                <w:szCs w:val="20"/>
                <w:color w:val="auto"/>
              </w:rPr>
            </w:pPr>
            <w:r>
              <w:rPr>
                <w:rFonts w:ascii="Calibri" w:cs="Calibri" w:eastAsia="Calibri" w:hAnsi="Calibri"/>
                <w:sz w:val="18"/>
                <w:szCs w:val="18"/>
                <w:color w:val="auto"/>
              </w:rPr>
              <w:t>—</w:t>
            </w:r>
          </w:p>
        </w:tc>
        <w:tc>
          <w:tcPr>
            <w:tcW w:w="1400" w:type="dxa"/>
            <w:vAlign w:val="bottom"/>
            <w:tcBorders>
              <w:top w:val="single" w:sz="8" w:color="auto"/>
              <w:right w:val="single" w:sz="8" w:color="auto"/>
            </w:tcBorders>
          </w:tcPr>
          <w:p>
            <w:pPr>
              <w:ind w:left="1120"/>
              <w:spacing w:after="0" w:line="208" w:lineRule="exact"/>
              <w:rPr>
                <w:sz w:val="20"/>
                <w:szCs w:val="20"/>
                <w:color w:val="auto"/>
              </w:rPr>
            </w:pPr>
            <w:r>
              <w:rPr>
                <w:rFonts w:ascii="Calibri" w:cs="Calibri" w:eastAsia="Calibri" w:hAnsi="Calibri"/>
                <w:sz w:val="18"/>
                <w:szCs w:val="18"/>
                <w:color w:val="auto"/>
              </w:rPr>
              <w:t>—</w:t>
            </w:r>
          </w:p>
        </w:tc>
        <w:tc>
          <w:tcPr>
            <w:tcW w:w="1460" w:type="dxa"/>
            <w:vAlign w:val="bottom"/>
            <w:tcBorders>
              <w:top w:val="single" w:sz="8" w:color="auto"/>
              <w:right w:val="single" w:sz="8" w:color="auto"/>
            </w:tcBorders>
          </w:tcPr>
          <w:p>
            <w:pPr>
              <w:ind w:left="1180"/>
              <w:spacing w:after="0" w:line="208" w:lineRule="exact"/>
              <w:rPr>
                <w:sz w:val="20"/>
                <w:szCs w:val="20"/>
                <w:color w:val="auto"/>
              </w:rPr>
            </w:pPr>
            <w:r>
              <w:rPr>
                <w:rFonts w:ascii="Calibri" w:cs="Calibri" w:eastAsia="Calibri" w:hAnsi="Calibri"/>
                <w:sz w:val="18"/>
                <w:szCs w:val="18"/>
                <w:color w:val="auto"/>
              </w:rPr>
              <w:t>—</w:t>
            </w:r>
          </w:p>
        </w:tc>
        <w:tc>
          <w:tcPr>
            <w:tcW w:w="280" w:type="dxa"/>
            <w:vAlign w:val="bottom"/>
            <w:tcBorders>
              <w:top w:val="single" w:sz="8" w:color="auto"/>
            </w:tcBorders>
          </w:tcPr>
          <w:p>
            <w:pPr>
              <w:jc w:val="right"/>
              <w:ind w:right="90"/>
              <w:spacing w:after="0" w:line="208" w:lineRule="exact"/>
              <w:rPr>
                <w:sz w:val="20"/>
                <w:szCs w:val="20"/>
                <w:color w:val="auto"/>
              </w:rPr>
            </w:pPr>
            <w:r>
              <w:rPr>
                <w:rFonts w:ascii="Calibri" w:cs="Calibri" w:eastAsia="Calibri" w:hAnsi="Calibri"/>
                <w:sz w:val="18"/>
                <w:szCs w:val="18"/>
                <w:color w:val="auto"/>
                <w:w w:val="87"/>
              </w:rPr>
              <w:t>$</w:t>
            </w:r>
          </w:p>
        </w:tc>
        <w:tc>
          <w:tcPr>
            <w:tcW w:w="1120" w:type="dxa"/>
            <w:vAlign w:val="bottom"/>
            <w:tcBorders>
              <w:top w:val="single" w:sz="8" w:color="auto"/>
              <w:right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287,500</w:t>
            </w:r>
          </w:p>
        </w:tc>
      </w:tr>
      <w:tr>
        <w:trPr>
          <w:trHeight w:val="28"/>
        </w:trPr>
        <w:tc>
          <w:tcPr>
            <w:tcW w:w="240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41"/>
        </w:trPr>
        <w:tc>
          <w:tcPr>
            <w:tcW w:w="2400" w:type="dxa"/>
            <w:vAlign w:val="bottom"/>
            <w:tcBorders>
              <w:left w:val="single" w:sz="8" w:color="auto"/>
              <w:bottom w:val="single" w:sz="8" w:color="E7E6E6"/>
              <w:right w:val="single" w:sz="8" w:color="auto"/>
            </w:tcBorders>
            <w:shd w:val="clear" w:color="auto" w:fill="E7E6E6"/>
          </w:tcPr>
          <w:p>
            <w:pPr>
              <w:ind w:left="40"/>
              <w:spacing w:after="0" w:line="208" w:lineRule="exact"/>
              <w:rPr>
                <w:sz w:val="20"/>
                <w:szCs w:val="20"/>
                <w:color w:val="auto"/>
              </w:rPr>
            </w:pPr>
            <w:r>
              <w:rPr>
                <w:rFonts w:ascii="Calibri" w:cs="Calibri" w:eastAsia="Calibri" w:hAnsi="Calibri"/>
                <w:sz w:val="18"/>
                <w:szCs w:val="18"/>
                <w:color w:val="auto"/>
              </w:rPr>
              <w:t>Cathy R. Gates</w:t>
            </w:r>
          </w:p>
        </w:tc>
        <w:tc>
          <w:tcPr>
            <w:tcW w:w="120" w:type="dxa"/>
            <w:vAlign w:val="bottom"/>
            <w:tcBorders>
              <w:bottom w:val="single" w:sz="8" w:color="E7E6E6"/>
            </w:tcBorders>
            <w:shd w:val="clear" w:color="auto" w:fill="E7E6E6"/>
          </w:tcPr>
          <w:p>
            <w:pPr>
              <w:jc w:val="right"/>
              <w:spacing w:after="0"/>
              <w:rPr>
                <w:sz w:val="20"/>
                <w:szCs w:val="20"/>
                <w:color w:val="auto"/>
              </w:rPr>
            </w:pPr>
            <w:r>
              <w:rPr>
                <w:rFonts w:ascii="Calibri" w:cs="Calibri" w:eastAsia="Calibri" w:hAnsi="Calibri"/>
                <w:sz w:val="16"/>
                <w:szCs w:val="16"/>
                <w:color w:val="auto"/>
                <w:w w:val="73"/>
              </w:rPr>
              <w:t>$</w:t>
            </w:r>
          </w:p>
        </w:tc>
        <w:tc>
          <w:tcPr>
            <w:tcW w:w="1080" w:type="dxa"/>
            <w:vAlign w:val="bottom"/>
            <w:tcBorders>
              <w:bottom w:val="single" w:sz="8" w:color="E7E6E6"/>
              <w:right w:val="single" w:sz="8" w:color="auto"/>
            </w:tcBorders>
            <w:shd w:val="clear" w:color="auto" w:fill="E7E6E6"/>
          </w:tcPr>
          <w:p>
            <w:pPr>
              <w:jc w:val="right"/>
              <w:ind w:right="50"/>
              <w:spacing w:after="0" w:line="208" w:lineRule="exact"/>
              <w:rPr>
                <w:sz w:val="20"/>
                <w:szCs w:val="20"/>
                <w:color w:val="auto"/>
              </w:rPr>
            </w:pPr>
            <w:r>
              <w:rPr>
                <w:rFonts w:ascii="Calibri" w:cs="Calibri" w:eastAsia="Calibri" w:hAnsi="Calibri"/>
                <w:sz w:val="18"/>
                <w:szCs w:val="18"/>
                <w:color w:val="auto"/>
              </w:rPr>
              <w:t>115,000</w:t>
            </w:r>
          </w:p>
        </w:tc>
        <w:tc>
          <w:tcPr>
            <w:tcW w:w="160" w:type="dxa"/>
            <w:vAlign w:val="bottom"/>
            <w:tcBorders>
              <w:bottom w:val="single" w:sz="8" w:color="E7E6E6"/>
            </w:tcBorders>
            <w:shd w:val="clear" w:color="auto" w:fill="E7E6E6"/>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980" w:type="dxa"/>
            <w:vAlign w:val="bottom"/>
            <w:tcBorders>
              <w:bottom w:val="single" w:sz="8" w:color="E7E6E6"/>
              <w:right w:val="single" w:sz="8" w:color="auto"/>
            </w:tcBorders>
            <w:shd w:val="clear" w:color="auto" w:fill="E7E6E6"/>
          </w:tcPr>
          <w:p>
            <w:pPr>
              <w:ind w:left="260"/>
              <w:spacing w:after="0" w:line="208" w:lineRule="exact"/>
              <w:rPr>
                <w:sz w:val="20"/>
                <w:szCs w:val="20"/>
                <w:color w:val="auto"/>
              </w:rPr>
            </w:pPr>
            <w:r>
              <w:rPr>
                <w:rFonts w:ascii="Calibri" w:cs="Calibri" w:eastAsia="Calibri" w:hAnsi="Calibri"/>
                <w:sz w:val="18"/>
                <w:szCs w:val="18"/>
                <w:color w:val="auto"/>
              </w:rPr>
              <w:t>152,500</w:t>
            </w:r>
          </w:p>
        </w:tc>
        <w:tc>
          <w:tcPr>
            <w:tcW w:w="840" w:type="dxa"/>
            <w:vAlign w:val="bottom"/>
            <w:tcBorders>
              <w:bottom w:val="single" w:sz="8" w:color="E7E6E6"/>
              <w:right w:val="single" w:sz="8" w:color="auto"/>
            </w:tcBorders>
            <w:shd w:val="clear" w:color="auto" w:fill="E7E6E6"/>
          </w:tcPr>
          <w:p>
            <w:pPr>
              <w:ind w:left="540"/>
              <w:spacing w:after="0" w:line="208" w:lineRule="exact"/>
              <w:rPr>
                <w:sz w:val="20"/>
                <w:szCs w:val="20"/>
                <w:color w:val="auto"/>
              </w:rPr>
            </w:pPr>
            <w:r>
              <w:rPr>
                <w:rFonts w:ascii="Calibri" w:cs="Calibri" w:eastAsia="Calibri" w:hAnsi="Calibri"/>
                <w:sz w:val="18"/>
                <w:szCs w:val="18"/>
                <w:color w:val="auto"/>
              </w:rPr>
              <w:t>—</w:t>
            </w:r>
          </w:p>
        </w:tc>
        <w:tc>
          <w:tcPr>
            <w:tcW w:w="1400" w:type="dxa"/>
            <w:vAlign w:val="bottom"/>
            <w:tcBorders>
              <w:bottom w:val="single" w:sz="8" w:color="E7E6E6"/>
              <w:right w:val="single" w:sz="8" w:color="auto"/>
            </w:tcBorders>
            <w:shd w:val="clear" w:color="auto" w:fill="E7E6E6"/>
          </w:tcPr>
          <w:p>
            <w:pPr>
              <w:ind w:left="1120"/>
              <w:spacing w:after="0" w:line="208" w:lineRule="exact"/>
              <w:rPr>
                <w:sz w:val="20"/>
                <w:szCs w:val="20"/>
                <w:color w:val="auto"/>
              </w:rPr>
            </w:pPr>
            <w:r>
              <w:rPr>
                <w:rFonts w:ascii="Calibri" w:cs="Calibri" w:eastAsia="Calibri" w:hAnsi="Calibri"/>
                <w:sz w:val="18"/>
                <w:szCs w:val="18"/>
                <w:color w:val="auto"/>
              </w:rPr>
              <w:t>—</w:t>
            </w:r>
          </w:p>
        </w:tc>
        <w:tc>
          <w:tcPr>
            <w:tcW w:w="1400" w:type="dxa"/>
            <w:vAlign w:val="bottom"/>
            <w:tcBorders>
              <w:bottom w:val="single" w:sz="8" w:color="E7E6E6"/>
              <w:right w:val="single" w:sz="8" w:color="auto"/>
            </w:tcBorders>
            <w:shd w:val="clear" w:color="auto" w:fill="E7E6E6"/>
          </w:tcPr>
          <w:p>
            <w:pPr>
              <w:ind w:left="1120"/>
              <w:spacing w:after="0" w:line="208" w:lineRule="exact"/>
              <w:rPr>
                <w:sz w:val="20"/>
                <w:szCs w:val="20"/>
                <w:color w:val="auto"/>
              </w:rPr>
            </w:pPr>
            <w:r>
              <w:rPr>
                <w:rFonts w:ascii="Calibri" w:cs="Calibri" w:eastAsia="Calibri" w:hAnsi="Calibri"/>
                <w:sz w:val="18"/>
                <w:szCs w:val="18"/>
                <w:color w:val="auto"/>
              </w:rPr>
              <w:t>—</w:t>
            </w:r>
          </w:p>
        </w:tc>
        <w:tc>
          <w:tcPr>
            <w:tcW w:w="1460" w:type="dxa"/>
            <w:vAlign w:val="bottom"/>
            <w:tcBorders>
              <w:bottom w:val="single" w:sz="8" w:color="E7E6E6"/>
              <w:right w:val="single" w:sz="8" w:color="auto"/>
            </w:tcBorders>
            <w:shd w:val="clear" w:color="auto" w:fill="E7E6E6"/>
          </w:tcPr>
          <w:p>
            <w:pPr>
              <w:ind w:left="1180"/>
              <w:spacing w:after="0" w:line="208" w:lineRule="exact"/>
              <w:rPr>
                <w:sz w:val="20"/>
                <w:szCs w:val="20"/>
                <w:color w:val="auto"/>
              </w:rPr>
            </w:pPr>
            <w:r>
              <w:rPr>
                <w:rFonts w:ascii="Calibri" w:cs="Calibri" w:eastAsia="Calibri" w:hAnsi="Calibri"/>
                <w:sz w:val="18"/>
                <w:szCs w:val="18"/>
                <w:color w:val="auto"/>
              </w:rPr>
              <w:t>—</w:t>
            </w:r>
          </w:p>
        </w:tc>
        <w:tc>
          <w:tcPr>
            <w:tcW w:w="280" w:type="dxa"/>
            <w:vAlign w:val="bottom"/>
            <w:tcBorders>
              <w:bottom w:val="single" w:sz="8" w:color="E7E6E6"/>
            </w:tcBorders>
            <w:shd w:val="clear" w:color="auto" w:fill="E7E6E6"/>
          </w:tcPr>
          <w:p>
            <w:pPr>
              <w:jc w:val="right"/>
              <w:ind w:right="90"/>
              <w:spacing w:after="0" w:line="208" w:lineRule="exact"/>
              <w:rPr>
                <w:sz w:val="20"/>
                <w:szCs w:val="20"/>
                <w:color w:val="auto"/>
              </w:rPr>
            </w:pPr>
            <w:r>
              <w:rPr>
                <w:rFonts w:ascii="Calibri" w:cs="Calibri" w:eastAsia="Calibri" w:hAnsi="Calibri"/>
                <w:sz w:val="18"/>
                <w:szCs w:val="18"/>
                <w:color w:val="auto"/>
                <w:w w:val="87"/>
              </w:rPr>
              <w:t>$</w:t>
            </w:r>
          </w:p>
        </w:tc>
        <w:tc>
          <w:tcPr>
            <w:tcW w:w="1120" w:type="dxa"/>
            <w:vAlign w:val="bottom"/>
            <w:tcBorders>
              <w:bottom w:val="single" w:sz="8" w:color="E7E6E6"/>
              <w:right w:val="single" w:sz="8" w:color="auto"/>
            </w:tcBorders>
            <w:shd w:val="clear" w:color="auto" w:fill="E7E6E6"/>
          </w:tcPr>
          <w:p>
            <w:pPr>
              <w:jc w:val="right"/>
              <w:ind w:right="30"/>
              <w:spacing w:after="0" w:line="208" w:lineRule="exact"/>
              <w:rPr>
                <w:sz w:val="20"/>
                <w:szCs w:val="20"/>
                <w:color w:val="auto"/>
              </w:rPr>
            </w:pPr>
            <w:r>
              <w:rPr>
                <w:rFonts w:ascii="Calibri" w:cs="Calibri" w:eastAsia="Calibri" w:hAnsi="Calibri"/>
                <w:sz w:val="18"/>
                <w:szCs w:val="18"/>
                <w:color w:val="auto"/>
              </w:rPr>
              <w:t>267,500</w:t>
            </w:r>
          </w:p>
        </w:tc>
      </w:tr>
      <w:tr>
        <w:trPr>
          <w:trHeight w:val="208"/>
        </w:trPr>
        <w:tc>
          <w:tcPr>
            <w:tcW w:w="2400" w:type="dxa"/>
            <w:vAlign w:val="bottom"/>
            <w:tcBorders>
              <w:top w:val="single" w:sz="8" w:color="auto"/>
              <w:left w:val="single" w:sz="8" w:color="auto"/>
              <w:right w:val="single" w:sz="8" w:color="auto"/>
            </w:tcBorders>
          </w:tcPr>
          <w:p>
            <w:pPr>
              <w:ind w:left="40"/>
              <w:spacing w:after="0" w:line="208" w:lineRule="exact"/>
              <w:rPr>
                <w:sz w:val="20"/>
                <w:szCs w:val="20"/>
                <w:color w:val="auto"/>
              </w:rPr>
            </w:pPr>
            <w:r>
              <w:rPr>
                <w:rFonts w:ascii="Calibri" w:cs="Calibri" w:eastAsia="Calibri" w:hAnsi="Calibri"/>
                <w:sz w:val="18"/>
                <w:szCs w:val="18"/>
                <w:color w:val="auto"/>
              </w:rPr>
              <w:t>David L. Hauser</w:t>
            </w:r>
          </w:p>
        </w:tc>
        <w:tc>
          <w:tcPr>
            <w:tcW w:w="120" w:type="dxa"/>
            <w:vAlign w:val="bottom"/>
            <w:tcBorders>
              <w:top w:val="single" w:sz="8" w:color="auto"/>
            </w:tcBorders>
          </w:tcPr>
          <w:p>
            <w:pPr>
              <w:jc w:val="right"/>
              <w:spacing w:after="0"/>
              <w:rPr>
                <w:sz w:val="20"/>
                <w:szCs w:val="20"/>
                <w:color w:val="auto"/>
              </w:rPr>
            </w:pPr>
            <w:r>
              <w:rPr>
                <w:rFonts w:ascii="Calibri" w:cs="Calibri" w:eastAsia="Calibri" w:hAnsi="Calibri"/>
                <w:sz w:val="16"/>
                <w:szCs w:val="16"/>
                <w:color w:val="auto"/>
                <w:w w:val="73"/>
              </w:rPr>
              <w:t>$</w:t>
            </w:r>
          </w:p>
        </w:tc>
        <w:tc>
          <w:tcPr>
            <w:tcW w:w="1080" w:type="dxa"/>
            <w:vAlign w:val="bottom"/>
            <w:tcBorders>
              <w:top w:val="single" w:sz="8" w:color="auto"/>
              <w:right w:val="single" w:sz="8" w:color="auto"/>
            </w:tcBorders>
          </w:tcPr>
          <w:p>
            <w:pPr>
              <w:jc w:val="right"/>
              <w:ind w:right="50"/>
              <w:spacing w:after="0" w:line="208" w:lineRule="exact"/>
              <w:rPr>
                <w:sz w:val="20"/>
                <w:szCs w:val="20"/>
                <w:color w:val="auto"/>
              </w:rPr>
            </w:pPr>
            <w:r>
              <w:rPr>
                <w:rFonts w:ascii="Calibri" w:cs="Calibri" w:eastAsia="Calibri" w:hAnsi="Calibri"/>
                <w:sz w:val="18"/>
                <w:szCs w:val="18"/>
                <w:color w:val="auto"/>
              </w:rPr>
              <w:t>135,000</w:t>
            </w:r>
          </w:p>
        </w:tc>
        <w:tc>
          <w:tcPr>
            <w:tcW w:w="1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980" w:type="dxa"/>
            <w:vAlign w:val="bottom"/>
            <w:tcBorders>
              <w:top w:val="single" w:sz="8" w:color="auto"/>
              <w:right w:val="single" w:sz="8" w:color="auto"/>
            </w:tcBorders>
          </w:tcPr>
          <w:p>
            <w:pPr>
              <w:ind w:left="260"/>
              <w:spacing w:after="0" w:line="208" w:lineRule="exact"/>
              <w:rPr>
                <w:sz w:val="20"/>
                <w:szCs w:val="20"/>
                <w:color w:val="auto"/>
              </w:rPr>
            </w:pPr>
            <w:r>
              <w:rPr>
                <w:rFonts w:ascii="Calibri" w:cs="Calibri" w:eastAsia="Calibri" w:hAnsi="Calibri"/>
                <w:sz w:val="18"/>
                <w:szCs w:val="18"/>
                <w:color w:val="auto"/>
              </w:rPr>
              <w:t>152,500</w:t>
            </w:r>
          </w:p>
        </w:tc>
        <w:tc>
          <w:tcPr>
            <w:tcW w:w="840" w:type="dxa"/>
            <w:vAlign w:val="bottom"/>
            <w:tcBorders>
              <w:top w:val="single" w:sz="8" w:color="auto"/>
              <w:right w:val="single" w:sz="8" w:color="auto"/>
            </w:tcBorders>
          </w:tcPr>
          <w:p>
            <w:pPr>
              <w:ind w:left="540"/>
              <w:spacing w:after="0" w:line="208" w:lineRule="exact"/>
              <w:rPr>
                <w:sz w:val="20"/>
                <w:szCs w:val="20"/>
                <w:color w:val="auto"/>
              </w:rPr>
            </w:pPr>
            <w:r>
              <w:rPr>
                <w:rFonts w:ascii="Calibri" w:cs="Calibri" w:eastAsia="Calibri" w:hAnsi="Calibri"/>
                <w:sz w:val="18"/>
                <w:szCs w:val="18"/>
                <w:color w:val="auto"/>
              </w:rPr>
              <w:t>—</w:t>
            </w:r>
          </w:p>
        </w:tc>
        <w:tc>
          <w:tcPr>
            <w:tcW w:w="1400" w:type="dxa"/>
            <w:vAlign w:val="bottom"/>
            <w:tcBorders>
              <w:top w:val="single" w:sz="8" w:color="auto"/>
              <w:right w:val="single" w:sz="8" w:color="auto"/>
            </w:tcBorders>
          </w:tcPr>
          <w:p>
            <w:pPr>
              <w:ind w:left="1120"/>
              <w:spacing w:after="0" w:line="208" w:lineRule="exact"/>
              <w:rPr>
                <w:sz w:val="20"/>
                <w:szCs w:val="20"/>
                <w:color w:val="auto"/>
              </w:rPr>
            </w:pPr>
            <w:r>
              <w:rPr>
                <w:rFonts w:ascii="Calibri" w:cs="Calibri" w:eastAsia="Calibri" w:hAnsi="Calibri"/>
                <w:sz w:val="18"/>
                <w:szCs w:val="18"/>
                <w:color w:val="auto"/>
              </w:rPr>
              <w:t>—</w:t>
            </w:r>
          </w:p>
        </w:tc>
        <w:tc>
          <w:tcPr>
            <w:tcW w:w="1400" w:type="dxa"/>
            <w:vAlign w:val="bottom"/>
            <w:tcBorders>
              <w:top w:val="single" w:sz="8" w:color="auto"/>
              <w:right w:val="single" w:sz="8" w:color="auto"/>
            </w:tcBorders>
          </w:tcPr>
          <w:p>
            <w:pPr>
              <w:ind w:left="1120"/>
              <w:spacing w:after="0" w:line="208" w:lineRule="exact"/>
              <w:rPr>
                <w:sz w:val="20"/>
                <w:szCs w:val="20"/>
                <w:color w:val="auto"/>
              </w:rPr>
            </w:pPr>
            <w:r>
              <w:rPr>
                <w:rFonts w:ascii="Calibri" w:cs="Calibri" w:eastAsia="Calibri" w:hAnsi="Calibri"/>
                <w:sz w:val="18"/>
                <w:szCs w:val="18"/>
                <w:color w:val="auto"/>
              </w:rPr>
              <w:t>—</w:t>
            </w:r>
          </w:p>
        </w:tc>
        <w:tc>
          <w:tcPr>
            <w:tcW w:w="1460" w:type="dxa"/>
            <w:vAlign w:val="bottom"/>
            <w:tcBorders>
              <w:top w:val="single" w:sz="8" w:color="auto"/>
              <w:right w:val="single" w:sz="8" w:color="auto"/>
            </w:tcBorders>
          </w:tcPr>
          <w:p>
            <w:pPr>
              <w:ind w:left="1180"/>
              <w:spacing w:after="0" w:line="208" w:lineRule="exact"/>
              <w:rPr>
                <w:sz w:val="20"/>
                <w:szCs w:val="20"/>
                <w:color w:val="auto"/>
              </w:rPr>
            </w:pPr>
            <w:r>
              <w:rPr>
                <w:rFonts w:ascii="Calibri" w:cs="Calibri" w:eastAsia="Calibri" w:hAnsi="Calibri"/>
                <w:sz w:val="18"/>
                <w:szCs w:val="18"/>
                <w:color w:val="auto"/>
              </w:rPr>
              <w:t>—</w:t>
            </w:r>
          </w:p>
        </w:tc>
        <w:tc>
          <w:tcPr>
            <w:tcW w:w="280" w:type="dxa"/>
            <w:vAlign w:val="bottom"/>
            <w:tcBorders>
              <w:top w:val="single" w:sz="8" w:color="auto"/>
            </w:tcBorders>
          </w:tcPr>
          <w:p>
            <w:pPr>
              <w:jc w:val="right"/>
              <w:ind w:right="90"/>
              <w:spacing w:after="0" w:line="208" w:lineRule="exact"/>
              <w:rPr>
                <w:sz w:val="20"/>
                <w:szCs w:val="20"/>
                <w:color w:val="auto"/>
              </w:rPr>
            </w:pPr>
            <w:r>
              <w:rPr>
                <w:rFonts w:ascii="Calibri" w:cs="Calibri" w:eastAsia="Calibri" w:hAnsi="Calibri"/>
                <w:sz w:val="18"/>
                <w:szCs w:val="18"/>
                <w:color w:val="auto"/>
                <w:w w:val="87"/>
              </w:rPr>
              <w:t>$</w:t>
            </w:r>
          </w:p>
        </w:tc>
        <w:tc>
          <w:tcPr>
            <w:tcW w:w="1120" w:type="dxa"/>
            <w:vAlign w:val="bottom"/>
            <w:tcBorders>
              <w:top w:val="single" w:sz="8" w:color="auto"/>
              <w:right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287,500</w:t>
            </w:r>
          </w:p>
        </w:tc>
      </w:tr>
      <w:tr>
        <w:trPr>
          <w:trHeight w:val="28"/>
        </w:trPr>
        <w:tc>
          <w:tcPr>
            <w:tcW w:w="240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41"/>
        </w:trPr>
        <w:tc>
          <w:tcPr>
            <w:tcW w:w="2400" w:type="dxa"/>
            <w:vAlign w:val="bottom"/>
            <w:tcBorders>
              <w:left w:val="single" w:sz="8" w:color="auto"/>
              <w:bottom w:val="single" w:sz="8" w:color="E7E6E6"/>
              <w:right w:val="single" w:sz="8" w:color="auto"/>
            </w:tcBorders>
            <w:shd w:val="clear" w:color="auto" w:fill="E7E6E6"/>
          </w:tcPr>
          <w:p>
            <w:pPr>
              <w:ind w:left="40"/>
              <w:spacing w:after="0" w:line="208" w:lineRule="exact"/>
              <w:rPr>
                <w:sz w:val="20"/>
                <w:szCs w:val="20"/>
                <w:color w:val="auto"/>
              </w:rPr>
            </w:pPr>
            <w:r>
              <w:rPr>
                <w:rFonts w:ascii="Calibri" w:cs="Calibri" w:eastAsia="Calibri" w:hAnsi="Calibri"/>
                <w:sz w:val="18"/>
                <w:szCs w:val="18"/>
                <w:color w:val="auto"/>
              </w:rPr>
              <w:t>Luther C. Kissam, IV</w:t>
            </w:r>
          </w:p>
        </w:tc>
        <w:tc>
          <w:tcPr>
            <w:tcW w:w="120" w:type="dxa"/>
            <w:vAlign w:val="bottom"/>
            <w:tcBorders>
              <w:bottom w:val="single" w:sz="8" w:color="E7E6E6"/>
            </w:tcBorders>
            <w:shd w:val="clear" w:color="auto" w:fill="E7E6E6"/>
          </w:tcPr>
          <w:p>
            <w:pPr>
              <w:jc w:val="right"/>
              <w:spacing w:after="0"/>
              <w:rPr>
                <w:sz w:val="20"/>
                <w:szCs w:val="20"/>
                <w:color w:val="auto"/>
              </w:rPr>
            </w:pPr>
            <w:r>
              <w:rPr>
                <w:rFonts w:ascii="Calibri" w:cs="Calibri" w:eastAsia="Calibri" w:hAnsi="Calibri"/>
                <w:sz w:val="16"/>
                <w:szCs w:val="16"/>
                <w:color w:val="auto"/>
                <w:w w:val="73"/>
              </w:rPr>
              <w:t>$</w:t>
            </w:r>
          </w:p>
        </w:tc>
        <w:tc>
          <w:tcPr>
            <w:tcW w:w="1080" w:type="dxa"/>
            <w:vAlign w:val="bottom"/>
            <w:tcBorders>
              <w:bottom w:val="single" w:sz="8" w:color="E7E6E6"/>
              <w:right w:val="single" w:sz="8" w:color="auto"/>
            </w:tcBorders>
            <w:shd w:val="clear" w:color="auto" w:fill="E7E6E6"/>
          </w:tcPr>
          <w:p>
            <w:pPr>
              <w:jc w:val="right"/>
              <w:ind w:right="50"/>
              <w:spacing w:after="0" w:line="208" w:lineRule="exact"/>
              <w:rPr>
                <w:sz w:val="20"/>
                <w:szCs w:val="20"/>
                <w:color w:val="auto"/>
              </w:rPr>
            </w:pPr>
            <w:r>
              <w:rPr>
                <w:rFonts w:ascii="Calibri" w:cs="Calibri" w:eastAsia="Calibri" w:hAnsi="Calibri"/>
                <w:sz w:val="18"/>
                <w:szCs w:val="18"/>
                <w:color w:val="auto"/>
              </w:rPr>
              <w:t>115,000</w:t>
            </w:r>
          </w:p>
        </w:tc>
        <w:tc>
          <w:tcPr>
            <w:tcW w:w="160" w:type="dxa"/>
            <w:vAlign w:val="bottom"/>
            <w:tcBorders>
              <w:bottom w:val="single" w:sz="8" w:color="E7E6E6"/>
            </w:tcBorders>
            <w:shd w:val="clear" w:color="auto" w:fill="E7E6E6"/>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980" w:type="dxa"/>
            <w:vAlign w:val="bottom"/>
            <w:tcBorders>
              <w:bottom w:val="single" w:sz="8" w:color="E7E6E6"/>
              <w:right w:val="single" w:sz="8" w:color="auto"/>
            </w:tcBorders>
            <w:shd w:val="clear" w:color="auto" w:fill="E7E6E6"/>
          </w:tcPr>
          <w:p>
            <w:pPr>
              <w:ind w:left="260"/>
              <w:spacing w:after="0" w:line="208" w:lineRule="exact"/>
              <w:rPr>
                <w:sz w:val="20"/>
                <w:szCs w:val="20"/>
                <w:color w:val="auto"/>
              </w:rPr>
            </w:pPr>
            <w:r>
              <w:rPr>
                <w:rFonts w:ascii="Calibri" w:cs="Calibri" w:eastAsia="Calibri" w:hAnsi="Calibri"/>
                <w:sz w:val="18"/>
                <w:szCs w:val="18"/>
                <w:color w:val="auto"/>
              </w:rPr>
              <w:t>152,500</w:t>
            </w:r>
          </w:p>
        </w:tc>
        <w:tc>
          <w:tcPr>
            <w:tcW w:w="840" w:type="dxa"/>
            <w:vAlign w:val="bottom"/>
            <w:tcBorders>
              <w:bottom w:val="single" w:sz="8" w:color="E7E6E6"/>
              <w:right w:val="single" w:sz="8" w:color="auto"/>
            </w:tcBorders>
            <w:shd w:val="clear" w:color="auto" w:fill="E7E6E6"/>
          </w:tcPr>
          <w:p>
            <w:pPr>
              <w:ind w:left="540"/>
              <w:spacing w:after="0" w:line="208" w:lineRule="exact"/>
              <w:rPr>
                <w:sz w:val="20"/>
                <w:szCs w:val="20"/>
                <w:color w:val="auto"/>
              </w:rPr>
            </w:pPr>
            <w:r>
              <w:rPr>
                <w:rFonts w:ascii="Calibri" w:cs="Calibri" w:eastAsia="Calibri" w:hAnsi="Calibri"/>
                <w:sz w:val="18"/>
                <w:szCs w:val="18"/>
                <w:color w:val="auto"/>
              </w:rPr>
              <w:t>—</w:t>
            </w:r>
          </w:p>
        </w:tc>
        <w:tc>
          <w:tcPr>
            <w:tcW w:w="1400" w:type="dxa"/>
            <w:vAlign w:val="bottom"/>
            <w:tcBorders>
              <w:bottom w:val="single" w:sz="8" w:color="E7E6E6"/>
              <w:right w:val="single" w:sz="8" w:color="auto"/>
            </w:tcBorders>
            <w:shd w:val="clear" w:color="auto" w:fill="E7E6E6"/>
          </w:tcPr>
          <w:p>
            <w:pPr>
              <w:ind w:left="1120"/>
              <w:spacing w:after="0" w:line="208" w:lineRule="exact"/>
              <w:rPr>
                <w:sz w:val="20"/>
                <w:szCs w:val="20"/>
                <w:color w:val="auto"/>
              </w:rPr>
            </w:pPr>
            <w:r>
              <w:rPr>
                <w:rFonts w:ascii="Calibri" w:cs="Calibri" w:eastAsia="Calibri" w:hAnsi="Calibri"/>
                <w:sz w:val="18"/>
                <w:szCs w:val="18"/>
                <w:color w:val="auto"/>
              </w:rPr>
              <w:t>—</w:t>
            </w:r>
          </w:p>
        </w:tc>
        <w:tc>
          <w:tcPr>
            <w:tcW w:w="1400" w:type="dxa"/>
            <w:vAlign w:val="bottom"/>
            <w:tcBorders>
              <w:bottom w:val="single" w:sz="8" w:color="E7E6E6"/>
              <w:right w:val="single" w:sz="8" w:color="auto"/>
            </w:tcBorders>
            <w:shd w:val="clear" w:color="auto" w:fill="E7E6E6"/>
          </w:tcPr>
          <w:p>
            <w:pPr>
              <w:ind w:left="1120"/>
              <w:spacing w:after="0" w:line="208" w:lineRule="exact"/>
              <w:rPr>
                <w:sz w:val="20"/>
                <w:szCs w:val="20"/>
                <w:color w:val="auto"/>
              </w:rPr>
            </w:pPr>
            <w:r>
              <w:rPr>
                <w:rFonts w:ascii="Calibri" w:cs="Calibri" w:eastAsia="Calibri" w:hAnsi="Calibri"/>
                <w:sz w:val="18"/>
                <w:szCs w:val="18"/>
                <w:color w:val="auto"/>
              </w:rPr>
              <w:t>—</w:t>
            </w:r>
          </w:p>
        </w:tc>
        <w:tc>
          <w:tcPr>
            <w:tcW w:w="1460" w:type="dxa"/>
            <w:vAlign w:val="bottom"/>
            <w:tcBorders>
              <w:bottom w:val="single" w:sz="8" w:color="E7E6E6"/>
              <w:right w:val="single" w:sz="8" w:color="auto"/>
            </w:tcBorders>
            <w:shd w:val="clear" w:color="auto" w:fill="E7E6E6"/>
          </w:tcPr>
          <w:p>
            <w:pPr>
              <w:ind w:left="1180"/>
              <w:spacing w:after="0" w:line="208" w:lineRule="exact"/>
              <w:rPr>
                <w:sz w:val="20"/>
                <w:szCs w:val="20"/>
                <w:color w:val="auto"/>
              </w:rPr>
            </w:pPr>
            <w:r>
              <w:rPr>
                <w:rFonts w:ascii="Calibri" w:cs="Calibri" w:eastAsia="Calibri" w:hAnsi="Calibri"/>
                <w:sz w:val="18"/>
                <w:szCs w:val="18"/>
                <w:color w:val="auto"/>
              </w:rPr>
              <w:t>—</w:t>
            </w:r>
          </w:p>
        </w:tc>
        <w:tc>
          <w:tcPr>
            <w:tcW w:w="280" w:type="dxa"/>
            <w:vAlign w:val="bottom"/>
            <w:tcBorders>
              <w:bottom w:val="single" w:sz="8" w:color="E7E6E6"/>
            </w:tcBorders>
            <w:shd w:val="clear" w:color="auto" w:fill="E7E6E6"/>
          </w:tcPr>
          <w:p>
            <w:pPr>
              <w:jc w:val="right"/>
              <w:ind w:right="90"/>
              <w:spacing w:after="0" w:line="208" w:lineRule="exact"/>
              <w:rPr>
                <w:sz w:val="20"/>
                <w:szCs w:val="20"/>
                <w:color w:val="auto"/>
              </w:rPr>
            </w:pPr>
            <w:r>
              <w:rPr>
                <w:rFonts w:ascii="Calibri" w:cs="Calibri" w:eastAsia="Calibri" w:hAnsi="Calibri"/>
                <w:sz w:val="18"/>
                <w:szCs w:val="18"/>
                <w:color w:val="auto"/>
                <w:w w:val="87"/>
              </w:rPr>
              <w:t>$</w:t>
            </w:r>
          </w:p>
        </w:tc>
        <w:tc>
          <w:tcPr>
            <w:tcW w:w="1120" w:type="dxa"/>
            <w:vAlign w:val="bottom"/>
            <w:tcBorders>
              <w:bottom w:val="single" w:sz="8" w:color="E7E6E6"/>
              <w:right w:val="single" w:sz="8" w:color="auto"/>
            </w:tcBorders>
            <w:shd w:val="clear" w:color="auto" w:fill="E7E6E6"/>
          </w:tcPr>
          <w:p>
            <w:pPr>
              <w:jc w:val="right"/>
              <w:ind w:right="30"/>
              <w:spacing w:after="0" w:line="208" w:lineRule="exact"/>
              <w:rPr>
                <w:sz w:val="20"/>
                <w:szCs w:val="20"/>
                <w:color w:val="auto"/>
              </w:rPr>
            </w:pPr>
            <w:r>
              <w:rPr>
                <w:rFonts w:ascii="Calibri" w:cs="Calibri" w:eastAsia="Calibri" w:hAnsi="Calibri"/>
                <w:sz w:val="18"/>
                <w:szCs w:val="18"/>
                <w:color w:val="auto"/>
              </w:rPr>
              <w:t>267,500</w:t>
            </w:r>
          </w:p>
        </w:tc>
      </w:tr>
      <w:tr>
        <w:trPr>
          <w:trHeight w:val="208"/>
        </w:trPr>
        <w:tc>
          <w:tcPr>
            <w:tcW w:w="2400" w:type="dxa"/>
            <w:vAlign w:val="bottom"/>
            <w:tcBorders>
              <w:top w:val="single" w:sz="8" w:color="auto"/>
              <w:left w:val="single" w:sz="8" w:color="auto"/>
              <w:right w:val="single" w:sz="8" w:color="auto"/>
            </w:tcBorders>
          </w:tcPr>
          <w:p>
            <w:pPr>
              <w:ind w:left="40"/>
              <w:spacing w:after="0" w:line="208" w:lineRule="exact"/>
              <w:rPr>
                <w:sz w:val="20"/>
                <w:szCs w:val="20"/>
                <w:color w:val="auto"/>
              </w:rPr>
            </w:pPr>
            <w:r>
              <w:rPr>
                <w:rFonts w:ascii="Calibri" w:cs="Calibri" w:eastAsia="Calibri" w:hAnsi="Calibri"/>
                <w:sz w:val="18"/>
                <w:szCs w:val="18"/>
                <w:color w:val="auto"/>
              </w:rPr>
              <w:t>Judy R. McReynolds</w:t>
            </w:r>
          </w:p>
        </w:tc>
        <w:tc>
          <w:tcPr>
            <w:tcW w:w="120" w:type="dxa"/>
            <w:vAlign w:val="bottom"/>
            <w:tcBorders>
              <w:top w:val="single" w:sz="8" w:color="auto"/>
            </w:tcBorders>
          </w:tcPr>
          <w:p>
            <w:pPr>
              <w:jc w:val="right"/>
              <w:spacing w:after="0"/>
              <w:rPr>
                <w:sz w:val="20"/>
                <w:szCs w:val="20"/>
                <w:color w:val="auto"/>
              </w:rPr>
            </w:pPr>
            <w:r>
              <w:rPr>
                <w:rFonts w:ascii="Calibri" w:cs="Calibri" w:eastAsia="Calibri" w:hAnsi="Calibri"/>
                <w:sz w:val="16"/>
                <w:szCs w:val="16"/>
                <w:color w:val="auto"/>
                <w:w w:val="73"/>
              </w:rPr>
              <w:t>$</w:t>
            </w:r>
          </w:p>
        </w:tc>
        <w:tc>
          <w:tcPr>
            <w:tcW w:w="1080" w:type="dxa"/>
            <w:vAlign w:val="bottom"/>
            <w:tcBorders>
              <w:top w:val="single" w:sz="8" w:color="auto"/>
              <w:right w:val="single" w:sz="8" w:color="auto"/>
            </w:tcBorders>
          </w:tcPr>
          <w:p>
            <w:pPr>
              <w:jc w:val="right"/>
              <w:ind w:right="50"/>
              <w:spacing w:after="0" w:line="208" w:lineRule="exact"/>
              <w:rPr>
                <w:sz w:val="20"/>
                <w:szCs w:val="20"/>
                <w:color w:val="auto"/>
              </w:rPr>
            </w:pPr>
            <w:r>
              <w:rPr>
                <w:rFonts w:ascii="Calibri" w:cs="Calibri" w:eastAsia="Calibri" w:hAnsi="Calibri"/>
                <w:sz w:val="18"/>
                <w:szCs w:val="18"/>
                <w:color w:val="auto"/>
              </w:rPr>
              <w:t>145,000</w:t>
            </w:r>
          </w:p>
        </w:tc>
        <w:tc>
          <w:tcPr>
            <w:tcW w:w="1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980" w:type="dxa"/>
            <w:vAlign w:val="bottom"/>
            <w:tcBorders>
              <w:top w:val="single" w:sz="8" w:color="auto"/>
              <w:right w:val="single" w:sz="8" w:color="auto"/>
            </w:tcBorders>
          </w:tcPr>
          <w:p>
            <w:pPr>
              <w:ind w:left="260"/>
              <w:spacing w:after="0" w:line="208" w:lineRule="exact"/>
              <w:rPr>
                <w:sz w:val="20"/>
                <w:szCs w:val="20"/>
                <w:color w:val="auto"/>
              </w:rPr>
            </w:pPr>
            <w:r>
              <w:rPr>
                <w:rFonts w:ascii="Calibri" w:cs="Calibri" w:eastAsia="Calibri" w:hAnsi="Calibri"/>
                <w:sz w:val="18"/>
                <w:szCs w:val="18"/>
                <w:color w:val="auto"/>
              </w:rPr>
              <w:t>152,500</w:t>
            </w:r>
          </w:p>
        </w:tc>
        <w:tc>
          <w:tcPr>
            <w:tcW w:w="840" w:type="dxa"/>
            <w:vAlign w:val="bottom"/>
            <w:tcBorders>
              <w:top w:val="single" w:sz="8" w:color="auto"/>
              <w:right w:val="single" w:sz="8" w:color="auto"/>
            </w:tcBorders>
          </w:tcPr>
          <w:p>
            <w:pPr>
              <w:ind w:left="540"/>
              <w:spacing w:after="0" w:line="208" w:lineRule="exact"/>
              <w:rPr>
                <w:sz w:val="20"/>
                <w:szCs w:val="20"/>
                <w:color w:val="auto"/>
              </w:rPr>
            </w:pPr>
            <w:r>
              <w:rPr>
                <w:rFonts w:ascii="Calibri" w:cs="Calibri" w:eastAsia="Calibri" w:hAnsi="Calibri"/>
                <w:sz w:val="18"/>
                <w:szCs w:val="18"/>
                <w:color w:val="auto"/>
              </w:rPr>
              <w:t>—</w:t>
            </w:r>
          </w:p>
        </w:tc>
        <w:tc>
          <w:tcPr>
            <w:tcW w:w="1400" w:type="dxa"/>
            <w:vAlign w:val="bottom"/>
            <w:tcBorders>
              <w:top w:val="single" w:sz="8" w:color="auto"/>
              <w:right w:val="single" w:sz="8" w:color="auto"/>
            </w:tcBorders>
          </w:tcPr>
          <w:p>
            <w:pPr>
              <w:ind w:left="1120"/>
              <w:spacing w:after="0" w:line="208" w:lineRule="exact"/>
              <w:rPr>
                <w:sz w:val="20"/>
                <w:szCs w:val="20"/>
                <w:color w:val="auto"/>
              </w:rPr>
            </w:pPr>
            <w:r>
              <w:rPr>
                <w:rFonts w:ascii="Calibri" w:cs="Calibri" w:eastAsia="Calibri" w:hAnsi="Calibri"/>
                <w:sz w:val="18"/>
                <w:szCs w:val="18"/>
                <w:color w:val="auto"/>
              </w:rPr>
              <w:t>—</w:t>
            </w:r>
          </w:p>
        </w:tc>
        <w:tc>
          <w:tcPr>
            <w:tcW w:w="1400" w:type="dxa"/>
            <w:vAlign w:val="bottom"/>
            <w:tcBorders>
              <w:top w:val="single" w:sz="8" w:color="auto"/>
              <w:right w:val="single" w:sz="8" w:color="auto"/>
            </w:tcBorders>
          </w:tcPr>
          <w:p>
            <w:pPr>
              <w:ind w:left="1120"/>
              <w:spacing w:after="0" w:line="208" w:lineRule="exact"/>
              <w:rPr>
                <w:sz w:val="20"/>
                <w:szCs w:val="20"/>
                <w:color w:val="auto"/>
              </w:rPr>
            </w:pPr>
            <w:r>
              <w:rPr>
                <w:rFonts w:ascii="Calibri" w:cs="Calibri" w:eastAsia="Calibri" w:hAnsi="Calibri"/>
                <w:sz w:val="18"/>
                <w:szCs w:val="18"/>
                <w:color w:val="auto"/>
              </w:rPr>
              <w:t>—</w:t>
            </w:r>
          </w:p>
        </w:tc>
        <w:tc>
          <w:tcPr>
            <w:tcW w:w="1460" w:type="dxa"/>
            <w:vAlign w:val="bottom"/>
            <w:tcBorders>
              <w:top w:val="single" w:sz="8" w:color="auto"/>
              <w:right w:val="single" w:sz="8" w:color="auto"/>
            </w:tcBorders>
          </w:tcPr>
          <w:p>
            <w:pPr>
              <w:ind w:left="1180"/>
              <w:spacing w:after="0" w:line="208" w:lineRule="exact"/>
              <w:rPr>
                <w:sz w:val="20"/>
                <w:szCs w:val="20"/>
                <w:color w:val="auto"/>
              </w:rPr>
            </w:pPr>
            <w:r>
              <w:rPr>
                <w:rFonts w:ascii="Calibri" w:cs="Calibri" w:eastAsia="Calibri" w:hAnsi="Calibri"/>
                <w:sz w:val="18"/>
                <w:szCs w:val="18"/>
                <w:color w:val="auto"/>
              </w:rPr>
              <w:t>—</w:t>
            </w:r>
          </w:p>
        </w:tc>
        <w:tc>
          <w:tcPr>
            <w:tcW w:w="280" w:type="dxa"/>
            <w:vAlign w:val="bottom"/>
            <w:tcBorders>
              <w:top w:val="single" w:sz="8" w:color="auto"/>
            </w:tcBorders>
          </w:tcPr>
          <w:p>
            <w:pPr>
              <w:jc w:val="right"/>
              <w:ind w:right="90"/>
              <w:spacing w:after="0" w:line="208" w:lineRule="exact"/>
              <w:rPr>
                <w:sz w:val="20"/>
                <w:szCs w:val="20"/>
                <w:color w:val="auto"/>
              </w:rPr>
            </w:pPr>
            <w:r>
              <w:rPr>
                <w:rFonts w:ascii="Calibri" w:cs="Calibri" w:eastAsia="Calibri" w:hAnsi="Calibri"/>
                <w:sz w:val="18"/>
                <w:szCs w:val="18"/>
                <w:color w:val="auto"/>
                <w:w w:val="87"/>
              </w:rPr>
              <w:t>$</w:t>
            </w:r>
          </w:p>
        </w:tc>
        <w:tc>
          <w:tcPr>
            <w:tcW w:w="1120" w:type="dxa"/>
            <w:vAlign w:val="bottom"/>
            <w:tcBorders>
              <w:top w:val="single" w:sz="8" w:color="auto"/>
              <w:right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297,500</w:t>
            </w:r>
          </w:p>
        </w:tc>
      </w:tr>
      <w:tr>
        <w:trPr>
          <w:trHeight w:val="28"/>
        </w:trPr>
        <w:tc>
          <w:tcPr>
            <w:tcW w:w="240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42"/>
        </w:trPr>
        <w:tc>
          <w:tcPr>
            <w:tcW w:w="2400" w:type="dxa"/>
            <w:vAlign w:val="bottom"/>
            <w:tcBorders>
              <w:left w:val="single" w:sz="8" w:color="auto"/>
              <w:bottom w:val="single" w:sz="8" w:color="E7E6E6"/>
              <w:right w:val="single" w:sz="8" w:color="auto"/>
            </w:tcBorders>
            <w:shd w:val="clear" w:color="auto" w:fill="E7E6E6"/>
          </w:tcPr>
          <w:p>
            <w:pPr>
              <w:ind w:left="40"/>
              <w:spacing w:after="0" w:line="208" w:lineRule="exact"/>
              <w:rPr>
                <w:sz w:val="20"/>
                <w:szCs w:val="20"/>
                <w:color w:val="auto"/>
              </w:rPr>
            </w:pPr>
            <w:r>
              <w:rPr>
                <w:rFonts w:ascii="Calibri" w:cs="Calibri" w:eastAsia="Calibri" w:hAnsi="Calibri"/>
                <w:sz w:val="18"/>
                <w:szCs w:val="18"/>
                <w:color w:val="auto"/>
              </w:rPr>
              <w:t>David E. Rainbolt</w:t>
            </w:r>
          </w:p>
        </w:tc>
        <w:tc>
          <w:tcPr>
            <w:tcW w:w="120" w:type="dxa"/>
            <w:vAlign w:val="bottom"/>
            <w:tcBorders>
              <w:bottom w:val="single" w:sz="8" w:color="E7E6E6"/>
            </w:tcBorders>
            <w:shd w:val="clear" w:color="auto" w:fill="E7E6E6"/>
          </w:tcPr>
          <w:p>
            <w:pPr>
              <w:jc w:val="right"/>
              <w:spacing w:after="0"/>
              <w:rPr>
                <w:sz w:val="20"/>
                <w:szCs w:val="20"/>
                <w:color w:val="auto"/>
              </w:rPr>
            </w:pPr>
            <w:r>
              <w:rPr>
                <w:rFonts w:ascii="Calibri" w:cs="Calibri" w:eastAsia="Calibri" w:hAnsi="Calibri"/>
                <w:sz w:val="16"/>
                <w:szCs w:val="16"/>
                <w:color w:val="auto"/>
                <w:w w:val="73"/>
              </w:rPr>
              <w:t>$</w:t>
            </w:r>
          </w:p>
        </w:tc>
        <w:tc>
          <w:tcPr>
            <w:tcW w:w="1080" w:type="dxa"/>
            <w:vAlign w:val="bottom"/>
            <w:tcBorders>
              <w:bottom w:val="single" w:sz="8" w:color="E7E6E6"/>
              <w:right w:val="single" w:sz="8" w:color="auto"/>
            </w:tcBorders>
            <w:shd w:val="clear" w:color="auto" w:fill="E7E6E6"/>
          </w:tcPr>
          <w:p>
            <w:pPr>
              <w:jc w:val="right"/>
              <w:ind w:right="50"/>
              <w:spacing w:after="0" w:line="208" w:lineRule="exact"/>
              <w:rPr>
                <w:sz w:val="20"/>
                <w:szCs w:val="20"/>
                <w:color w:val="auto"/>
              </w:rPr>
            </w:pPr>
            <w:r>
              <w:rPr>
                <w:rFonts w:ascii="Calibri" w:cs="Calibri" w:eastAsia="Calibri" w:hAnsi="Calibri"/>
                <w:sz w:val="18"/>
                <w:szCs w:val="18"/>
                <w:color w:val="auto"/>
              </w:rPr>
              <w:t>120,000</w:t>
            </w:r>
          </w:p>
        </w:tc>
        <w:tc>
          <w:tcPr>
            <w:tcW w:w="160" w:type="dxa"/>
            <w:vAlign w:val="bottom"/>
            <w:tcBorders>
              <w:bottom w:val="single" w:sz="8" w:color="E7E6E6"/>
            </w:tcBorders>
            <w:shd w:val="clear" w:color="auto" w:fill="E7E6E6"/>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980" w:type="dxa"/>
            <w:vAlign w:val="bottom"/>
            <w:tcBorders>
              <w:bottom w:val="single" w:sz="8" w:color="E7E6E6"/>
              <w:right w:val="single" w:sz="8" w:color="auto"/>
            </w:tcBorders>
            <w:shd w:val="clear" w:color="auto" w:fill="E7E6E6"/>
          </w:tcPr>
          <w:p>
            <w:pPr>
              <w:ind w:left="260"/>
              <w:spacing w:after="0" w:line="208" w:lineRule="exact"/>
              <w:rPr>
                <w:sz w:val="20"/>
                <w:szCs w:val="20"/>
                <w:color w:val="auto"/>
              </w:rPr>
            </w:pPr>
            <w:r>
              <w:rPr>
                <w:rFonts w:ascii="Calibri" w:cs="Calibri" w:eastAsia="Calibri" w:hAnsi="Calibri"/>
                <w:sz w:val="18"/>
                <w:szCs w:val="18"/>
                <w:color w:val="auto"/>
              </w:rPr>
              <w:t>152,500</w:t>
            </w:r>
          </w:p>
        </w:tc>
        <w:tc>
          <w:tcPr>
            <w:tcW w:w="840" w:type="dxa"/>
            <w:vAlign w:val="bottom"/>
            <w:tcBorders>
              <w:bottom w:val="single" w:sz="8" w:color="E7E6E6"/>
              <w:right w:val="single" w:sz="8" w:color="auto"/>
            </w:tcBorders>
            <w:shd w:val="clear" w:color="auto" w:fill="E7E6E6"/>
          </w:tcPr>
          <w:p>
            <w:pPr>
              <w:ind w:left="540"/>
              <w:spacing w:after="0" w:line="208" w:lineRule="exact"/>
              <w:rPr>
                <w:sz w:val="20"/>
                <w:szCs w:val="20"/>
                <w:color w:val="auto"/>
              </w:rPr>
            </w:pPr>
            <w:r>
              <w:rPr>
                <w:rFonts w:ascii="Calibri" w:cs="Calibri" w:eastAsia="Calibri" w:hAnsi="Calibri"/>
                <w:sz w:val="18"/>
                <w:szCs w:val="18"/>
                <w:color w:val="auto"/>
              </w:rPr>
              <w:t>—</w:t>
            </w:r>
          </w:p>
        </w:tc>
        <w:tc>
          <w:tcPr>
            <w:tcW w:w="1400" w:type="dxa"/>
            <w:vAlign w:val="bottom"/>
            <w:tcBorders>
              <w:bottom w:val="single" w:sz="8" w:color="E7E6E6"/>
              <w:right w:val="single" w:sz="8" w:color="auto"/>
            </w:tcBorders>
            <w:shd w:val="clear" w:color="auto" w:fill="E7E6E6"/>
          </w:tcPr>
          <w:p>
            <w:pPr>
              <w:ind w:left="1120"/>
              <w:spacing w:after="0" w:line="208" w:lineRule="exact"/>
              <w:rPr>
                <w:sz w:val="20"/>
                <w:szCs w:val="20"/>
                <w:color w:val="auto"/>
              </w:rPr>
            </w:pPr>
            <w:r>
              <w:rPr>
                <w:rFonts w:ascii="Calibri" w:cs="Calibri" w:eastAsia="Calibri" w:hAnsi="Calibri"/>
                <w:sz w:val="18"/>
                <w:szCs w:val="18"/>
                <w:color w:val="auto"/>
              </w:rPr>
              <w:t>—</w:t>
            </w:r>
          </w:p>
        </w:tc>
        <w:tc>
          <w:tcPr>
            <w:tcW w:w="1400" w:type="dxa"/>
            <w:vAlign w:val="bottom"/>
            <w:tcBorders>
              <w:bottom w:val="single" w:sz="8" w:color="E7E6E6"/>
              <w:right w:val="single" w:sz="8" w:color="auto"/>
            </w:tcBorders>
            <w:shd w:val="clear" w:color="auto" w:fill="E7E6E6"/>
          </w:tcPr>
          <w:p>
            <w:pPr>
              <w:ind w:left="1120"/>
              <w:spacing w:after="0" w:line="208" w:lineRule="exact"/>
              <w:rPr>
                <w:sz w:val="20"/>
                <w:szCs w:val="20"/>
                <w:color w:val="auto"/>
              </w:rPr>
            </w:pPr>
            <w:r>
              <w:rPr>
                <w:rFonts w:ascii="Calibri" w:cs="Calibri" w:eastAsia="Calibri" w:hAnsi="Calibri"/>
                <w:sz w:val="18"/>
                <w:szCs w:val="18"/>
                <w:color w:val="auto"/>
              </w:rPr>
              <w:t>—</w:t>
            </w:r>
          </w:p>
        </w:tc>
        <w:tc>
          <w:tcPr>
            <w:tcW w:w="1460" w:type="dxa"/>
            <w:vAlign w:val="bottom"/>
            <w:tcBorders>
              <w:bottom w:val="single" w:sz="8" w:color="E7E6E6"/>
              <w:right w:val="single" w:sz="8" w:color="auto"/>
            </w:tcBorders>
            <w:shd w:val="clear" w:color="auto" w:fill="E7E6E6"/>
          </w:tcPr>
          <w:p>
            <w:pPr>
              <w:ind w:left="1180"/>
              <w:spacing w:after="0" w:line="208" w:lineRule="exact"/>
              <w:rPr>
                <w:sz w:val="20"/>
                <w:szCs w:val="20"/>
                <w:color w:val="auto"/>
              </w:rPr>
            </w:pPr>
            <w:r>
              <w:rPr>
                <w:rFonts w:ascii="Calibri" w:cs="Calibri" w:eastAsia="Calibri" w:hAnsi="Calibri"/>
                <w:sz w:val="18"/>
                <w:szCs w:val="18"/>
                <w:color w:val="auto"/>
              </w:rPr>
              <w:t>—</w:t>
            </w:r>
          </w:p>
        </w:tc>
        <w:tc>
          <w:tcPr>
            <w:tcW w:w="280" w:type="dxa"/>
            <w:vAlign w:val="bottom"/>
            <w:tcBorders>
              <w:bottom w:val="single" w:sz="8" w:color="E7E6E6"/>
            </w:tcBorders>
            <w:shd w:val="clear" w:color="auto" w:fill="E7E6E6"/>
          </w:tcPr>
          <w:p>
            <w:pPr>
              <w:jc w:val="right"/>
              <w:ind w:right="90"/>
              <w:spacing w:after="0" w:line="208" w:lineRule="exact"/>
              <w:rPr>
                <w:sz w:val="20"/>
                <w:szCs w:val="20"/>
                <w:color w:val="auto"/>
              </w:rPr>
            </w:pPr>
            <w:r>
              <w:rPr>
                <w:rFonts w:ascii="Calibri" w:cs="Calibri" w:eastAsia="Calibri" w:hAnsi="Calibri"/>
                <w:sz w:val="18"/>
                <w:szCs w:val="18"/>
                <w:color w:val="auto"/>
                <w:w w:val="87"/>
              </w:rPr>
              <w:t>$</w:t>
            </w:r>
          </w:p>
        </w:tc>
        <w:tc>
          <w:tcPr>
            <w:tcW w:w="1120" w:type="dxa"/>
            <w:vAlign w:val="bottom"/>
            <w:tcBorders>
              <w:bottom w:val="single" w:sz="8" w:color="E7E6E6"/>
              <w:right w:val="single" w:sz="8" w:color="auto"/>
            </w:tcBorders>
            <w:shd w:val="clear" w:color="auto" w:fill="E7E6E6"/>
          </w:tcPr>
          <w:p>
            <w:pPr>
              <w:jc w:val="right"/>
              <w:ind w:right="30"/>
              <w:spacing w:after="0" w:line="208" w:lineRule="exact"/>
              <w:rPr>
                <w:sz w:val="20"/>
                <w:szCs w:val="20"/>
                <w:color w:val="auto"/>
              </w:rPr>
            </w:pPr>
            <w:r>
              <w:rPr>
                <w:rFonts w:ascii="Calibri" w:cs="Calibri" w:eastAsia="Calibri" w:hAnsi="Calibri"/>
                <w:sz w:val="18"/>
                <w:szCs w:val="18"/>
                <w:color w:val="auto"/>
              </w:rPr>
              <w:t>272,500</w:t>
            </w:r>
          </w:p>
        </w:tc>
      </w:tr>
      <w:tr>
        <w:trPr>
          <w:trHeight w:val="208"/>
        </w:trPr>
        <w:tc>
          <w:tcPr>
            <w:tcW w:w="2400" w:type="dxa"/>
            <w:vAlign w:val="bottom"/>
            <w:tcBorders>
              <w:top w:val="single" w:sz="8" w:color="auto"/>
              <w:left w:val="single" w:sz="8" w:color="auto"/>
              <w:right w:val="single" w:sz="8" w:color="auto"/>
            </w:tcBorders>
          </w:tcPr>
          <w:p>
            <w:pPr>
              <w:ind w:left="40"/>
              <w:spacing w:after="0" w:line="208" w:lineRule="exact"/>
              <w:rPr>
                <w:sz w:val="20"/>
                <w:szCs w:val="20"/>
                <w:color w:val="auto"/>
              </w:rPr>
            </w:pPr>
            <w:r>
              <w:rPr>
                <w:rFonts w:ascii="Calibri" w:cs="Calibri" w:eastAsia="Calibri" w:hAnsi="Calibri"/>
                <w:sz w:val="18"/>
                <w:szCs w:val="18"/>
                <w:color w:val="auto"/>
              </w:rPr>
              <w:t>J. Michael Sanner</w:t>
            </w:r>
          </w:p>
        </w:tc>
        <w:tc>
          <w:tcPr>
            <w:tcW w:w="120" w:type="dxa"/>
            <w:vAlign w:val="bottom"/>
            <w:tcBorders>
              <w:top w:val="single" w:sz="8" w:color="auto"/>
            </w:tcBorders>
          </w:tcPr>
          <w:p>
            <w:pPr>
              <w:jc w:val="right"/>
              <w:spacing w:after="0"/>
              <w:rPr>
                <w:sz w:val="20"/>
                <w:szCs w:val="20"/>
                <w:color w:val="auto"/>
              </w:rPr>
            </w:pPr>
            <w:r>
              <w:rPr>
                <w:rFonts w:ascii="Calibri" w:cs="Calibri" w:eastAsia="Calibri" w:hAnsi="Calibri"/>
                <w:sz w:val="16"/>
                <w:szCs w:val="16"/>
                <w:color w:val="auto"/>
                <w:w w:val="73"/>
              </w:rPr>
              <w:t>$</w:t>
            </w:r>
          </w:p>
        </w:tc>
        <w:tc>
          <w:tcPr>
            <w:tcW w:w="1080" w:type="dxa"/>
            <w:vAlign w:val="bottom"/>
            <w:tcBorders>
              <w:top w:val="single" w:sz="8" w:color="auto"/>
              <w:right w:val="single" w:sz="8" w:color="auto"/>
            </w:tcBorders>
          </w:tcPr>
          <w:p>
            <w:pPr>
              <w:jc w:val="right"/>
              <w:ind w:right="50"/>
              <w:spacing w:after="0" w:line="208" w:lineRule="exact"/>
              <w:rPr>
                <w:sz w:val="20"/>
                <w:szCs w:val="20"/>
                <w:color w:val="auto"/>
              </w:rPr>
            </w:pPr>
            <w:r>
              <w:rPr>
                <w:rFonts w:ascii="Calibri" w:cs="Calibri" w:eastAsia="Calibri" w:hAnsi="Calibri"/>
                <w:sz w:val="18"/>
                <w:szCs w:val="18"/>
                <w:color w:val="auto"/>
              </w:rPr>
              <w:t>135,000</w:t>
            </w:r>
          </w:p>
        </w:tc>
        <w:tc>
          <w:tcPr>
            <w:tcW w:w="1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980" w:type="dxa"/>
            <w:vAlign w:val="bottom"/>
            <w:tcBorders>
              <w:top w:val="single" w:sz="8" w:color="auto"/>
              <w:right w:val="single" w:sz="8" w:color="auto"/>
            </w:tcBorders>
          </w:tcPr>
          <w:p>
            <w:pPr>
              <w:ind w:left="260"/>
              <w:spacing w:after="0" w:line="208" w:lineRule="exact"/>
              <w:rPr>
                <w:sz w:val="20"/>
                <w:szCs w:val="20"/>
                <w:color w:val="auto"/>
              </w:rPr>
            </w:pPr>
            <w:r>
              <w:rPr>
                <w:rFonts w:ascii="Calibri" w:cs="Calibri" w:eastAsia="Calibri" w:hAnsi="Calibri"/>
                <w:sz w:val="18"/>
                <w:szCs w:val="18"/>
                <w:color w:val="auto"/>
              </w:rPr>
              <w:t>152,500</w:t>
            </w:r>
          </w:p>
        </w:tc>
        <w:tc>
          <w:tcPr>
            <w:tcW w:w="840" w:type="dxa"/>
            <w:vAlign w:val="bottom"/>
            <w:tcBorders>
              <w:top w:val="single" w:sz="8" w:color="auto"/>
              <w:right w:val="single" w:sz="8" w:color="auto"/>
            </w:tcBorders>
          </w:tcPr>
          <w:p>
            <w:pPr>
              <w:ind w:left="540"/>
              <w:spacing w:after="0" w:line="208" w:lineRule="exact"/>
              <w:rPr>
                <w:sz w:val="20"/>
                <w:szCs w:val="20"/>
                <w:color w:val="auto"/>
              </w:rPr>
            </w:pPr>
            <w:r>
              <w:rPr>
                <w:rFonts w:ascii="Calibri" w:cs="Calibri" w:eastAsia="Calibri" w:hAnsi="Calibri"/>
                <w:sz w:val="18"/>
                <w:szCs w:val="18"/>
                <w:color w:val="auto"/>
              </w:rPr>
              <w:t>—</w:t>
            </w:r>
          </w:p>
        </w:tc>
        <w:tc>
          <w:tcPr>
            <w:tcW w:w="1400" w:type="dxa"/>
            <w:vAlign w:val="bottom"/>
            <w:tcBorders>
              <w:top w:val="single" w:sz="8" w:color="auto"/>
              <w:right w:val="single" w:sz="8" w:color="auto"/>
            </w:tcBorders>
          </w:tcPr>
          <w:p>
            <w:pPr>
              <w:ind w:left="1120"/>
              <w:spacing w:after="0" w:line="208" w:lineRule="exact"/>
              <w:rPr>
                <w:sz w:val="20"/>
                <w:szCs w:val="20"/>
                <w:color w:val="auto"/>
              </w:rPr>
            </w:pPr>
            <w:r>
              <w:rPr>
                <w:rFonts w:ascii="Calibri" w:cs="Calibri" w:eastAsia="Calibri" w:hAnsi="Calibri"/>
                <w:sz w:val="18"/>
                <w:szCs w:val="18"/>
                <w:color w:val="auto"/>
              </w:rPr>
              <w:t>—</w:t>
            </w:r>
          </w:p>
        </w:tc>
        <w:tc>
          <w:tcPr>
            <w:tcW w:w="1400" w:type="dxa"/>
            <w:vAlign w:val="bottom"/>
            <w:tcBorders>
              <w:top w:val="single" w:sz="8" w:color="auto"/>
              <w:right w:val="single" w:sz="8" w:color="auto"/>
            </w:tcBorders>
          </w:tcPr>
          <w:p>
            <w:pPr>
              <w:ind w:left="1120"/>
              <w:spacing w:after="0" w:line="208" w:lineRule="exact"/>
              <w:rPr>
                <w:sz w:val="20"/>
                <w:szCs w:val="20"/>
                <w:color w:val="auto"/>
              </w:rPr>
            </w:pPr>
            <w:r>
              <w:rPr>
                <w:rFonts w:ascii="Calibri" w:cs="Calibri" w:eastAsia="Calibri" w:hAnsi="Calibri"/>
                <w:sz w:val="18"/>
                <w:szCs w:val="18"/>
                <w:color w:val="auto"/>
              </w:rPr>
              <w:t>—</w:t>
            </w:r>
          </w:p>
        </w:tc>
        <w:tc>
          <w:tcPr>
            <w:tcW w:w="1460" w:type="dxa"/>
            <w:vAlign w:val="bottom"/>
            <w:tcBorders>
              <w:top w:val="single" w:sz="8" w:color="auto"/>
              <w:right w:val="single" w:sz="8" w:color="auto"/>
            </w:tcBorders>
          </w:tcPr>
          <w:p>
            <w:pPr>
              <w:ind w:left="1180"/>
              <w:spacing w:after="0" w:line="208" w:lineRule="exact"/>
              <w:rPr>
                <w:sz w:val="20"/>
                <w:szCs w:val="20"/>
                <w:color w:val="auto"/>
              </w:rPr>
            </w:pPr>
            <w:r>
              <w:rPr>
                <w:rFonts w:ascii="Calibri" w:cs="Calibri" w:eastAsia="Calibri" w:hAnsi="Calibri"/>
                <w:sz w:val="18"/>
                <w:szCs w:val="18"/>
                <w:color w:val="auto"/>
              </w:rPr>
              <w:t>—</w:t>
            </w:r>
          </w:p>
        </w:tc>
        <w:tc>
          <w:tcPr>
            <w:tcW w:w="280" w:type="dxa"/>
            <w:vAlign w:val="bottom"/>
            <w:tcBorders>
              <w:top w:val="single" w:sz="8" w:color="auto"/>
            </w:tcBorders>
          </w:tcPr>
          <w:p>
            <w:pPr>
              <w:jc w:val="right"/>
              <w:ind w:right="90"/>
              <w:spacing w:after="0" w:line="208" w:lineRule="exact"/>
              <w:rPr>
                <w:sz w:val="20"/>
                <w:szCs w:val="20"/>
                <w:color w:val="auto"/>
              </w:rPr>
            </w:pPr>
            <w:r>
              <w:rPr>
                <w:rFonts w:ascii="Calibri" w:cs="Calibri" w:eastAsia="Calibri" w:hAnsi="Calibri"/>
                <w:sz w:val="18"/>
                <w:szCs w:val="18"/>
                <w:color w:val="auto"/>
                <w:w w:val="87"/>
              </w:rPr>
              <w:t>$</w:t>
            </w:r>
          </w:p>
        </w:tc>
        <w:tc>
          <w:tcPr>
            <w:tcW w:w="1120" w:type="dxa"/>
            <w:vAlign w:val="bottom"/>
            <w:tcBorders>
              <w:top w:val="single" w:sz="8" w:color="auto"/>
              <w:right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287,500</w:t>
            </w:r>
          </w:p>
        </w:tc>
      </w:tr>
      <w:tr>
        <w:trPr>
          <w:trHeight w:val="28"/>
        </w:trPr>
        <w:tc>
          <w:tcPr>
            <w:tcW w:w="240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217"/>
        </w:trPr>
        <w:tc>
          <w:tcPr>
            <w:tcW w:w="2400" w:type="dxa"/>
            <w:vAlign w:val="bottom"/>
            <w:tcBorders>
              <w:left w:val="single" w:sz="8" w:color="auto"/>
              <w:bottom w:val="single" w:sz="8" w:color="E7E6E6"/>
              <w:right w:val="single" w:sz="8" w:color="auto"/>
            </w:tcBorders>
            <w:shd w:val="clear" w:color="auto" w:fill="E7E6E6"/>
          </w:tcPr>
          <w:p>
            <w:pPr>
              <w:ind w:left="40"/>
              <w:spacing w:after="0" w:line="208" w:lineRule="exact"/>
              <w:rPr>
                <w:sz w:val="20"/>
                <w:szCs w:val="20"/>
                <w:color w:val="auto"/>
              </w:rPr>
            </w:pPr>
            <w:r>
              <w:rPr>
                <w:rFonts w:ascii="Calibri" w:cs="Calibri" w:eastAsia="Calibri" w:hAnsi="Calibri"/>
                <w:sz w:val="18"/>
                <w:szCs w:val="18"/>
                <w:color w:val="auto"/>
              </w:rPr>
              <w:t>Sheila G. Talton</w:t>
            </w:r>
          </w:p>
        </w:tc>
        <w:tc>
          <w:tcPr>
            <w:tcW w:w="120" w:type="dxa"/>
            <w:vAlign w:val="bottom"/>
            <w:tcBorders>
              <w:bottom w:val="single" w:sz="8" w:color="E7E6E6"/>
            </w:tcBorders>
            <w:shd w:val="clear" w:color="auto" w:fill="E7E6E6"/>
          </w:tcPr>
          <w:p>
            <w:pPr>
              <w:jc w:val="right"/>
              <w:spacing w:after="0"/>
              <w:rPr>
                <w:sz w:val="20"/>
                <w:szCs w:val="20"/>
                <w:color w:val="auto"/>
              </w:rPr>
            </w:pPr>
            <w:r>
              <w:rPr>
                <w:rFonts w:ascii="Calibri" w:cs="Calibri" w:eastAsia="Calibri" w:hAnsi="Calibri"/>
                <w:sz w:val="16"/>
                <w:szCs w:val="16"/>
                <w:color w:val="auto"/>
                <w:w w:val="73"/>
              </w:rPr>
              <w:t>$</w:t>
            </w:r>
          </w:p>
        </w:tc>
        <w:tc>
          <w:tcPr>
            <w:tcW w:w="1080" w:type="dxa"/>
            <w:vAlign w:val="bottom"/>
            <w:tcBorders>
              <w:bottom w:val="single" w:sz="8" w:color="E7E6E6"/>
              <w:right w:val="single" w:sz="8" w:color="auto"/>
            </w:tcBorders>
            <w:shd w:val="clear" w:color="auto" w:fill="E7E6E6"/>
          </w:tcPr>
          <w:p>
            <w:pPr>
              <w:jc w:val="right"/>
              <w:ind w:right="50"/>
              <w:spacing w:after="0" w:line="208" w:lineRule="exact"/>
              <w:rPr>
                <w:sz w:val="20"/>
                <w:szCs w:val="20"/>
                <w:color w:val="auto"/>
              </w:rPr>
            </w:pPr>
            <w:r>
              <w:rPr>
                <w:rFonts w:ascii="Calibri" w:cs="Calibri" w:eastAsia="Calibri" w:hAnsi="Calibri"/>
                <w:sz w:val="18"/>
                <w:szCs w:val="18"/>
                <w:color w:val="auto"/>
              </w:rPr>
              <w:t>115,000</w:t>
            </w:r>
          </w:p>
        </w:tc>
        <w:tc>
          <w:tcPr>
            <w:tcW w:w="160" w:type="dxa"/>
            <w:vAlign w:val="bottom"/>
            <w:tcBorders>
              <w:bottom w:val="single" w:sz="8" w:color="E7E6E6"/>
            </w:tcBorders>
            <w:shd w:val="clear" w:color="auto" w:fill="E7E6E6"/>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980" w:type="dxa"/>
            <w:vAlign w:val="bottom"/>
            <w:tcBorders>
              <w:bottom w:val="single" w:sz="8" w:color="E7E6E6"/>
              <w:right w:val="single" w:sz="8" w:color="auto"/>
            </w:tcBorders>
            <w:shd w:val="clear" w:color="auto" w:fill="E7E6E6"/>
          </w:tcPr>
          <w:p>
            <w:pPr>
              <w:ind w:left="260"/>
              <w:spacing w:after="0" w:line="208" w:lineRule="exact"/>
              <w:rPr>
                <w:sz w:val="20"/>
                <w:szCs w:val="20"/>
                <w:color w:val="auto"/>
              </w:rPr>
            </w:pPr>
            <w:r>
              <w:rPr>
                <w:rFonts w:ascii="Calibri" w:cs="Calibri" w:eastAsia="Calibri" w:hAnsi="Calibri"/>
                <w:sz w:val="18"/>
                <w:szCs w:val="18"/>
                <w:color w:val="auto"/>
              </w:rPr>
              <w:t>152,500</w:t>
            </w:r>
          </w:p>
        </w:tc>
        <w:tc>
          <w:tcPr>
            <w:tcW w:w="840" w:type="dxa"/>
            <w:vAlign w:val="bottom"/>
            <w:tcBorders>
              <w:bottom w:val="single" w:sz="8" w:color="E7E6E6"/>
              <w:right w:val="single" w:sz="8" w:color="auto"/>
            </w:tcBorders>
            <w:shd w:val="clear" w:color="auto" w:fill="E7E6E6"/>
          </w:tcPr>
          <w:p>
            <w:pPr>
              <w:ind w:left="540"/>
              <w:spacing w:after="0" w:line="208" w:lineRule="exact"/>
              <w:rPr>
                <w:sz w:val="20"/>
                <w:szCs w:val="20"/>
                <w:color w:val="auto"/>
              </w:rPr>
            </w:pPr>
            <w:r>
              <w:rPr>
                <w:rFonts w:ascii="Calibri" w:cs="Calibri" w:eastAsia="Calibri" w:hAnsi="Calibri"/>
                <w:sz w:val="18"/>
                <w:szCs w:val="18"/>
                <w:color w:val="auto"/>
              </w:rPr>
              <w:t>—</w:t>
            </w:r>
          </w:p>
        </w:tc>
        <w:tc>
          <w:tcPr>
            <w:tcW w:w="1400" w:type="dxa"/>
            <w:vAlign w:val="bottom"/>
            <w:tcBorders>
              <w:bottom w:val="single" w:sz="8" w:color="E7E6E6"/>
              <w:right w:val="single" w:sz="8" w:color="auto"/>
            </w:tcBorders>
            <w:shd w:val="clear" w:color="auto" w:fill="E7E6E6"/>
          </w:tcPr>
          <w:p>
            <w:pPr>
              <w:ind w:left="1120"/>
              <w:spacing w:after="0" w:line="208" w:lineRule="exact"/>
              <w:rPr>
                <w:sz w:val="20"/>
                <w:szCs w:val="20"/>
                <w:color w:val="auto"/>
              </w:rPr>
            </w:pPr>
            <w:r>
              <w:rPr>
                <w:rFonts w:ascii="Calibri" w:cs="Calibri" w:eastAsia="Calibri" w:hAnsi="Calibri"/>
                <w:sz w:val="18"/>
                <w:szCs w:val="18"/>
                <w:color w:val="auto"/>
              </w:rPr>
              <w:t>—</w:t>
            </w:r>
          </w:p>
        </w:tc>
        <w:tc>
          <w:tcPr>
            <w:tcW w:w="1400" w:type="dxa"/>
            <w:vAlign w:val="bottom"/>
            <w:tcBorders>
              <w:bottom w:val="single" w:sz="8" w:color="E7E6E6"/>
              <w:right w:val="single" w:sz="8" w:color="auto"/>
            </w:tcBorders>
            <w:shd w:val="clear" w:color="auto" w:fill="E7E6E6"/>
          </w:tcPr>
          <w:p>
            <w:pPr>
              <w:ind w:left="1120"/>
              <w:spacing w:after="0" w:line="208" w:lineRule="exact"/>
              <w:rPr>
                <w:sz w:val="20"/>
                <w:szCs w:val="20"/>
                <w:color w:val="auto"/>
              </w:rPr>
            </w:pPr>
            <w:r>
              <w:rPr>
                <w:rFonts w:ascii="Calibri" w:cs="Calibri" w:eastAsia="Calibri" w:hAnsi="Calibri"/>
                <w:sz w:val="18"/>
                <w:szCs w:val="18"/>
                <w:color w:val="auto"/>
              </w:rPr>
              <w:t>—</w:t>
            </w:r>
          </w:p>
        </w:tc>
        <w:tc>
          <w:tcPr>
            <w:tcW w:w="1460" w:type="dxa"/>
            <w:vAlign w:val="bottom"/>
            <w:tcBorders>
              <w:bottom w:val="single" w:sz="8" w:color="E7E6E6"/>
              <w:right w:val="single" w:sz="8" w:color="auto"/>
            </w:tcBorders>
            <w:shd w:val="clear" w:color="auto" w:fill="E7E6E6"/>
          </w:tcPr>
          <w:p>
            <w:pPr>
              <w:ind w:left="1180"/>
              <w:spacing w:after="0" w:line="208" w:lineRule="exact"/>
              <w:rPr>
                <w:sz w:val="20"/>
                <w:szCs w:val="20"/>
                <w:color w:val="auto"/>
              </w:rPr>
            </w:pPr>
            <w:r>
              <w:rPr>
                <w:rFonts w:ascii="Calibri" w:cs="Calibri" w:eastAsia="Calibri" w:hAnsi="Calibri"/>
                <w:sz w:val="18"/>
                <w:szCs w:val="18"/>
                <w:color w:val="auto"/>
              </w:rPr>
              <w:t>—</w:t>
            </w:r>
          </w:p>
        </w:tc>
        <w:tc>
          <w:tcPr>
            <w:tcW w:w="280" w:type="dxa"/>
            <w:vAlign w:val="bottom"/>
            <w:tcBorders>
              <w:bottom w:val="single" w:sz="8" w:color="E7E6E6"/>
            </w:tcBorders>
            <w:shd w:val="clear" w:color="auto" w:fill="E7E6E6"/>
          </w:tcPr>
          <w:p>
            <w:pPr>
              <w:jc w:val="right"/>
              <w:ind w:right="90"/>
              <w:spacing w:after="0" w:line="208" w:lineRule="exact"/>
              <w:rPr>
                <w:sz w:val="20"/>
                <w:szCs w:val="20"/>
                <w:color w:val="auto"/>
              </w:rPr>
            </w:pPr>
            <w:r>
              <w:rPr>
                <w:rFonts w:ascii="Calibri" w:cs="Calibri" w:eastAsia="Calibri" w:hAnsi="Calibri"/>
                <w:sz w:val="18"/>
                <w:szCs w:val="18"/>
                <w:color w:val="auto"/>
                <w:w w:val="87"/>
              </w:rPr>
              <w:t>$</w:t>
            </w:r>
          </w:p>
        </w:tc>
        <w:tc>
          <w:tcPr>
            <w:tcW w:w="1120" w:type="dxa"/>
            <w:vAlign w:val="bottom"/>
            <w:tcBorders>
              <w:bottom w:val="single" w:sz="8" w:color="E7E6E6"/>
              <w:right w:val="single" w:sz="8" w:color="auto"/>
            </w:tcBorders>
            <w:shd w:val="clear" w:color="auto" w:fill="E7E6E6"/>
          </w:tcPr>
          <w:p>
            <w:pPr>
              <w:jc w:val="right"/>
              <w:ind w:right="30"/>
              <w:spacing w:after="0" w:line="208" w:lineRule="exact"/>
              <w:rPr>
                <w:sz w:val="20"/>
                <w:szCs w:val="20"/>
                <w:color w:val="auto"/>
              </w:rPr>
            </w:pPr>
            <w:r>
              <w:rPr>
                <w:rFonts w:ascii="Calibri" w:cs="Calibri" w:eastAsia="Calibri" w:hAnsi="Calibri"/>
                <w:sz w:val="18"/>
                <w:szCs w:val="18"/>
                <w:color w:val="auto"/>
              </w:rPr>
              <w:t>267,500</w:t>
            </w:r>
          </w:p>
        </w:tc>
      </w:tr>
      <w:tr>
        <w:trPr>
          <w:trHeight w:val="20"/>
        </w:trPr>
        <w:tc>
          <w:tcPr>
            <w:tcW w:w="24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400" w:type="dxa"/>
            <w:vAlign w:val="bottom"/>
            <w:tcBorders>
              <w:right w:val="single" w:sz="8" w:color="auto"/>
            </w:tcBorders>
            <w:shd w:val="clear" w:color="auto" w:fill="000000"/>
          </w:tcPr>
          <w:p>
            <w:pPr>
              <w:spacing w:after="0" w:line="20" w:lineRule="exact"/>
              <w:rPr>
                <w:sz w:val="1"/>
                <w:szCs w:val="1"/>
                <w:color w:val="auto"/>
              </w:rPr>
            </w:pPr>
          </w:p>
        </w:tc>
        <w:tc>
          <w:tcPr>
            <w:tcW w:w="1400" w:type="dxa"/>
            <w:vAlign w:val="bottom"/>
            <w:tcBorders>
              <w:right w:val="single" w:sz="8" w:color="auto"/>
            </w:tcBorders>
            <w:shd w:val="clear" w:color="auto" w:fill="000000"/>
          </w:tcPr>
          <w:p>
            <w:pPr>
              <w:spacing w:after="0" w:line="20" w:lineRule="exact"/>
              <w:rPr>
                <w:sz w:val="1"/>
                <w:szCs w:val="1"/>
                <w:color w:val="auto"/>
              </w:rPr>
            </w:pPr>
          </w:p>
        </w:tc>
        <w:tc>
          <w:tcPr>
            <w:tcW w:w="146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r>
    </w:tbl>
    <w:p>
      <w:pPr>
        <w:jc w:val="both"/>
        <w:ind w:left="380" w:hanging="372"/>
        <w:spacing w:after="0" w:line="230" w:lineRule="auto"/>
        <w:tabs>
          <w:tab w:leader="none" w:pos="380" w:val="left"/>
        </w:tabs>
        <w:numPr>
          <w:ilvl w:val="0"/>
          <w:numId w:val="28"/>
        </w:numPr>
        <w:rPr>
          <w:rFonts w:ascii="Calibri" w:cs="Calibri" w:eastAsia="Calibri" w:hAnsi="Calibri"/>
          <w:sz w:val="18"/>
          <w:szCs w:val="18"/>
          <w:color w:val="auto"/>
        </w:rPr>
      </w:pPr>
      <w:r>
        <w:rPr>
          <w:rFonts w:ascii="Calibri" w:cs="Calibri" w:eastAsia="Calibri" w:hAnsi="Calibri"/>
          <w:sz w:val="18"/>
          <w:szCs w:val="18"/>
          <w:color w:val="auto"/>
        </w:rPr>
        <w:t>Amounts in this column represent the dollar value of the annual retainer that was deposited in the director's account under the Company's Deferred Compensaton Plan in December 2023. At December 31, 2023, the number of common stock units in the Company Common Stock Fund for each of the directors was as follows: Mr. Bozich, 23,802 common stock units; Mr. Clarke, 23,732 common stock units; Ms. Gates, 4,318 common stock units; Mr. Hauser, 40,875 common stock units; Mr. Kissam, 13,583 common stock units; Ms. McReynolds, 51,358 common stock units; Mr. Rainbolt, 29,001 common stock units; Mr. Sanner, 46,160 common stock units; and Ms. Talton, 40,854 common stock units.</w:t>
      </w:r>
    </w:p>
    <w:p>
      <w:pPr>
        <w:spacing w:after="0" w:line="175" w:lineRule="exact"/>
        <w:rPr>
          <w:sz w:val="20"/>
          <w:szCs w:val="20"/>
          <w:color w:val="auto"/>
        </w:rPr>
      </w:pPr>
    </w:p>
    <w:p>
      <w:pPr>
        <w:spacing w:after="0"/>
        <w:tabs>
          <w:tab w:leader="none" w:pos="660" w:val="left"/>
        </w:tabs>
        <w:rPr>
          <w:sz w:val="20"/>
          <w:szCs w:val="20"/>
          <w:color w:val="auto"/>
        </w:rPr>
      </w:pPr>
      <w:r>
        <w:rPr>
          <w:rFonts w:ascii="Calibri" w:cs="Calibri" w:eastAsia="Calibri" w:hAnsi="Calibri"/>
          <w:sz w:val="18"/>
          <w:szCs w:val="18"/>
          <w:color w:val="auto"/>
        </w:rPr>
        <w:t>14</w:t>
      </w:r>
      <w:r>
        <w:rPr>
          <w:sz w:val="20"/>
          <w:szCs w:val="20"/>
          <w:color w:val="auto"/>
        </w:rPr>
        <w:tab/>
      </w:r>
      <w:r>
        <w:rPr>
          <w:rFonts w:ascii="Calibri" w:cs="Calibri" w:eastAsia="Calibri" w:hAnsi="Calibri"/>
          <w:sz w:val="18"/>
          <w:szCs w:val="18"/>
          <w:b w:val="1"/>
          <w:bCs w:val="1"/>
          <w:color w:val="EE2724"/>
        </w:rPr>
        <w:t xml:space="preserve">OGE Energy Corp. </w:t>
      </w:r>
      <w:r>
        <w:rPr>
          <w:rFonts w:ascii="Calibri" w:cs="Calibri" w:eastAsia="Calibri" w:hAnsi="Calibri"/>
          <w:sz w:val="18"/>
          <w:szCs w:val="18"/>
          <w:color w:val="00000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20" w:name="page21"/>
    <w:bookmarkEnd w:id="20"/>
    <w:p>
      <w:pPr>
        <w:spacing w:after="0" w:line="23" w:lineRule="exact"/>
        <w:rPr>
          <w:sz w:val="20"/>
          <w:szCs w:val="20"/>
          <w:color w:val="auto"/>
        </w:rPr>
      </w:pPr>
    </w:p>
    <w:p>
      <w:pPr>
        <w:ind w:left="60"/>
        <w:spacing w:after="0"/>
        <w:rPr>
          <w:sz w:val="20"/>
          <w:szCs w:val="20"/>
          <w:color w:val="auto"/>
        </w:rPr>
      </w:pPr>
      <w:r>
        <w:rPr>
          <w:rFonts w:ascii="Calibri" w:cs="Calibri" w:eastAsia="Calibri" w:hAnsi="Calibri"/>
          <w:sz w:val="25"/>
          <w:szCs w:val="25"/>
          <w:b w:val="1"/>
          <w:bCs w:val="1"/>
          <w:color w:val="auto"/>
        </w:rPr>
        <w:t>PROPOSAL NO. 1 -</w:t>
      </w:r>
    </w:p>
    <w:p>
      <w:pPr>
        <w:spacing w:after="0" w:line="34" w:lineRule="exact"/>
        <w:rPr>
          <w:sz w:val="20"/>
          <w:szCs w:val="20"/>
          <w:color w:val="auto"/>
        </w:rPr>
      </w:pPr>
    </w:p>
    <w:p>
      <w:pPr>
        <w:ind w:left="60"/>
        <w:spacing w:after="0"/>
        <w:rPr>
          <w:sz w:val="20"/>
          <w:szCs w:val="20"/>
          <w:color w:val="auto"/>
        </w:rPr>
      </w:pPr>
      <w:r>
        <w:rPr>
          <w:rFonts w:ascii="Calibri" w:cs="Calibri" w:eastAsia="Calibri" w:hAnsi="Calibri"/>
          <w:sz w:val="22"/>
          <w:szCs w:val="22"/>
          <w:b w:val="1"/>
          <w:bCs w:val="1"/>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8"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The Board of Directors of the Company currently consists of 10 members. The term of each director will expire at this year's Annual Meetng of Shareholders. The following persons are the nominees of the Board to be elected for a one-year term at the Annual Meetng of Shareholders to be held on May 16, 2024: Mr. Frank A. Bozich, Mr. Peter D. Clarke, Ms. Cathy R. Gates, Mr. David L. Hauser, Mr. Luther C. Kissam, Ms. Judy R. McReynolds, Mr. David E. Rainbolt, Mr. J. Michael Sanner, Ms. Sheila G. Talton and Mr. Sean Trauschke. The term of each nominee will contnue untl their successors are elected and qualifed. Each of these nominees is currently a director of the Company and OG&amp;E.</w:t>
      </w:r>
    </w:p>
    <w:p>
      <w:pPr>
        <w:spacing w:after="0" w:line="180"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Proxies solicited by the Board of Directors will be voted "FOR" the electon of each of the 10 nominees as director, unless a diferent vote is specifed. The Board of Directors does not know of any nominee who will be unable to serve, but if any of them should be unable to serve, the proxy holder may vote for a substtute nominee. All nominees own less than 0.3 percent of any class of votng securites of the Company.</w:t>
      </w:r>
    </w:p>
    <w:p>
      <w:pPr>
        <w:spacing w:after="0" w:line="214" w:lineRule="exact"/>
        <w:rPr>
          <w:sz w:val="20"/>
          <w:szCs w:val="20"/>
          <w:color w:val="auto"/>
        </w:rPr>
      </w:pPr>
    </w:p>
    <w:p>
      <w:pPr>
        <w:ind w:left="380"/>
        <w:spacing w:after="0"/>
        <w:rPr>
          <w:sz w:val="20"/>
          <w:szCs w:val="20"/>
          <w:color w:val="auto"/>
        </w:rPr>
      </w:pPr>
      <w:r>
        <w:rPr>
          <w:rFonts w:ascii="Calibri" w:cs="Calibri" w:eastAsia="Calibri" w:hAnsi="Calibri"/>
          <w:sz w:val="18"/>
          <w:szCs w:val="18"/>
          <w:color w:val="auto"/>
        </w:rPr>
        <w:t>The following contains certain informaton concerning the nominees for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0"/>
        <w:spacing w:after="0"/>
        <w:rPr>
          <w:sz w:val="20"/>
          <w:szCs w:val="20"/>
          <w:color w:val="auto"/>
        </w:rPr>
      </w:pPr>
      <w:r>
        <w:rPr>
          <w:rFonts w:ascii="Calibri" w:cs="Calibri" w:eastAsia="Calibri" w:hAnsi="Calibri"/>
          <w:sz w:val="18"/>
          <w:szCs w:val="18"/>
          <w:b w:val="1"/>
          <w:bCs w:val="1"/>
          <w:u w:val="single" w:color="auto"/>
          <w:color w:val="auto"/>
        </w:rPr>
        <w:t>Frank A. Bozich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-1364615</wp:posOffset>
            </wp:positionV>
            <wp:extent cx="822960" cy="12084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2960" cy="1208405"/>
                    </a:xfrm>
                    <a:prstGeom prst="rect">
                      <a:avLst/>
                    </a:prstGeom>
                    <a:noFill/>
                  </pic:spPr>
                </pic:pic>
              </a:graphicData>
            </a:graphic>
          </wp:anchor>
        </w:drawing>
      </w:r>
    </w:p>
    <w:p>
      <w:pPr>
        <w:spacing w:after="0" w:line="192" w:lineRule="exact"/>
        <w:rPr>
          <w:sz w:val="20"/>
          <w:szCs w:val="20"/>
          <w:color w:val="auto"/>
        </w:rPr>
      </w:pPr>
    </w:p>
    <w:p>
      <w:pPr>
        <w:ind w:left="60"/>
        <w:spacing w:after="0"/>
        <w:rPr>
          <w:sz w:val="20"/>
          <w:szCs w:val="20"/>
          <w:color w:val="auto"/>
        </w:rPr>
      </w:pPr>
      <w:r>
        <w:rPr>
          <w:rFonts w:ascii="Calibri" w:cs="Calibri" w:eastAsia="Calibri" w:hAnsi="Calibri"/>
          <w:sz w:val="18"/>
          <w:szCs w:val="18"/>
          <w:b w:val="1"/>
          <w:bCs w:val="1"/>
          <w:color w:val="auto"/>
        </w:rPr>
        <w:t>President and CEO, Trinseo PLC</w:t>
      </w:r>
    </w:p>
    <w:p>
      <w:pPr>
        <w:spacing w:after="0" w:line="212" w:lineRule="exact"/>
        <w:rPr>
          <w:sz w:val="20"/>
          <w:szCs w:val="20"/>
          <w:color w:val="auto"/>
        </w:rPr>
      </w:pPr>
    </w:p>
    <w:p>
      <w:pPr>
        <w:ind w:left="60"/>
        <w:spacing w:after="0"/>
        <w:rPr>
          <w:sz w:val="20"/>
          <w:szCs w:val="20"/>
          <w:color w:val="auto"/>
        </w:rPr>
      </w:pPr>
      <w:r>
        <w:rPr>
          <w:rFonts w:ascii="Calibri" w:cs="Calibri" w:eastAsia="Calibri" w:hAnsi="Calibri"/>
          <w:sz w:val="18"/>
          <w:szCs w:val="18"/>
          <w:b w:val="1"/>
          <w:bCs w:val="1"/>
          <w:u w:val="single" w:color="auto"/>
          <w:color w:val="auto"/>
        </w:rPr>
        <w:t>Age: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63</w:t>
      </w:r>
    </w:p>
    <w:p>
      <w:pPr>
        <w:spacing w:after="0" w:line="212" w:lineRule="exact"/>
        <w:rPr>
          <w:sz w:val="20"/>
          <w:szCs w:val="20"/>
          <w:color w:val="auto"/>
        </w:rPr>
      </w:pPr>
    </w:p>
    <w:p>
      <w:pPr>
        <w:ind w:left="60"/>
        <w:spacing w:after="0"/>
        <w:rPr>
          <w:sz w:val="20"/>
          <w:szCs w:val="20"/>
          <w:color w:val="auto"/>
        </w:rPr>
      </w:pPr>
      <w:r>
        <w:rPr>
          <w:rFonts w:ascii="Calibri" w:cs="Calibri" w:eastAsia="Calibri" w:hAnsi="Calibri"/>
          <w:sz w:val="18"/>
          <w:szCs w:val="18"/>
          <w:b w:val="1"/>
          <w:bCs w:val="1"/>
          <w:u w:val="single" w:color="auto"/>
          <w:color w:val="auto"/>
        </w:rPr>
        <w:t>Director Since: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2016</w:t>
      </w:r>
    </w:p>
    <w:p>
      <w:pPr>
        <w:spacing w:after="0" w:line="212" w:lineRule="exact"/>
        <w:rPr>
          <w:sz w:val="20"/>
          <w:szCs w:val="20"/>
          <w:color w:val="auto"/>
        </w:rPr>
      </w:pPr>
    </w:p>
    <w:p>
      <w:pPr>
        <w:ind w:left="60"/>
        <w:spacing w:after="0"/>
        <w:rPr>
          <w:sz w:val="20"/>
          <w:szCs w:val="20"/>
          <w:color w:val="auto"/>
        </w:rPr>
      </w:pPr>
      <w:r>
        <w:rPr>
          <w:rFonts w:ascii="Calibri" w:cs="Calibri" w:eastAsia="Calibri" w:hAnsi="Calibri"/>
          <w:sz w:val="18"/>
          <w:szCs w:val="18"/>
          <w:b w:val="1"/>
          <w:bCs w:val="1"/>
          <w:u w:val="single" w:color="auto"/>
          <w:color w:val="auto"/>
        </w:rPr>
        <w:t>Commitees:</w:t>
      </w:r>
    </w:p>
    <w:p>
      <w:pPr>
        <w:ind w:left="60"/>
        <w:spacing w:after="0" w:line="235" w:lineRule="auto"/>
        <w:rPr>
          <w:sz w:val="20"/>
          <w:szCs w:val="20"/>
          <w:color w:val="auto"/>
        </w:rPr>
      </w:pPr>
      <w:r>
        <w:rPr>
          <w:rFonts w:ascii="Calibri" w:cs="Calibri" w:eastAsia="Calibri" w:hAnsi="Calibri"/>
          <w:sz w:val="18"/>
          <w:szCs w:val="18"/>
          <w:color w:val="auto"/>
        </w:rPr>
        <w:t>Compensaton</w:t>
      </w:r>
    </w:p>
    <w:p>
      <w:pPr>
        <w:spacing w:after="0" w:line="2" w:lineRule="exact"/>
        <w:rPr>
          <w:sz w:val="20"/>
          <w:szCs w:val="20"/>
          <w:color w:val="auto"/>
        </w:rPr>
      </w:pPr>
    </w:p>
    <w:p>
      <w:pPr>
        <w:ind w:left="60"/>
        <w:spacing w:after="0"/>
        <w:rPr>
          <w:sz w:val="20"/>
          <w:szCs w:val="20"/>
          <w:color w:val="auto"/>
        </w:rPr>
      </w:pPr>
      <w:r>
        <w:rPr>
          <w:rFonts w:ascii="Calibri" w:cs="Calibri" w:eastAsia="Calibri" w:hAnsi="Calibri"/>
          <w:sz w:val="17"/>
          <w:szCs w:val="17"/>
          <w:color w:val="auto"/>
        </w:rPr>
        <w:t>Nominatng, Corporate Governance</w:t>
      </w:r>
    </w:p>
    <w:p>
      <w:pPr>
        <w:spacing w:after="0" w:line="4" w:lineRule="exact"/>
        <w:rPr>
          <w:sz w:val="20"/>
          <w:szCs w:val="20"/>
          <w:color w:val="auto"/>
        </w:rPr>
      </w:pPr>
    </w:p>
    <w:p>
      <w:pPr>
        <w:ind w:left="60"/>
        <w:spacing w:after="0"/>
        <w:rPr>
          <w:sz w:val="20"/>
          <w:szCs w:val="20"/>
          <w:color w:val="auto"/>
        </w:rPr>
      </w:pPr>
      <w:r>
        <w:rPr>
          <w:rFonts w:ascii="Calibri" w:cs="Calibri" w:eastAsia="Calibri" w:hAnsi="Calibri"/>
          <w:sz w:val="18"/>
          <w:szCs w:val="18"/>
          <w:color w:val="auto"/>
        </w:rPr>
        <w:t>and Stewardship</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i w:val="1"/>
          <w:iCs w:val="1"/>
          <w:color w:val="auto"/>
        </w:rPr>
        <w:t>Professional Experience</w:t>
      </w:r>
      <w:r>
        <w:rPr>
          <w:rFonts w:ascii="Calibri" w:cs="Calibri" w:eastAsia="Calibri" w:hAnsi="Calibri"/>
          <w:sz w:val="18"/>
          <w:szCs w:val="18"/>
          <w:color w:val="auto"/>
        </w:rPr>
        <w:t>: Mr. Bozich is President and CEO at Trinseo PLC, a global materials company and</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manufacturer of plastcs, latex binders and synthetc rubber. He has served as President and CEO of Trinseo since March 2019. Mr. Bozich has been a member of Trinseo's board of directors since July 2019. Prior to joining Trinseo, from 2013 to 2019, Mr. Bozich was the Chief Executve Ofcer of the SI Group, Inc., a global developer and manufacturer of phenolic resins and chemicals. Mr. Bozich also previously held several executve management positons at BASF Corporaton, a mult-natonal chemicals and manufacturing corporaton, including President of BASF's Catalysts Division from 2010 to 2013, Group Vice President of Precious and Base Metal Service and Group Vice President of the Integraton Management Ofce. Mr. Bozich previously served as a director of SI Group, Inc. and other private or non-proft organizatons.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i w:val="1"/>
          <w:iCs w:val="1"/>
          <w:color w:val="auto"/>
        </w:rPr>
        <w:t xml:space="preserve">Qualifcatons: </w:t>
      </w:r>
      <w:r>
        <w:rPr>
          <w:rFonts w:ascii="Calibri" w:cs="Calibri" w:eastAsia="Calibri" w:hAnsi="Calibri"/>
          <w:sz w:val="18"/>
          <w:szCs w:val="18"/>
          <w:color w:val="auto"/>
        </w:rPr>
        <w:t>The Board concluded that Mr. Bozich should contnue serving as a director of the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Company based on his executve leadership as the chief executve ofcer of a publicly-traded company, his customer perspectve in leading and developing manufacturing businesses that rely heavily on energy services and products such as those delivered by the Company, his ESG experience in leading companies subject to extensive environmental regulatons, and his risk oversight experience developed over many years of leadership at publicly-traded and large private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394970</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40" w:space="720"/>
            <w:col w:w="748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tabs>
          <w:tab w:leader="none" w:pos="660" w:val="left"/>
        </w:tabs>
        <w:rPr>
          <w:sz w:val="20"/>
          <w:szCs w:val="20"/>
          <w:color w:val="auto"/>
        </w:rPr>
      </w:pPr>
      <w:r>
        <w:rPr>
          <w:rFonts w:ascii="Calibri" w:cs="Calibri" w:eastAsia="Calibri" w:hAnsi="Calibri"/>
          <w:sz w:val="17"/>
          <w:szCs w:val="17"/>
          <w:color w:val="auto"/>
        </w:rPr>
        <w:t>15</w:t>
      </w:r>
      <w:r>
        <w:rPr>
          <w:sz w:val="20"/>
          <w:szCs w:val="20"/>
          <w:color w:val="auto"/>
        </w:rPr>
        <w:tab/>
      </w:r>
      <w:r>
        <w:rPr>
          <w:rFonts w:ascii="Calibri" w:cs="Calibri" w:eastAsia="Calibri" w:hAnsi="Calibri"/>
          <w:sz w:val="17"/>
          <w:szCs w:val="17"/>
          <w:b w:val="1"/>
          <w:bCs w:val="1"/>
          <w:color w:val="EE2724"/>
        </w:rPr>
        <w:t xml:space="preserve">OGE Energy Corp. </w:t>
      </w:r>
      <w:r>
        <w:rPr>
          <w:rFonts w:ascii="Calibri" w:cs="Calibri" w:eastAsia="Calibri" w:hAnsi="Calibri"/>
          <w:sz w:val="17"/>
          <w:szCs w:val="17"/>
          <w:color w:val="00000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1" w:name="page22"/>
    <w:bookmarkEnd w:id="21"/>
    <w:p>
      <w:pPr>
        <w:jc w:val="both"/>
        <w:ind w:left="3760"/>
        <w:spacing w:after="0" w:line="235" w:lineRule="auto"/>
        <w:rPr>
          <w:sz w:val="20"/>
          <w:szCs w:val="20"/>
          <w:color w:val="auto"/>
        </w:rPr>
      </w:pPr>
      <w:r>
        <w:rPr>
          <w:rFonts w:ascii="Calibri" w:cs="Calibri" w:eastAsia="Calibri" w:hAnsi="Calibri"/>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749300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t xml:space="preserve">Professional Experience: </w:t>
      </w:r>
      <w:r>
        <w:rPr>
          <w:rFonts w:ascii="Calibri" w:cs="Calibri" w:eastAsia="Calibri" w:hAnsi="Calibri"/>
          <w:sz w:val="18"/>
          <w:szCs w:val="18"/>
          <w:color w:val="auto"/>
        </w:rPr>
        <w:t>Mr. Clarke is a retred energy lawyer with the Jones Day law frm. Mr. Clarke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served as a partner of Jones Day from 2001 through 2016 and served as Co-Chair of the energy practce at Jones Day. Prior to his retrement from the frm at the end of 2017, he was employed by Jones Day as Of-Counsel for the period of January 1, 2017 through December 31, 2017. Mr. Clarke worked as legal counsel representng the public utlity and energy industries for more than 40 years. His energy practce focused on corporate fnance, disclosure obligatons under the federal securites laws, corporate governance and mergers and acquisitons. Mr. Clarke has also partcipated in a variety of community, charitable and professional organizatons.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-1078230</wp:posOffset>
            </wp:positionV>
            <wp:extent cx="865505" cy="12084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65505" cy="1208405"/>
                    </a:xfrm>
                    <a:prstGeom prst="rect">
                      <a:avLst/>
                    </a:prstGeom>
                    <a:noFill/>
                  </pic:spPr>
                </pic:pic>
              </a:graphicData>
            </a:graphic>
          </wp:anchor>
        </w:drawing>
      </w:r>
    </w:p>
    <w:p>
      <w:pPr>
        <w:sectPr>
          <w:pgSz w:w="11900" w:h="16838" w:orient="portrait"/>
          <w:cols w:equalWidth="0" w:num="1">
            <w:col w:w="11200"/>
          </w:cols>
          <w:pgMar w:left="320" w:top="1238" w:right="379" w:bottom="1440" w:gutter="0" w:footer="0" w:header="0"/>
        </w:sectPr>
      </w:pPr>
    </w:p>
    <w:p>
      <w:pPr>
        <w:spacing w:after="0" w:line="231" w:lineRule="exact"/>
        <w:rPr>
          <w:sz w:val="20"/>
          <w:szCs w:val="20"/>
          <w:color w:val="auto"/>
        </w:rPr>
      </w:pPr>
    </w:p>
    <w:p>
      <w:pPr>
        <w:ind w:left="60"/>
        <w:spacing w:after="0"/>
        <w:rPr>
          <w:sz w:val="20"/>
          <w:szCs w:val="20"/>
          <w:color w:val="auto"/>
        </w:rPr>
      </w:pPr>
      <w:r>
        <w:rPr>
          <w:rFonts w:ascii="Calibri" w:cs="Calibri" w:eastAsia="Calibri" w:hAnsi="Calibri"/>
          <w:sz w:val="18"/>
          <w:szCs w:val="18"/>
          <w:b w:val="1"/>
          <w:bCs w:val="1"/>
          <w:u w:val="single" w:color="auto"/>
          <w:color w:val="auto"/>
        </w:rPr>
        <w:t>Peter D. Clarke</w:t>
      </w:r>
    </w:p>
    <w:p>
      <w:pPr>
        <w:spacing w:after="0" w:line="212" w:lineRule="exact"/>
        <w:rPr>
          <w:sz w:val="20"/>
          <w:szCs w:val="20"/>
          <w:color w:val="auto"/>
        </w:rPr>
      </w:pPr>
    </w:p>
    <w:p>
      <w:pPr>
        <w:ind w:left="60"/>
        <w:spacing w:after="0"/>
        <w:rPr>
          <w:sz w:val="20"/>
          <w:szCs w:val="20"/>
          <w:color w:val="auto"/>
        </w:rPr>
      </w:pPr>
      <w:r>
        <w:rPr>
          <w:rFonts w:ascii="Calibri" w:cs="Calibri" w:eastAsia="Calibri" w:hAnsi="Calibri"/>
          <w:sz w:val="18"/>
          <w:szCs w:val="18"/>
          <w:b w:val="1"/>
          <w:bCs w:val="1"/>
          <w:color w:val="auto"/>
        </w:rPr>
        <w:t>Retred Partner, Jones Day</w:t>
      </w:r>
    </w:p>
    <w:p>
      <w:pPr>
        <w:spacing w:after="0" w:line="212" w:lineRule="exact"/>
        <w:rPr>
          <w:sz w:val="20"/>
          <w:szCs w:val="20"/>
          <w:color w:val="auto"/>
        </w:rPr>
      </w:pPr>
    </w:p>
    <w:p>
      <w:pPr>
        <w:ind w:left="60"/>
        <w:spacing w:after="0"/>
        <w:rPr>
          <w:sz w:val="20"/>
          <w:szCs w:val="20"/>
          <w:color w:val="auto"/>
        </w:rPr>
      </w:pPr>
      <w:r>
        <w:rPr>
          <w:rFonts w:ascii="Calibri" w:cs="Calibri" w:eastAsia="Calibri" w:hAnsi="Calibri"/>
          <w:sz w:val="18"/>
          <w:szCs w:val="18"/>
          <w:b w:val="1"/>
          <w:bCs w:val="1"/>
          <w:u w:val="single" w:color="auto"/>
          <w:color w:val="auto"/>
        </w:rPr>
        <w:t>Age: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73</w:t>
      </w:r>
    </w:p>
    <w:p>
      <w:pPr>
        <w:spacing w:after="0" w:line="212" w:lineRule="exact"/>
        <w:rPr>
          <w:sz w:val="20"/>
          <w:szCs w:val="20"/>
          <w:color w:val="auto"/>
        </w:rPr>
      </w:pPr>
    </w:p>
    <w:p>
      <w:pPr>
        <w:ind w:left="60"/>
        <w:spacing w:after="0"/>
        <w:rPr>
          <w:sz w:val="20"/>
          <w:szCs w:val="20"/>
          <w:color w:val="auto"/>
        </w:rPr>
      </w:pPr>
      <w:r>
        <w:rPr>
          <w:rFonts w:ascii="Calibri" w:cs="Calibri" w:eastAsia="Calibri" w:hAnsi="Calibri"/>
          <w:sz w:val="18"/>
          <w:szCs w:val="18"/>
          <w:b w:val="1"/>
          <w:bCs w:val="1"/>
          <w:u w:val="single" w:color="auto"/>
          <w:color w:val="auto"/>
        </w:rPr>
        <w:t>Director Since: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2018</w:t>
      </w:r>
    </w:p>
    <w:p>
      <w:pPr>
        <w:spacing w:after="0" w:line="212" w:lineRule="exact"/>
        <w:rPr>
          <w:sz w:val="20"/>
          <w:szCs w:val="20"/>
          <w:color w:val="auto"/>
        </w:rPr>
      </w:pPr>
    </w:p>
    <w:p>
      <w:pPr>
        <w:ind w:left="60"/>
        <w:spacing w:after="0"/>
        <w:rPr>
          <w:sz w:val="20"/>
          <w:szCs w:val="20"/>
          <w:color w:val="auto"/>
        </w:rPr>
      </w:pPr>
      <w:r>
        <w:rPr>
          <w:rFonts w:ascii="Calibri" w:cs="Calibri" w:eastAsia="Calibri" w:hAnsi="Calibri"/>
          <w:sz w:val="18"/>
          <w:szCs w:val="18"/>
          <w:b w:val="1"/>
          <w:bCs w:val="1"/>
          <w:u w:val="single" w:color="auto"/>
          <w:color w:val="auto"/>
        </w:rPr>
        <w:t>Commitees:</w:t>
      </w:r>
    </w:p>
    <w:p>
      <w:pPr>
        <w:ind w:left="60"/>
        <w:spacing w:after="0" w:line="235" w:lineRule="auto"/>
        <w:rPr>
          <w:sz w:val="20"/>
          <w:szCs w:val="20"/>
          <w:color w:val="auto"/>
        </w:rPr>
      </w:pPr>
      <w:r>
        <w:rPr>
          <w:rFonts w:ascii="Calibri" w:cs="Calibri" w:eastAsia="Calibri" w:hAnsi="Calibri"/>
          <w:sz w:val="18"/>
          <w:szCs w:val="18"/>
          <w:color w:val="auto"/>
        </w:rPr>
        <w:t>Audit</w:t>
      </w:r>
    </w:p>
    <w:p>
      <w:pPr>
        <w:spacing w:after="0" w:line="2" w:lineRule="exact"/>
        <w:rPr>
          <w:sz w:val="20"/>
          <w:szCs w:val="20"/>
          <w:color w:val="auto"/>
        </w:rPr>
      </w:pPr>
    </w:p>
    <w:p>
      <w:pPr>
        <w:ind w:left="60"/>
        <w:spacing w:after="0"/>
        <w:rPr>
          <w:sz w:val="20"/>
          <w:szCs w:val="20"/>
          <w:color w:val="auto"/>
        </w:rPr>
      </w:pPr>
      <w:r>
        <w:rPr>
          <w:rFonts w:ascii="Calibri" w:cs="Calibri" w:eastAsia="Calibri" w:hAnsi="Calibri"/>
          <w:sz w:val="17"/>
          <w:szCs w:val="17"/>
          <w:color w:val="auto"/>
        </w:rPr>
        <w:t>Nominatng, Corporate Governance</w:t>
      </w:r>
    </w:p>
    <w:p>
      <w:pPr>
        <w:spacing w:after="0" w:line="4" w:lineRule="exact"/>
        <w:rPr>
          <w:sz w:val="20"/>
          <w:szCs w:val="20"/>
          <w:color w:val="auto"/>
        </w:rPr>
      </w:pPr>
    </w:p>
    <w:p>
      <w:pPr>
        <w:ind w:left="60"/>
        <w:spacing w:after="0"/>
        <w:rPr>
          <w:sz w:val="20"/>
          <w:szCs w:val="20"/>
          <w:color w:val="auto"/>
        </w:rPr>
      </w:pPr>
      <w:r>
        <w:rPr>
          <w:rFonts w:ascii="Calibri" w:cs="Calibri" w:eastAsia="Calibri" w:hAnsi="Calibri"/>
          <w:sz w:val="18"/>
          <w:szCs w:val="18"/>
          <w:color w:val="auto"/>
        </w:rPr>
        <w:t>and Stewardship, Chair</w:t>
      </w:r>
    </w:p>
    <w:p>
      <w:pPr>
        <w:ind w:left="60"/>
        <w:spacing w:after="0" w:line="235" w:lineRule="auto"/>
        <w:rPr>
          <w:sz w:val="20"/>
          <w:szCs w:val="20"/>
          <w:color w:val="auto"/>
        </w:rPr>
      </w:pPr>
      <w:r>
        <w:rPr>
          <w:rFonts w:ascii="Calibri" w:cs="Calibri" w:eastAsia="Calibri" w:hAnsi="Calibri"/>
          <w:sz w:val="18"/>
          <w:szCs w:val="18"/>
          <w:color w:val="auto"/>
        </w:rPr>
        <w:t>Executve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auto"/>
        </w:rPr>
        <w:t>Qualifcatons</w:t>
      </w:r>
      <w:r>
        <w:rPr>
          <w:rFonts w:ascii="Calibri" w:cs="Calibri" w:eastAsia="Calibri" w:hAnsi="Calibri"/>
          <w:sz w:val="18"/>
          <w:szCs w:val="18"/>
          <w:color w:val="auto"/>
        </w:rPr>
        <w:t>: The Board concluded that Mr. Clarke should contnue serving as a director of the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Company based on his utlity/regulatory knowledge of the utlity industry generally and of the Company specifcally, his corporate governance/legal experience relatng to the energy and public utlity industries, and his fnancial acumen/literacy related to corporate fnance.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668020</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813435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3" w:lineRule="exact"/>
        <w:rPr>
          <w:sz w:val="20"/>
          <w:szCs w:val="20"/>
          <w:color w:val="auto"/>
        </w:rPr>
      </w:pPr>
    </w:p>
    <w:p>
      <w:pPr>
        <w:sectPr>
          <w:pgSz w:w="11900" w:h="16838" w:orient="portrait"/>
          <w:cols w:equalWidth="0" w:num="2">
            <w:col w:w="3040" w:space="720"/>
            <w:col w:w="7440"/>
          </w:cols>
          <w:pgMar w:left="320" w:top="1238"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0"/>
        <w:spacing w:after="0"/>
        <w:rPr>
          <w:sz w:val="20"/>
          <w:szCs w:val="20"/>
          <w:color w:val="auto"/>
        </w:rPr>
      </w:pPr>
      <w:r>
        <w:rPr>
          <w:rFonts w:ascii="Calibri" w:cs="Calibri" w:eastAsia="Calibri" w:hAnsi="Calibri"/>
          <w:sz w:val="18"/>
          <w:szCs w:val="18"/>
          <w:b w:val="1"/>
          <w:bCs w:val="1"/>
          <w:u w:val="single" w:color="auto"/>
          <w:color w:val="auto"/>
        </w:rPr>
        <w:t>Cathy R. Gates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-1373505</wp:posOffset>
            </wp:positionV>
            <wp:extent cx="848360" cy="12172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48360" cy="1217295"/>
                    </a:xfrm>
                    <a:prstGeom prst="rect">
                      <a:avLst/>
                    </a:prstGeom>
                    <a:noFill/>
                  </pic:spPr>
                </pic:pic>
              </a:graphicData>
            </a:graphic>
          </wp:anchor>
        </w:drawing>
      </w:r>
    </w:p>
    <w:p>
      <w:pPr>
        <w:spacing w:after="0" w:line="192" w:lineRule="exact"/>
        <w:rPr>
          <w:sz w:val="20"/>
          <w:szCs w:val="20"/>
          <w:color w:val="auto"/>
        </w:rPr>
      </w:pPr>
    </w:p>
    <w:p>
      <w:pPr>
        <w:ind w:left="60"/>
        <w:spacing w:after="0"/>
        <w:rPr>
          <w:sz w:val="20"/>
          <w:szCs w:val="20"/>
          <w:color w:val="auto"/>
        </w:rPr>
      </w:pPr>
      <w:r>
        <w:rPr>
          <w:rFonts w:ascii="Calibri" w:cs="Calibri" w:eastAsia="Calibri" w:hAnsi="Calibri"/>
          <w:sz w:val="18"/>
          <w:szCs w:val="18"/>
          <w:b w:val="1"/>
          <w:bCs w:val="1"/>
          <w:color w:val="auto"/>
        </w:rPr>
        <w:t>Retred Partner,</w:t>
      </w:r>
    </w:p>
    <w:p>
      <w:pPr>
        <w:ind w:left="60"/>
        <w:spacing w:after="0" w:line="235" w:lineRule="auto"/>
        <w:rPr>
          <w:sz w:val="20"/>
          <w:szCs w:val="20"/>
          <w:color w:val="auto"/>
        </w:rPr>
      </w:pPr>
      <w:r>
        <w:rPr>
          <w:rFonts w:ascii="Calibri" w:cs="Calibri" w:eastAsia="Calibri" w:hAnsi="Calibri"/>
          <w:sz w:val="18"/>
          <w:szCs w:val="18"/>
          <w:b w:val="1"/>
          <w:bCs w:val="1"/>
          <w:color w:val="auto"/>
        </w:rPr>
        <w:t>Ernst &amp; Young LLP</w:t>
      </w:r>
    </w:p>
    <w:p>
      <w:pPr>
        <w:spacing w:after="0" w:line="213" w:lineRule="exact"/>
        <w:rPr>
          <w:sz w:val="20"/>
          <w:szCs w:val="20"/>
          <w:color w:val="auto"/>
        </w:rPr>
      </w:pPr>
    </w:p>
    <w:p>
      <w:pPr>
        <w:ind w:left="60"/>
        <w:spacing w:after="0"/>
        <w:rPr>
          <w:sz w:val="20"/>
          <w:szCs w:val="20"/>
          <w:color w:val="auto"/>
        </w:rPr>
      </w:pPr>
      <w:r>
        <w:rPr>
          <w:rFonts w:ascii="Calibri" w:cs="Calibri" w:eastAsia="Calibri" w:hAnsi="Calibri"/>
          <w:sz w:val="18"/>
          <w:szCs w:val="18"/>
          <w:b w:val="1"/>
          <w:bCs w:val="1"/>
          <w:u w:val="single" w:color="auto"/>
          <w:color w:val="auto"/>
        </w:rPr>
        <w:t>Age: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65</w:t>
      </w:r>
    </w:p>
    <w:p>
      <w:pPr>
        <w:spacing w:after="0" w:line="217" w:lineRule="exact"/>
        <w:rPr>
          <w:sz w:val="20"/>
          <w:szCs w:val="20"/>
          <w:color w:val="auto"/>
        </w:rPr>
      </w:pPr>
    </w:p>
    <w:p>
      <w:pPr>
        <w:ind w:left="60"/>
        <w:spacing w:after="0"/>
        <w:rPr>
          <w:sz w:val="20"/>
          <w:szCs w:val="20"/>
          <w:color w:val="auto"/>
        </w:rPr>
      </w:pPr>
      <w:r>
        <w:rPr>
          <w:rFonts w:ascii="Calibri" w:cs="Calibri" w:eastAsia="Calibri" w:hAnsi="Calibri"/>
          <w:sz w:val="17"/>
          <w:szCs w:val="17"/>
          <w:b w:val="1"/>
          <w:bCs w:val="1"/>
          <w:u w:val="single" w:color="auto"/>
          <w:color w:val="auto"/>
        </w:rPr>
        <w:t>Director Since:</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2023</w:t>
      </w:r>
    </w:p>
    <w:p>
      <w:pPr>
        <w:spacing w:after="0" w:line="220" w:lineRule="exact"/>
        <w:rPr>
          <w:sz w:val="20"/>
          <w:szCs w:val="20"/>
          <w:color w:val="auto"/>
        </w:rPr>
      </w:pPr>
    </w:p>
    <w:p>
      <w:pPr>
        <w:ind w:left="60"/>
        <w:spacing w:after="0"/>
        <w:rPr>
          <w:sz w:val="20"/>
          <w:szCs w:val="20"/>
          <w:color w:val="auto"/>
        </w:rPr>
      </w:pPr>
      <w:r>
        <w:rPr>
          <w:rFonts w:ascii="Calibri" w:cs="Calibri" w:eastAsia="Calibri" w:hAnsi="Calibri"/>
          <w:sz w:val="18"/>
          <w:szCs w:val="18"/>
          <w:b w:val="1"/>
          <w:bCs w:val="1"/>
          <w:u w:val="single" w:color="auto"/>
          <w:color w:val="auto"/>
        </w:rPr>
        <w:t>Commitees:</w:t>
      </w:r>
    </w:p>
    <w:p>
      <w:pPr>
        <w:ind w:left="60"/>
        <w:spacing w:after="0" w:line="235" w:lineRule="auto"/>
        <w:rPr>
          <w:sz w:val="20"/>
          <w:szCs w:val="20"/>
          <w:color w:val="auto"/>
        </w:rPr>
      </w:pPr>
      <w:r>
        <w:rPr>
          <w:rFonts w:ascii="Calibri" w:cs="Calibri" w:eastAsia="Calibri" w:hAnsi="Calibri"/>
          <w:sz w:val="18"/>
          <w:szCs w:val="18"/>
          <w:color w:val="auto"/>
        </w:rPr>
        <w:t>Compensaton</w:t>
      </w:r>
    </w:p>
    <w:p>
      <w:pPr>
        <w:ind w:left="60"/>
        <w:spacing w:after="0" w:line="236" w:lineRule="auto"/>
        <w:rPr>
          <w:sz w:val="20"/>
          <w:szCs w:val="20"/>
          <w:color w:val="auto"/>
        </w:rPr>
      </w:pPr>
      <w:r>
        <w:rPr>
          <w:rFonts w:ascii="Calibri" w:cs="Calibri" w:eastAsia="Calibri" w:hAnsi="Calibri"/>
          <w:sz w:val="18"/>
          <w:szCs w:val="18"/>
          <w:color w:val="auto"/>
        </w:rPr>
        <w:t>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i w:val="1"/>
          <w:iCs w:val="1"/>
          <w:color w:val="auto"/>
        </w:rPr>
        <w:t>Professional Experience</w:t>
      </w:r>
      <w:r>
        <w:rPr>
          <w:rFonts w:ascii="Calibri" w:cs="Calibri" w:eastAsia="Calibri" w:hAnsi="Calibri"/>
          <w:sz w:val="17"/>
          <w:szCs w:val="17"/>
          <w:color w:val="auto"/>
        </w:rPr>
        <w:t>: Ms. Gates was an assurance partner for Ernst &amp; Young LLP, based in their Tulsa</w:t>
      </w:r>
      <w:r>
        <w:rPr>
          <w:rFonts w:ascii="Calibri" w:cs="Calibri" w:eastAsia="Calibri" w:hAnsi="Calibri"/>
          <w:sz w:val="17"/>
          <w:szCs w:val="17"/>
          <w:i w:val="1"/>
          <w:iCs w:val="1"/>
          <w:color w:val="auto"/>
        </w:rPr>
        <w:t xml:space="preserve"> </w:t>
      </w:r>
      <w:r>
        <w:rPr>
          <w:rFonts w:ascii="Calibri" w:cs="Calibri" w:eastAsia="Calibri" w:hAnsi="Calibri"/>
          <w:sz w:val="17"/>
          <w:szCs w:val="17"/>
          <w:color w:val="auto"/>
        </w:rPr>
        <w:t>ofce, through her retrement in 2017. She served as a managing partner for eight years with oversight responsibility for more than 100 professionals, working with public and privately-held clients throughout the Southwest region in retail/consumer products, transportaton, manufacturing and contract drilling industries. In additon to her professional career, Ms. Gates is actve with several nonproft organizatons including the Tulsa Area United Way and University of Arkansas Walton College of Business. She also serves on the board of directors of Tempur-Sealy Internatonal and sits on the audit commitee.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i w:val="1"/>
          <w:iCs w:val="1"/>
          <w:color w:val="auto"/>
        </w:rPr>
        <w:t>Qualifcatons</w:t>
      </w:r>
      <w:r>
        <w:rPr>
          <w:rFonts w:ascii="Calibri" w:cs="Calibri" w:eastAsia="Calibri" w:hAnsi="Calibri"/>
          <w:sz w:val="17"/>
          <w:szCs w:val="17"/>
          <w:color w:val="auto"/>
        </w:rPr>
        <w:t>: The Board concluded that Ms. Gates should serve as a director of the Company based on</w:t>
      </w:r>
      <w:r>
        <w:rPr>
          <w:rFonts w:ascii="Calibri" w:cs="Calibri" w:eastAsia="Calibri" w:hAnsi="Calibri"/>
          <w:sz w:val="17"/>
          <w:szCs w:val="17"/>
          <w:i w:val="1"/>
          <w:iCs w:val="1"/>
          <w:color w:val="auto"/>
        </w:rPr>
        <w:t xml:space="preserve"> </w:t>
      </w:r>
      <w:r>
        <w:rPr>
          <w:rFonts w:ascii="Calibri" w:cs="Calibri" w:eastAsia="Calibri" w:hAnsi="Calibri"/>
          <w:sz w:val="17"/>
          <w:szCs w:val="17"/>
          <w:color w:val="auto"/>
        </w:rPr>
        <w:t>her extensive knowledge across a number of industries developed during her tenure providing accountng services to public and private companies, her fnancial acumen/expertse gained in public accountng and from serving on an audit commitee of another public company, her knowledge of the service territory served by the Company, and her risk oversight experience gained in public accountng.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525145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40" w:space="720"/>
            <w:col w:w="7440"/>
          </w:cols>
          <w:pgMar w:left="320" w:top="1238"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660" w:val="left"/>
        </w:tabs>
        <w:rPr>
          <w:sz w:val="20"/>
          <w:szCs w:val="20"/>
          <w:color w:val="auto"/>
        </w:rPr>
      </w:pPr>
      <w:r>
        <w:rPr>
          <w:rFonts w:ascii="Calibri" w:cs="Calibri" w:eastAsia="Calibri" w:hAnsi="Calibri"/>
          <w:sz w:val="17"/>
          <w:szCs w:val="17"/>
          <w:color w:val="auto"/>
        </w:rPr>
        <w:t>16</w:t>
      </w:r>
      <w:r>
        <w:rPr>
          <w:sz w:val="20"/>
          <w:szCs w:val="20"/>
          <w:color w:val="auto"/>
        </w:rPr>
        <w:tab/>
      </w:r>
      <w:r>
        <w:rPr>
          <w:rFonts w:ascii="Calibri" w:cs="Calibri" w:eastAsia="Calibri" w:hAnsi="Calibri"/>
          <w:sz w:val="17"/>
          <w:szCs w:val="17"/>
          <w:b w:val="1"/>
          <w:bCs w:val="1"/>
          <w:color w:val="EE2724"/>
        </w:rPr>
        <w:t xml:space="preserve">OGE Energy Corp. </w:t>
      </w:r>
      <w:r>
        <w:rPr>
          <w:rFonts w:ascii="Calibri" w:cs="Calibri" w:eastAsia="Calibri" w:hAnsi="Calibri"/>
          <w:sz w:val="17"/>
          <w:szCs w:val="17"/>
          <w:color w:val="00000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38" w:right="379" w:bottom="1440" w:gutter="0" w:footer="0" w:header="0"/>
          <w:type w:val="continuous"/>
        </w:sectPr>
      </w:pPr>
    </w:p>
    <w:bookmarkStart w:id="22" w:name="page23"/>
    <w:bookmarkEnd w:id="22"/>
    <w:p>
      <w:pPr>
        <w:jc w:val="both"/>
        <w:ind w:left="3760"/>
        <w:spacing w:after="0" w:line="235" w:lineRule="auto"/>
        <w:rPr>
          <w:sz w:val="20"/>
          <w:szCs w:val="20"/>
          <w:color w:val="auto"/>
        </w:rPr>
      </w:pPr>
      <w:r>
        <w:rPr>
          <w:rFonts w:ascii="Calibri" w:cs="Calibri" w:eastAsia="Calibri" w:hAnsi="Calibri"/>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748665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t>Professional Experience</w:t>
      </w:r>
      <w:r>
        <w:rPr>
          <w:rFonts w:ascii="Calibri" w:cs="Calibri" w:eastAsia="Calibri" w:hAnsi="Calibri"/>
          <w:sz w:val="18"/>
          <w:szCs w:val="18"/>
          <w:color w:val="auto"/>
        </w:rPr>
        <w:t>: Mr. Hauser is the former Chairman and Chief Executve Ofcer of FairPoint</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Communicatons, Inc., a provider of communicaton services located in Charlote, N.C. He served in the role from July 2009 to August 2010 and thereafer served as a consultant untl March 2011. From 1998-2009, Mr. Hauser held leadership positons with Duke Energy Corporaton, including group executve and chief fnancial ofcer and vice president and treasurer. Mr. Hauser also currently serves as chairman of the board of EnPro Industries, Inc. He is a current member of the board of trustees of Furman University, a former member of the board of trustees of the University of North Carolina at Charlote, and a retred member of the North Carolina Associaton of Certfed Public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-1078230</wp:posOffset>
            </wp:positionV>
            <wp:extent cx="814070" cy="12261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14070" cy="1226185"/>
                    </a:xfrm>
                    <a:prstGeom prst="rect">
                      <a:avLst/>
                    </a:prstGeom>
                    <a:noFill/>
                  </pic:spPr>
                </pic:pic>
              </a:graphicData>
            </a:graphic>
          </wp:anchor>
        </w:drawing>
      </w:r>
    </w:p>
    <w:p>
      <w:pPr>
        <w:sectPr>
          <w:pgSz w:w="11900" w:h="16838" w:orient="portrait"/>
          <w:cols w:equalWidth="0" w:num="1">
            <w:col w:w="11200"/>
          </w:cols>
          <w:pgMar w:left="320" w:top="1238" w:right="379" w:bottom="1440" w:gutter="0" w:footer="0" w:header="0"/>
        </w:sectPr>
      </w:pPr>
    </w:p>
    <w:p>
      <w:pPr>
        <w:spacing w:after="0" w:line="258" w:lineRule="exact"/>
        <w:rPr>
          <w:sz w:val="20"/>
          <w:szCs w:val="20"/>
          <w:color w:val="auto"/>
        </w:rPr>
      </w:pPr>
    </w:p>
    <w:p>
      <w:pPr>
        <w:ind w:left="60"/>
        <w:spacing w:after="0"/>
        <w:rPr>
          <w:sz w:val="20"/>
          <w:szCs w:val="20"/>
          <w:color w:val="auto"/>
        </w:rPr>
      </w:pPr>
      <w:r>
        <w:rPr>
          <w:rFonts w:ascii="Calibri" w:cs="Calibri" w:eastAsia="Calibri" w:hAnsi="Calibri"/>
          <w:sz w:val="18"/>
          <w:szCs w:val="18"/>
          <w:b w:val="1"/>
          <w:bCs w:val="1"/>
          <w:u w:val="single" w:color="auto"/>
          <w:color w:val="auto"/>
        </w:rPr>
        <w:t>David L. Hauser</w:t>
      </w:r>
    </w:p>
    <w:p>
      <w:pPr>
        <w:spacing w:after="0" w:line="217" w:lineRule="exact"/>
        <w:rPr>
          <w:sz w:val="20"/>
          <w:szCs w:val="20"/>
          <w:color w:val="auto"/>
        </w:rPr>
      </w:pPr>
    </w:p>
    <w:p>
      <w:pPr>
        <w:ind w:left="60" w:right="720"/>
        <w:spacing w:after="0" w:line="258" w:lineRule="auto"/>
        <w:rPr>
          <w:sz w:val="20"/>
          <w:szCs w:val="20"/>
          <w:color w:val="auto"/>
        </w:rPr>
      </w:pPr>
      <w:r>
        <w:rPr>
          <w:rFonts w:ascii="Calibri" w:cs="Calibri" w:eastAsia="Calibri" w:hAnsi="Calibri"/>
          <w:sz w:val="17"/>
          <w:szCs w:val="17"/>
          <w:b w:val="1"/>
          <w:bCs w:val="1"/>
          <w:color w:val="auto"/>
        </w:rPr>
        <w:t>Former Chairman and CEO, FairPoint Communicatons, Inc.</w:t>
      </w:r>
    </w:p>
    <w:p>
      <w:pPr>
        <w:spacing w:after="0" w:line="197" w:lineRule="exact"/>
        <w:rPr>
          <w:sz w:val="20"/>
          <w:szCs w:val="20"/>
          <w:color w:val="auto"/>
        </w:rPr>
      </w:pPr>
    </w:p>
    <w:p>
      <w:pPr>
        <w:ind w:left="60"/>
        <w:spacing w:after="0"/>
        <w:rPr>
          <w:sz w:val="20"/>
          <w:szCs w:val="20"/>
          <w:color w:val="auto"/>
        </w:rPr>
      </w:pPr>
      <w:r>
        <w:rPr>
          <w:rFonts w:ascii="Calibri" w:cs="Calibri" w:eastAsia="Calibri" w:hAnsi="Calibri"/>
          <w:sz w:val="18"/>
          <w:szCs w:val="18"/>
          <w:b w:val="1"/>
          <w:bCs w:val="1"/>
          <w:u w:val="single" w:color="auto"/>
          <w:color w:val="auto"/>
        </w:rPr>
        <w:t>Age: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72</w:t>
      </w:r>
    </w:p>
    <w:p>
      <w:pPr>
        <w:spacing w:after="0" w:line="212" w:lineRule="exact"/>
        <w:rPr>
          <w:sz w:val="20"/>
          <w:szCs w:val="20"/>
          <w:color w:val="auto"/>
        </w:rPr>
      </w:pPr>
    </w:p>
    <w:p>
      <w:pPr>
        <w:ind w:left="60"/>
        <w:spacing w:after="0"/>
        <w:rPr>
          <w:sz w:val="20"/>
          <w:szCs w:val="20"/>
          <w:color w:val="auto"/>
        </w:rPr>
      </w:pPr>
      <w:r>
        <w:rPr>
          <w:rFonts w:ascii="Calibri" w:cs="Calibri" w:eastAsia="Calibri" w:hAnsi="Calibri"/>
          <w:sz w:val="18"/>
          <w:szCs w:val="18"/>
          <w:b w:val="1"/>
          <w:bCs w:val="1"/>
          <w:u w:val="single" w:color="auto"/>
          <w:color w:val="auto"/>
        </w:rPr>
        <w:t>Director Since: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2015</w:t>
      </w:r>
    </w:p>
    <w:p>
      <w:pPr>
        <w:spacing w:after="0" w:line="212" w:lineRule="exact"/>
        <w:rPr>
          <w:sz w:val="20"/>
          <w:szCs w:val="20"/>
          <w:color w:val="auto"/>
        </w:rPr>
      </w:pPr>
    </w:p>
    <w:p>
      <w:pPr>
        <w:ind w:left="60"/>
        <w:spacing w:after="0"/>
        <w:rPr>
          <w:sz w:val="20"/>
          <w:szCs w:val="20"/>
          <w:color w:val="auto"/>
        </w:rPr>
      </w:pPr>
      <w:r>
        <w:rPr>
          <w:rFonts w:ascii="Calibri" w:cs="Calibri" w:eastAsia="Calibri" w:hAnsi="Calibri"/>
          <w:sz w:val="18"/>
          <w:szCs w:val="18"/>
          <w:b w:val="1"/>
          <w:bCs w:val="1"/>
          <w:u w:val="single" w:color="auto"/>
          <w:color w:val="auto"/>
        </w:rPr>
        <w:t>Commitees:</w:t>
      </w:r>
    </w:p>
    <w:p>
      <w:pPr>
        <w:ind w:left="60"/>
        <w:spacing w:after="0" w:line="235" w:lineRule="auto"/>
        <w:rPr>
          <w:sz w:val="20"/>
          <w:szCs w:val="20"/>
          <w:color w:val="auto"/>
        </w:rPr>
      </w:pPr>
      <w:r>
        <w:rPr>
          <w:rFonts w:ascii="Calibri" w:cs="Calibri" w:eastAsia="Calibri" w:hAnsi="Calibri"/>
          <w:sz w:val="18"/>
          <w:szCs w:val="18"/>
          <w:color w:val="auto"/>
        </w:rPr>
        <w:t>Compensaton, Chair</w:t>
      </w:r>
    </w:p>
    <w:p>
      <w:pPr>
        <w:spacing w:after="0" w:line="2" w:lineRule="exact"/>
        <w:rPr>
          <w:sz w:val="20"/>
          <w:szCs w:val="20"/>
          <w:color w:val="auto"/>
        </w:rPr>
      </w:pPr>
    </w:p>
    <w:p>
      <w:pPr>
        <w:ind w:left="60"/>
        <w:spacing w:after="0"/>
        <w:rPr>
          <w:sz w:val="20"/>
          <w:szCs w:val="20"/>
          <w:color w:val="auto"/>
        </w:rPr>
      </w:pPr>
      <w:r>
        <w:rPr>
          <w:rFonts w:ascii="Calibri" w:cs="Calibri" w:eastAsia="Calibri" w:hAnsi="Calibri"/>
          <w:sz w:val="17"/>
          <w:szCs w:val="17"/>
          <w:color w:val="auto"/>
        </w:rPr>
        <w:t>Nominatng, Corporate Governance</w:t>
      </w:r>
    </w:p>
    <w:p>
      <w:pPr>
        <w:spacing w:after="0" w:line="31" w:lineRule="exact"/>
        <w:rPr>
          <w:sz w:val="20"/>
          <w:szCs w:val="20"/>
          <w:color w:val="auto"/>
        </w:rPr>
      </w:pPr>
    </w:p>
    <w:p>
      <w:pPr>
        <w:ind w:left="60"/>
        <w:spacing w:after="0"/>
        <w:rPr>
          <w:sz w:val="20"/>
          <w:szCs w:val="20"/>
          <w:color w:val="auto"/>
        </w:rPr>
      </w:pPr>
      <w:r>
        <w:rPr>
          <w:rFonts w:ascii="Calibri" w:cs="Calibri" w:eastAsia="Calibri" w:hAnsi="Calibri"/>
          <w:sz w:val="18"/>
          <w:szCs w:val="18"/>
          <w:color w:val="auto"/>
        </w:rPr>
        <w:t>and Stewardship</w:t>
      </w:r>
    </w:p>
    <w:p>
      <w:pPr>
        <w:spacing w:after="0" w:line="23" w:lineRule="exact"/>
        <w:rPr>
          <w:sz w:val="20"/>
          <w:szCs w:val="20"/>
          <w:color w:val="auto"/>
        </w:rPr>
      </w:pPr>
    </w:p>
    <w:p>
      <w:pPr>
        <w:ind w:left="60"/>
        <w:spacing w:after="0"/>
        <w:rPr>
          <w:sz w:val="20"/>
          <w:szCs w:val="20"/>
          <w:color w:val="auto"/>
        </w:rPr>
      </w:pPr>
      <w:r>
        <w:rPr>
          <w:rFonts w:ascii="Calibri" w:cs="Calibri" w:eastAsia="Calibri" w:hAnsi="Calibri"/>
          <w:sz w:val="18"/>
          <w:szCs w:val="18"/>
          <w:color w:val="auto"/>
        </w:rPr>
        <w:t>Executve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auto"/>
        </w:rPr>
        <w:t>Qualifcatons</w:t>
      </w:r>
      <w:r>
        <w:rPr>
          <w:rFonts w:ascii="Calibri" w:cs="Calibri" w:eastAsia="Calibri" w:hAnsi="Calibri"/>
          <w:sz w:val="18"/>
          <w:szCs w:val="18"/>
          <w:color w:val="auto"/>
        </w:rPr>
        <w:t>: The Board concluded that Mr. Hauser should contnue serving as a director of the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Company based on his extensive utlity/regulatory experience and due to his executve leadership experience in serving as the chief executve ofcer of a publicly-traded company, his fnancial leadership in utlity and regulated businesses, his fnancial acumen/expertse resultng from his prior performance as chair of the audit commitee of another public company, and his risk oversight experience developed over many years of leadership positons with publicly-traded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394970</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471805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1" w:lineRule="exact"/>
        <w:rPr>
          <w:sz w:val="20"/>
          <w:szCs w:val="20"/>
          <w:color w:val="auto"/>
        </w:rPr>
      </w:pPr>
    </w:p>
    <w:p>
      <w:pPr>
        <w:sectPr>
          <w:pgSz w:w="11900" w:h="16838" w:orient="portrait"/>
          <w:cols w:equalWidth="0" w:num="2">
            <w:col w:w="3040" w:space="720"/>
            <w:col w:w="7440"/>
          </w:cols>
          <w:pgMar w:left="320" w:top="1238"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0"/>
        <w:spacing w:after="0"/>
        <w:rPr>
          <w:sz w:val="20"/>
          <w:szCs w:val="20"/>
          <w:color w:val="auto"/>
        </w:rPr>
      </w:pPr>
      <w:r>
        <w:rPr>
          <w:rFonts w:ascii="Calibri" w:cs="Calibri" w:eastAsia="Calibri" w:hAnsi="Calibri"/>
          <w:sz w:val="18"/>
          <w:szCs w:val="18"/>
          <w:b w:val="1"/>
          <w:bCs w:val="1"/>
          <w:u w:val="single" w:color="auto"/>
          <w:color w:val="auto"/>
        </w:rPr>
        <w:t>Luther (Luke) C. Kissam,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-1278890</wp:posOffset>
            </wp:positionV>
            <wp:extent cx="848360" cy="11233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48360" cy="1123315"/>
                    </a:xfrm>
                    <a:prstGeom prst="rect">
                      <a:avLst/>
                    </a:prstGeom>
                    <a:noFill/>
                  </pic:spPr>
                </pic:pic>
              </a:graphicData>
            </a:graphic>
          </wp:anchor>
        </w:drawing>
      </w:r>
    </w:p>
    <w:p>
      <w:pPr>
        <w:spacing w:after="0" w:line="197" w:lineRule="exact"/>
        <w:rPr>
          <w:sz w:val="20"/>
          <w:szCs w:val="20"/>
          <w:color w:val="auto"/>
        </w:rPr>
      </w:pPr>
    </w:p>
    <w:p>
      <w:pPr>
        <w:ind w:left="60" w:right="240"/>
        <w:spacing w:after="0" w:line="235" w:lineRule="auto"/>
        <w:rPr>
          <w:sz w:val="20"/>
          <w:szCs w:val="20"/>
          <w:color w:val="auto"/>
        </w:rPr>
      </w:pPr>
      <w:r>
        <w:rPr>
          <w:rFonts w:ascii="Calibri" w:cs="Calibri" w:eastAsia="Calibri" w:hAnsi="Calibri"/>
          <w:sz w:val="18"/>
          <w:szCs w:val="18"/>
          <w:b w:val="1"/>
          <w:bCs w:val="1"/>
          <w:color w:val="auto"/>
        </w:rPr>
        <w:t>Former Chairman, President and CEO, Albemarle Corporaton</w:t>
      </w:r>
    </w:p>
    <w:p>
      <w:pPr>
        <w:spacing w:after="0" w:line="213" w:lineRule="exact"/>
        <w:rPr>
          <w:sz w:val="20"/>
          <w:szCs w:val="20"/>
          <w:color w:val="auto"/>
        </w:rPr>
      </w:pPr>
    </w:p>
    <w:p>
      <w:pPr>
        <w:ind w:left="60"/>
        <w:spacing w:after="0"/>
        <w:rPr>
          <w:sz w:val="20"/>
          <w:szCs w:val="20"/>
          <w:color w:val="auto"/>
        </w:rPr>
      </w:pPr>
      <w:r>
        <w:rPr>
          <w:rFonts w:ascii="Calibri" w:cs="Calibri" w:eastAsia="Calibri" w:hAnsi="Calibri"/>
          <w:sz w:val="18"/>
          <w:szCs w:val="18"/>
          <w:b w:val="1"/>
          <w:bCs w:val="1"/>
          <w:u w:val="single" w:color="auto"/>
          <w:color w:val="auto"/>
        </w:rPr>
        <w:t>Age: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59</w:t>
      </w:r>
    </w:p>
    <w:p>
      <w:pPr>
        <w:spacing w:after="0" w:line="212" w:lineRule="exact"/>
        <w:rPr>
          <w:sz w:val="20"/>
          <w:szCs w:val="20"/>
          <w:color w:val="auto"/>
        </w:rPr>
      </w:pPr>
    </w:p>
    <w:p>
      <w:pPr>
        <w:ind w:left="60"/>
        <w:spacing w:after="0"/>
        <w:rPr>
          <w:sz w:val="20"/>
          <w:szCs w:val="20"/>
          <w:color w:val="auto"/>
        </w:rPr>
      </w:pPr>
      <w:r>
        <w:rPr>
          <w:rFonts w:ascii="Calibri" w:cs="Calibri" w:eastAsia="Calibri" w:hAnsi="Calibri"/>
          <w:sz w:val="18"/>
          <w:szCs w:val="18"/>
          <w:b w:val="1"/>
          <w:bCs w:val="1"/>
          <w:u w:val="single" w:color="auto"/>
          <w:color w:val="auto"/>
        </w:rPr>
        <w:t>Director Since: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2020</w:t>
      </w:r>
    </w:p>
    <w:p>
      <w:pPr>
        <w:spacing w:after="0" w:line="212" w:lineRule="exact"/>
        <w:rPr>
          <w:sz w:val="20"/>
          <w:szCs w:val="20"/>
          <w:color w:val="auto"/>
        </w:rPr>
      </w:pPr>
    </w:p>
    <w:p>
      <w:pPr>
        <w:ind w:left="60"/>
        <w:spacing w:after="0"/>
        <w:rPr>
          <w:sz w:val="20"/>
          <w:szCs w:val="20"/>
          <w:color w:val="auto"/>
        </w:rPr>
      </w:pPr>
      <w:r>
        <w:rPr>
          <w:rFonts w:ascii="Calibri" w:cs="Calibri" w:eastAsia="Calibri" w:hAnsi="Calibri"/>
          <w:sz w:val="18"/>
          <w:szCs w:val="18"/>
          <w:b w:val="1"/>
          <w:bCs w:val="1"/>
          <w:u w:val="single" w:color="auto"/>
          <w:color w:val="auto"/>
        </w:rPr>
        <w:t>Commitees:</w:t>
      </w:r>
    </w:p>
    <w:p>
      <w:pPr>
        <w:ind w:left="60"/>
        <w:spacing w:after="0" w:line="235" w:lineRule="auto"/>
        <w:rPr>
          <w:sz w:val="20"/>
          <w:szCs w:val="20"/>
          <w:color w:val="auto"/>
        </w:rPr>
      </w:pPr>
      <w:r>
        <w:rPr>
          <w:rFonts w:ascii="Calibri" w:cs="Calibri" w:eastAsia="Calibri" w:hAnsi="Calibri"/>
          <w:sz w:val="18"/>
          <w:szCs w:val="18"/>
          <w:color w:val="auto"/>
        </w:rPr>
        <w:t>Compensaton</w:t>
      </w:r>
    </w:p>
    <w:p>
      <w:pPr>
        <w:ind w:left="60"/>
        <w:spacing w:after="0" w:line="236" w:lineRule="auto"/>
        <w:rPr>
          <w:sz w:val="20"/>
          <w:szCs w:val="20"/>
          <w:color w:val="auto"/>
        </w:rPr>
      </w:pPr>
      <w:r>
        <w:rPr>
          <w:rFonts w:ascii="Calibri" w:cs="Calibri" w:eastAsia="Calibri" w:hAnsi="Calibri"/>
          <w:sz w:val="18"/>
          <w:szCs w:val="18"/>
          <w:color w:val="auto"/>
        </w:rPr>
        <w:t>Nominatng, Corporate Governance</w:t>
      </w:r>
    </w:p>
    <w:p>
      <w:pPr>
        <w:ind w:left="60"/>
        <w:spacing w:after="0" w:line="236" w:lineRule="auto"/>
        <w:rPr>
          <w:sz w:val="20"/>
          <w:szCs w:val="20"/>
          <w:color w:val="auto"/>
        </w:rPr>
      </w:pPr>
      <w:r>
        <w:rPr>
          <w:rFonts w:ascii="Calibri" w:cs="Calibri" w:eastAsia="Calibri" w:hAnsi="Calibri"/>
          <w:sz w:val="18"/>
          <w:szCs w:val="18"/>
          <w:color w:val="auto"/>
        </w:rPr>
        <w:t>and Stewardship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auto"/>
        </w:rPr>
        <w:t>Professional Experience</w:t>
      </w:r>
      <w:r>
        <w:rPr>
          <w:rFonts w:ascii="Calibri" w:cs="Calibri" w:eastAsia="Calibri" w:hAnsi="Calibri"/>
          <w:sz w:val="18"/>
          <w:szCs w:val="18"/>
          <w:color w:val="auto"/>
        </w:rPr>
        <w:t>: Mr. Kissam is currently a Senior Advisor with Bernhard Capital Partners, a</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service and infrastructure focused private equity management frm. He is the former Chairman, President and Chief Executve Ofcer of Albemarle Corporaton, a global specialty chemicals company with leading positons in lithium, bromine and refning catalysts. He served as Chief Executve Ofcer from 2011 to 2020 and held various leadership positons at Albemarle beginning in 2003, including President and Executve Vice President of Manufacturing, Law and HS&amp;E. Prior to joining Albemarle, Mr. Kissam served as Vice President, General Counsel and Secretary of Merisant Company, having previously served as Associate General Counsel of Monsanto Company. Mr. Kissam currently serves on the board of directors of DuPont de Nemours and previously served on the board of directors of Albemarle Corporaton from 2015 untl May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auto"/>
        </w:rPr>
        <w:t>Qualifcatons</w:t>
      </w:r>
      <w:r>
        <w:rPr>
          <w:rFonts w:ascii="Calibri" w:cs="Calibri" w:eastAsia="Calibri" w:hAnsi="Calibri"/>
          <w:sz w:val="18"/>
          <w:szCs w:val="18"/>
          <w:color w:val="auto"/>
        </w:rPr>
        <w:t>: The Board concluded that Mr. Kissam should contnue serving as a director of the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Company based on his executve leadership experience from previously serving as chairman and chief executve ofcer of a large, mult-natonal, publicly-held company, his customer perspectve in leading businesses that rely heavily on energy services and products such as those delivered by the Company, his expertse relatng to new technologies applicable to utlites, his corporate governance/legal experience at publicly-traded companies, and his risk oversight experience developed in his leadership positons with publicly-traded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257810</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40" w:space="720"/>
            <w:col w:w="7440"/>
          </w:cols>
          <w:pgMar w:left="320" w:top="1238"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660" w:val="left"/>
        </w:tabs>
        <w:rPr>
          <w:sz w:val="20"/>
          <w:szCs w:val="20"/>
          <w:color w:val="auto"/>
        </w:rPr>
      </w:pPr>
      <w:r>
        <w:rPr>
          <w:rFonts w:ascii="Calibri" w:cs="Calibri" w:eastAsia="Calibri" w:hAnsi="Calibri"/>
          <w:sz w:val="17"/>
          <w:szCs w:val="17"/>
          <w:color w:val="auto"/>
        </w:rPr>
        <w:t>17</w:t>
      </w:r>
      <w:r>
        <w:rPr>
          <w:sz w:val="20"/>
          <w:szCs w:val="20"/>
          <w:color w:val="auto"/>
        </w:rPr>
        <w:tab/>
      </w:r>
      <w:r>
        <w:rPr>
          <w:rFonts w:ascii="Calibri" w:cs="Calibri" w:eastAsia="Calibri" w:hAnsi="Calibri"/>
          <w:sz w:val="17"/>
          <w:szCs w:val="17"/>
          <w:b w:val="1"/>
          <w:bCs w:val="1"/>
          <w:color w:val="EE2724"/>
        </w:rPr>
        <w:t xml:space="preserve">OGE Energy Corp. </w:t>
      </w:r>
      <w:r>
        <w:rPr>
          <w:rFonts w:ascii="Calibri" w:cs="Calibri" w:eastAsia="Calibri" w:hAnsi="Calibri"/>
          <w:sz w:val="17"/>
          <w:szCs w:val="17"/>
          <w:color w:val="00000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38" w:right="379" w:bottom="1440" w:gutter="0" w:footer="0" w:header="0"/>
          <w:type w:val="continuous"/>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800100</wp:posOffset>
            </wp:positionV>
            <wp:extent cx="857250" cy="11226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857250" cy="112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Calibri" w:cs="Calibri" w:eastAsia="Calibri" w:hAnsi="Calibri"/>
          <w:sz w:val="18"/>
          <w:szCs w:val="18"/>
          <w:b w:val="1"/>
          <w:bCs w:val="1"/>
          <w:u w:val="single" w:color="auto"/>
          <w:color w:val="auto"/>
        </w:rPr>
        <w:t>Judy R. McReynolds</w:t>
      </w:r>
    </w:p>
    <w:p>
      <w:pPr>
        <w:spacing w:after="0" w:line="217" w:lineRule="exact"/>
        <w:rPr>
          <w:sz w:val="20"/>
          <w:szCs w:val="20"/>
          <w:color w:val="auto"/>
        </w:rPr>
      </w:pPr>
    </w:p>
    <w:p>
      <w:pPr>
        <w:ind w:left="60" w:right="820"/>
        <w:spacing w:after="0" w:line="235" w:lineRule="auto"/>
        <w:rPr>
          <w:sz w:val="20"/>
          <w:szCs w:val="20"/>
          <w:color w:val="auto"/>
        </w:rPr>
      </w:pPr>
      <w:r>
        <w:rPr>
          <w:rFonts w:ascii="Calibri" w:cs="Calibri" w:eastAsia="Calibri" w:hAnsi="Calibri"/>
          <w:sz w:val="18"/>
          <w:szCs w:val="18"/>
          <w:b w:val="1"/>
          <w:bCs w:val="1"/>
          <w:color w:val="auto"/>
        </w:rPr>
        <w:t>Chairman, President and CEO, ArcBest Corporaton</w:t>
      </w:r>
    </w:p>
    <w:p>
      <w:pPr>
        <w:spacing w:after="0" w:line="213" w:lineRule="exact"/>
        <w:rPr>
          <w:sz w:val="20"/>
          <w:szCs w:val="20"/>
          <w:color w:val="auto"/>
        </w:rPr>
      </w:pPr>
    </w:p>
    <w:p>
      <w:pPr>
        <w:ind w:left="60"/>
        <w:spacing w:after="0"/>
        <w:rPr>
          <w:sz w:val="20"/>
          <w:szCs w:val="20"/>
          <w:color w:val="auto"/>
        </w:rPr>
      </w:pPr>
      <w:r>
        <w:rPr>
          <w:rFonts w:ascii="Calibri" w:cs="Calibri" w:eastAsia="Calibri" w:hAnsi="Calibri"/>
          <w:sz w:val="18"/>
          <w:szCs w:val="18"/>
          <w:b w:val="1"/>
          <w:bCs w:val="1"/>
          <w:u w:val="single" w:color="auto"/>
          <w:color w:val="auto"/>
        </w:rPr>
        <w:t>Age: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61</w:t>
      </w:r>
    </w:p>
    <w:p>
      <w:pPr>
        <w:spacing w:after="0" w:line="212" w:lineRule="exact"/>
        <w:rPr>
          <w:sz w:val="20"/>
          <w:szCs w:val="20"/>
          <w:color w:val="auto"/>
        </w:rPr>
      </w:pPr>
    </w:p>
    <w:p>
      <w:pPr>
        <w:ind w:left="60"/>
        <w:spacing w:after="0"/>
        <w:rPr>
          <w:sz w:val="20"/>
          <w:szCs w:val="20"/>
          <w:color w:val="auto"/>
        </w:rPr>
      </w:pPr>
      <w:r>
        <w:rPr>
          <w:rFonts w:ascii="Calibri" w:cs="Calibri" w:eastAsia="Calibri" w:hAnsi="Calibri"/>
          <w:sz w:val="18"/>
          <w:szCs w:val="18"/>
          <w:b w:val="1"/>
          <w:bCs w:val="1"/>
          <w:u w:val="single" w:color="auto"/>
          <w:color w:val="auto"/>
        </w:rPr>
        <w:t>Director Since: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2011</w:t>
      </w:r>
    </w:p>
    <w:p>
      <w:pPr>
        <w:spacing w:after="0" w:line="212" w:lineRule="exact"/>
        <w:rPr>
          <w:sz w:val="20"/>
          <w:szCs w:val="20"/>
          <w:color w:val="auto"/>
        </w:rPr>
      </w:pPr>
    </w:p>
    <w:p>
      <w:pPr>
        <w:ind w:left="60"/>
        <w:spacing w:after="0"/>
        <w:rPr>
          <w:sz w:val="20"/>
          <w:szCs w:val="20"/>
          <w:color w:val="auto"/>
        </w:rPr>
      </w:pPr>
      <w:r>
        <w:rPr>
          <w:rFonts w:ascii="Calibri" w:cs="Calibri" w:eastAsia="Calibri" w:hAnsi="Calibri"/>
          <w:sz w:val="18"/>
          <w:szCs w:val="18"/>
          <w:b w:val="1"/>
          <w:bCs w:val="1"/>
          <w:color w:val="auto"/>
        </w:rPr>
        <w:t>Lead Director</w:t>
      </w:r>
    </w:p>
    <w:p>
      <w:pPr>
        <w:spacing w:after="0" w:line="212" w:lineRule="exact"/>
        <w:rPr>
          <w:sz w:val="20"/>
          <w:szCs w:val="20"/>
          <w:color w:val="auto"/>
        </w:rPr>
      </w:pPr>
    </w:p>
    <w:p>
      <w:pPr>
        <w:ind w:left="60"/>
        <w:spacing w:after="0"/>
        <w:rPr>
          <w:sz w:val="20"/>
          <w:szCs w:val="20"/>
          <w:color w:val="auto"/>
        </w:rPr>
      </w:pPr>
      <w:r>
        <w:rPr>
          <w:rFonts w:ascii="Calibri" w:cs="Calibri" w:eastAsia="Calibri" w:hAnsi="Calibri"/>
          <w:sz w:val="18"/>
          <w:szCs w:val="18"/>
          <w:b w:val="1"/>
          <w:bCs w:val="1"/>
          <w:u w:val="single" w:color="auto"/>
          <w:color w:val="auto"/>
        </w:rPr>
        <w:t>Commitees:</w:t>
      </w:r>
    </w:p>
    <w:p>
      <w:pPr>
        <w:ind w:left="60"/>
        <w:spacing w:after="0" w:line="235" w:lineRule="auto"/>
        <w:rPr>
          <w:sz w:val="20"/>
          <w:szCs w:val="20"/>
          <w:color w:val="auto"/>
        </w:rPr>
      </w:pPr>
      <w:r>
        <w:rPr>
          <w:rFonts w:ascii="Calibri" w:cs="Calibri" w:eastAsia="Calibri" w:hAnsi="Calibri"/>
          <w:sz w:val="18"/>
          <w:szCs w:val="18"/>
          <w:color w:val="auto"/>
        </w:rPr>
        <w:t>Compensaton</w:t>
      </w:r>
    </w:p>
    <w:p>
      <w:pPr>
        <w:ind w:left="60"/>
        <w:spacing w:after="0" w:line="236" w:lineRule="auto"/>
        <w:rPr>
          <w:sz w:val="20"/>
          <w:szCs w:val="20"/>
          <w:color w:val="auto"/>
        </w:rPr>
      </w:pPr>
      <w:r>
        <w:rPr>
          <w:rFonts w:ascii="Calibri" w:cs="Calibri" w:eastAsia="Calibri" w:hAnsi="Calibri"/>
          <w:sz w:val="18"/>
          <w:szCs w:val="18"/>
          <w:color w:val="auto"/>
        </w:rPr>
        <w:t>Executve</w:t>
      </w:r>
    </w:p>
    <w:p>
      <w:pPr>
        <w:spacing w:after="0" w:line="20" w:lineRule="exact"/>
        <w:rPr>
          <w:sz w:val="20"/>
          <w:szCs w:val="20"/>
          <w:color w:val="auto"/>
        </w:rPr>
      </w:pPr>
      <w:r>
        <w:rPr>
          <w:sz w:val="20"/>
          <w:szCs w:val="20"/>
          <w:color w:val="auto"/>
        </w:rPr>
        <w:br w:type="column"/>
      </w:r>
    </w:p>
    <w:p>
      <w:pPr>
        <w:jc w:val="both"/>
        <w:spacing w:after="0" w:line="229" w:lineRule="auto"/>
        <w:rPr>
          <w:sz w:val="20"/>
          <w:szCs w:val="20"/>
          <w:color w:val="auto"/>
        </w:rPr>
      </w:pPr>
      <w:r>
        <w:rPr>
          <w:rFonts w:ascii="Calibri" w:cs="Calibri" w:eastAsia="Calibri" w:hAnsi="Calibri"/>
          <w:sz w:val="18"/>
          <w:szCs w:val="18"/>
          <w:i w:val="1"/>
          <w:iCs w:val="1"/>
          <w:color w:val="auto"/>
        </w:rPr>
        <w:t>Professional Experience</w:t>
      </w:r>
      <w:r>
        <w:rPr>
          <w:rFonts w:ascii="Calibri" w:cs="Calibri" w:eastAsia="Calibri" w:hAnsi="Calibri"/>
          <w:sz w:val="18"/>
          <w:szCs w:val="18"/>
          <w:color w:val="auto"/>
        </w:rPr>
        <w:t>: Ms. McReynolds is Chairman, President and Chief Executve Ofcer of ArcBest</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Corporaton, headquartered in Fort Smith, Ark., and responsible for managing the multbillion-dollar integrated logistcs solutons company, which includes the brands ArcBest, ABF Freight</w:t>
      </w:r>
      <w:r>
        <w:rPr>
          <w:rFonts w:ascii="Calibri" w:cs="Calibri" w:eastAsia="Calibri" w:hAnsi="Calibri"/>
          <w:sz w:val="21"/>
          <w:szCs w:val="21"/>
          <w:color w:val="auto"/>
          <w:vertAlign w:val="superscript"/>
        </w:rPr>
        <w:t>®</w:t>
      </w:r>
      <w:r>
        <w:rPr>
          <w:rFonts w:ascii="Calibri" w:cs="Calibri" w:eastAsia="Calibri" w:hAnsi="Calibri"/>
          <w:sz w:val="18"/>
          <w:szCs w:val="18"/>
          <w:color w:val="auto"/>
        </w:rPr>
        <w:t>, Panther Premium Logistcs</w:t>
      </w:r>
      <w:r>
        <w:rPr>
          <w:rFonts w:ascii="Calibri" w:cs="Calibri" w:eastAsia="Calibri" w:hAnsi="Calibri"/>
          <w:sz w:val="21"/>
          <w:szCs w:val="21"/>
          <w:color w:val="auto"/>
          <w:vertAlign w:val="superscript"/>
        </w:rPr>
        <w:t>®</w:t>
      </w:r>
      <w:r>
        <w:rPr>
          <w:rFonts w:ascii="Calibri" w:cs="Calibri" w:eastAsia="Calibri" w:hAnsi="Calibri"/>
          <w:sz w:val="18"/>
          <w:szCs w:val="18"/>
          <w:color w:val="auto"/>
        </w:rPr>
        <w:t xml:space="preserve"> and U-Pack</w:t>
      </w:r>
      <w:r>
        <w:rPr>
          <w:rFonts w:ascii="Calibri" w:cs="Calibri" w:eastAsia="Calibri" w:hAnsi="Calibri"/>
          <w:sz w:val="21"/>
          <w:szCs w:val="21"/>
          <w:color w:val="auto"/>
          <w:vertAlign w:val="superscript"/>
        </w:rPr>
        <w:t>®</w:t>
      </w:r>
      <w:r>
        <w:rPr>
          <w:rFonts w:ascii="Calibri" w:cs="Calibri" w:eastAsia="Calibri" w:hAnsi="Calibri"/>
          <w:sz w:val="18"/>
          <w:szCs w:val="18"/>
          <w:color w:val="auto"/>
        </w:rPr>
        <w:t>. With over 30 years of logistcs and transportaton industry experience, including 26 years at ArcBest, Ms. McReynolds has served as Chairman of the Board of Directors of ArcBest Corporaton since April 2016 and has been a member of ArcBest Corporaton's Board of Directors since she was named President and Chief Executve Ofcer in January 2010. Ms. McReynolds previously served in various leadership roles at ArcBest since 2000 including senior vice president, chief fnancial ofcer, treasurer and controller. Ms. McReynolds serves on the board of First Bank Corp. (Fort Smith, Ark.) and First Natonal Bank of Fort Smith, as well as various other local community and educatonal boards. Ms. McReynolds also serves as a member of the Wall Street Journal CEO Council and serves on various transportaton industry boards and commitees.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-1678305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i w:val="1"/>
          <w:iCs w:val="1"/>
          <w:color w:val="auto"/>
        </w:rPr>
        <w:t>Qualifcatons</w:t>
      </w:r>
      <w:r>
        <w:rPr>
          <w:rFonts w:ascii="Calibri" w:cs="Calibri" w:eastAsia="Calibri" w:hAnsi="Calibri"/>
          <w:sz w:val="18"/>
          <w:szCs w:val="18"/>
          <w:color w:val="auto"/>
        </w:rPr>
        <w:t>: The Board concluded that Ms. McReynolds should contnue serving as a director of the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Company based on her executve leadership experience as chairman, president, chief executve ofcer and director of ArcBest Corporaton, a publicly-held freight transportaton and logistcs services company, her fnancial acumen/expertse resultng from prior service as chief fnancial ofcer of a publicly-traded company, her knowledge of the service territory and communites served by the Company, and her risk oversight experience developed over many years of leadership positons with a publicly-traded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257810</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335280</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40" w:space="720"/>
            <w:col w:w="7440"/>
          </w:cols>
          <w:pgMar w:left="320" w:top="123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Calibri" w:cs="Calibri" w:eastAsia="Calibri" w:hAnsi="Calibri"/>
          <w:sz w:val="18"/>
          <w:szCs w:val="18"/>
          <w:b w:val="1"/>
          <w:bCs w:val="1"/>
          <w:u w:val="single" w:color="auto"/>
          <w:color w:val="auto"/>
        </w:rPr>
        <w:t>David E. Rainbolt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-1322070</wp:posOffset>
            </wp:positionV>
            <wp:extent cx="857250" cy="11658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0" cy="1165860"/>
                    </a:xfrm>
                    <a:prstGeom prst="rect">
                      <a:avLst/>
                    </a:prstGeom>
                    <a:noFill/>
                  </pic:spPr>
                </pic:pic>
              </a:graphicData>
            </a:graphic>
          </wp:anchor>
        </w:drawing>
      </w:r>
    </w:p>
    <w:p>
      <w:pPr>
        <w:spacing w:after="0" w:line="192" w:lineRule="exact"/>
        <w:rPr>
          <w:sz w:val="20"/>
          <w:szCs w:val="20"/>
          <w:color w:val="auto"/>
        </w:rPr>
      </w:pPr>
    </w:p>
    <w:p>
      <w:pPr>
        <w:ind w:left="60"/>
        <w:spacing w:after="0"/>
        <w:rPr>
          <w:sz w:val="20"/>
          <w:szCs w:val="20"/>
          <w:color w:val="auto"/>
        </w:rPr>
      </w:pPr>
      <w:r>
        <w:rPr>
          <w:rFonts w:ascii="Calibri" w:cs="Calibri" w:eastAsia="Calibri" w:hAnsi="Calibri"/>
          <w:sz w:val="18"/>
          <w:szCs w:val="18"/>
          <w:b w:val="1"/>
          <w:bCs w:val="1"/>
          <w:color w:val="auto"/>
        </w:rPr>
        <w:t>Executve Chairman,</w:t>
      </w:r>
    </w:p>
    <w:p>
      <w:pPr>
        <w:ind w:left="60"/>
        <w:spacing w:after="0" w:line="235" w:lineRule="auto"/>
        <w:rPr>
          <w:sz w:val="20"/>
          <w:szCs w:val="20"/>
          <w:color w:val="auto"/>
        </w:rPr>
      </w:pPr>
      <w:r>
        <w:rPr>
          <w:rFonts w:ascii="Calibri" w:cs="Calibri" w:eastAsia="Calibri" w:hAnsi="Calibri"/>
          <w:sz w:val="18"/>
          <w:szCs w:val="18"/>
          <w:b w:val="1"/>
          <w:bCs w:val="1"/>
          <w:color w:val="auto"/>
        </w:rPr>
        <w:t>BancFirst Corporaton</w:t>
      </w:r>
    </w:p>
    <w:p>
      <w:pPr>
        <w:spacing w:after="0" w:line="213" w:lineRule="exact"/>
        <w:rPr>
          <w:sz w:val="20"/>
          <w:szCs w:val="20"/>
          <w:color w:val="auto"/>
        </w:rPr>
      </w:pPr>
    </w:p>
    <w:p>
      <w:pPr>
        <w:ind w:left="60"/>
        <w:spacing w:after="0"/>
        <w:rPr>
          <w:sz w:val="20"/>
          <w:szCs w:val="20"/>
          <w:color w:val="auto"/>
        </w:rPr>
      </w:pPr>
      <w:r>
        <w:rPr>
          <w:rFonts w:ascii="Calibri" w:cs="Calibri" w:eastAsia="Calibri" w:hAnsi="Calibri"/>
          <w:sz w:val="18"/>
          <w:szCs w:val="18"/>
          <w:b w:val="1"/>
          <w:bCs w:val="1"/>
          <w:u w:val="single" w:color="auto"/>
          <w:color w:val="auto"/>
        </w:rPr>
        <w:t>Age: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68</w:t>
      </w:r>
    </w:p>
    <w:p>
      <w:pPr>
        <w:spacing w:after="0" w:line="212" w:lineRule="exact"/>
        <w:rPr>
          <w:sz w:val="20"/>
          <w:szCs w:val="20"/>
          <w:color w:val="auto"/>
        </w:rPr>
      </w:pPr>
    </w:p>
    <w:p>
      <w:pPr>
        <w:ind w:left="60"/>
        <w:spacing w:after="0"/>
        <w:rPr>
          <w:sz w:val="20"/>
          <w:szCs w:val="20"/>
          <w:color w:val="auto"/>
        </w:rPr>
      </w:pPr>
      <w:r>
        <w:rPr>
          <w:rFonts w:ascii="Calibri" w:cs="Calibri" w:eastAsia="Calibri" w:hAnsi="Calibri"/>
          <w:sz w:val="18"/>
          <w:szCs w:val="18"/>
          <w:b w:val="1"/>
          <w:bCs w:val="1"/>
          <w:u w:val="single" w:color="auto"/>
          <w:color w:val="auto"/>
        </w:rPr>
        <w:t>Director Since: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2019</w:t>
      </w:r>
    </w:p>
    <w:p>
      <w:pPr>
        <w:spacing w:after="0" w:line="212" w:lineRule="exact"/>
        <w:rPr>
          <w:sz w:val="20"/>
          <w:szCs w:val="20"/>
          <w:color w:val="auto"/>
        </w:rPr>
      </w:pPr>
    </w:p>
    <w:p>
      <w:pPr>
        <w:ind w:left="60"/>
        <w:spacing w:after="0"/>
        <w:rPr>
          <w:sz w:val="20"/>
          <w:szCs w:val="20"/>
          <w:color w:val="auto"/>
        </w:rPr>
      </w:pPr>
      <w:r>
        <w:rPr>
          <w:rFonts w:ascii="Calibri" w:cs="Calibri" w:eastAsia="Calibri" w:hAnsi="Calibri"/>
          <w:sz w:val="18"/>
          <w:szCs w:val="18"/>
          <w:b w:val="1"/>
          <w:bCs w:val="1"/>
          <w:u w:val="single" w:color="auto"/>
          <w:color w:val="auto"/>
        </w:rPr>
        <w:t>Commitees:</w:t>
      </w:r>
    </w:p>
    <w:p>
      <w:pPr>
        <w:ind w:left="60"/>
        <w:spacing w:after="0" w:line="235" w:lineRule="auto"/>
        <w:rPr>
          <w:sz w:val="20"/>
          <w:szCs w:val="20"/>
          <w:color w:val="auto"/>
        </w:rPr>
      </w:pPr>
      <w:r>
        <w:rPr>
          <w:rFonts w:ascii="Calibri" w:cs="Calibri" w:eastAsia="Calibri" w:hAnsi="Calibri"/>
          <w:sz w:val="18"/>
          <w:szCs w:val="18"/>
          <w:color w:val="auto"/>
        </w:rPr>
        <w:t>Audit</w:t>
      </w:r>
    </w:p>
    <w:p>
      <w:pPr>
        <w:spacing w:after="0" w:line="2" w:lineRule="exact"/>
        <w:rPr>
          <w:sz w:val="20"/>
          <w:szCs w:val="20"/>
          <w:color w:val="auto"/>
        </w:rPr>
      </w:pPr>
    </w:p>
    <w:p>
      <w:pPr>
        <w:ind w:left="60" w:right="440"/>
        <w:spacing w:after="0" w:line="235" w:lineRule="auto"/>
        <w:rPr>
          <w:sz w:val="20"/>
          <w:szCs w:val="20"/>
          <w:color w:val="auto"/>
        </w:rPr>
      </w:pPr>
      <w:r>
        <w:rPr>
          <w:rFonts w:ascii="Calibri" w:cs="Calibri" w:eastAsia="Calibri" w:hAnsi="Calibri"/>
          <w:sz w:val="18"/>
          <w:szCs w:val="18"/>
          <w:color w:val="auto"/>
        </w:rPr>
        <w:t>Nominatng, Corporate Governance and Stewardship</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auto"/>
        </w:rPr>
        <w:t>Professional Experience</w:t>
      </w:r>
      <w:r>
        <w:rPr>
          <w:rFonts w:ascii="Calibri" w:cs="Calibri" w:eastAsia="Calibri" w:hAnsi="Calibri"/>
          <w:sz w:val="18"/>
          <w:szCs w:val="18"/>
          <w:color w:val="auto"/>
        </w:rPr>
        <w:t>: Mr. Rainbolt is Executve Chairman of BancFirst Corporaton, a fnancial holding</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company which provides retail and commercial banking services through its principal wholly-owned subsidiary banks, BancFirst headquartered in Oklahoma City, Pegasus Bank in Dallas, Texas and Worthington Bank in Fort Worth, Texas. He has served as the Executve Chairman of BancFirst Corporaton since March 2017 and previously served as President and Chief Executve Ofcer from January 1992 to May 2017. In additon to serving as a director of BancFirst Corporaton, Mr. Rainbolt currently serves as a director of a number of community, charitable, professional and governmental boards, including Dean A. McGee Eye Insttute (Chair), Trustee of the Presbyterian Health Foundaton and Oklahoma Medical Research Foundaton.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auto"/>
        </w:rPr>
        <w:t>Qualifcatons</w:t>
      </w:r>
      <w:r>
        <w:rPr>
          <w:rFonts w:ascii="Calibri" w:cs="Calibri" w:eastAsia="Calibri" w:hAnsi="Calibri"/>
          <w:sz w:val="18"/>
          <w:szCs w:val="18"/>
          <w:color w:val="auto"/>
        </w:rPr>
        <w:t>: The Board concluded that Mr. Rainbolt should contnue serving as a director of the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Company based on his executve leadership experience in previously serving as president and chief executve ofcer of a bank, his extensive knowledge of the communites in the service territory due to his involvement and actve service in numerous civic and charitable maters afectng many of the communites served by the Company, his fnancial acumen/literacy from his experience in the banking industry, and his risk oversight experience developed over many years of leadership positons in the regulated banking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257810</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40" w:space="720"/>
            <w:col w:w="7440"/>
          </w:cols>
          <w:pgMar w:left="320" w:top="1238"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660" w:val="left"/>
        </w:tabs>
        <w:rPr>
          <w:sz w:val="20"/>
          <w:szCs w:val="20"/>
          <w:color w:val="auto"/>
        </w:rPr>
      </w:pPr>
      <w:r>
        <w:rPr>
          <w:rFonts w:ascii="Calibri" w:cs="Calibri" w:eastAsia="Calibri" w:hAnsi="Calibri"/>
          <w:sz w:val="17"/>
          <w:szCs w:val="17"/>
          <w:color w:val="auto"/>
        </w:rPr>
        <w:t>18</w:t>
      </w:r>
      <w:r>
        <w:rPr>
          <w:sz w:val="20"/>
          <w:szCs w:val="20"/>
          <w:color w:val="auto"/>
        </w:rPr>
        <w:tab/>
      </w:r>
      <w:r>
        <w:rPr>
          <w:rFonts w:ascii="Calibri" w:cs="Calibri" w:eastAsia="Calibri" w:hAnsi="Calibri"/>
          <w:sz w:val="17"/>
          <w:szCs w:val="17"/>
          <w:b w:val="1"/>
          <w:bCs w:val="1"/>
          <w:color w:val="EE2724"/>
        </w:rPr>
        <w:t xml:space="preserve">OGE Energy Corp. </w:t>
      </w:r>
      <w:r>
        <w:rPr>
          <w:rFonts w:ascii="Calibri" w:cs="Calibri" w:eastAsia="Calibri" w:hAnsi="Calibri"/>
          <w:sz w:val="17"/>
          <w:szCs w:val="17"/>
          <w:color w:val="00000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38" w:right="379" w:bottom="1440" w:gutter="0" w:footer="0" w:header="0"/>
          <w:type w:val="continuous"/>
        </w:sectPr>
      </w:pPr>
    </w:p>
    <w:bookmarkStart w:id="24" w:name="page25"/>
    <w:bookmarkEnd w:id="24"/>
    <w:p>
      <w:pPr>
        <w:jc w:val="both"/>
        <w:ind w:left="3760" w:right="20"/>
        <w:spacing w:after="0" w:line="235" w:lineRule="auto"/>
        <w:rPr>
          <w:sz w:val="20"/>
          <w:szCs w:val="20"/>
          <w:color w:val="auto"/>
        </w:rPr>
      </w:pPr>
      <w:r>
        <w:rPr>
          <w:rFonts w:ascii="Calibri" w:cs="Calibri" w:eastAsia="Calibri" w:hAnsi="Calibri"/>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748665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t>Professional Experience</w:t>
      </w:r>
      <w:r>
        <w:rPr>
          <w:rFonts w:ascii="Calibri" w:cs="Calibri" w:eastAsia="Calibri" w:hAnsi="Calibri"/>
          <w:sz w:val="18"/>
          <w:szCs w:val="18"/>
          <w:color w:val="auto"/>
        </w:rPr>
        <w:t>: Mr. Sanner is a retred audit partner of the Ernst &amp; Young LLP accountng frm.</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Mr. Sanner joined the accountng frm of Arthur Andersen LLP following college and has over 37 years of experience providing assurance services to both public and private companies primarily in the energy sector. Prior to his retrement in June 2013, Mr. Sanner served as Assurance Partner at Ernst &amp; Young LLP. Mr. Sanner currently serves on the board of Bank 7, a publicly-traded company. In additon, Mr. Sanner served as a member of the Oklahoma Accountancy Board (2010-2020) and has been involved in numerous civic, professional and charitable organizatons.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-941705</wp:posOffset>
            </wp:positionV>
            <wp:extent cx="857250" cy="11918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0" cy="1191895"/>
                    </a:xfrm>
                    <a:prstGeom prst="rect">
                      <a:avLst/>
                    </a:prstGeom>
                    <a:noFill/>
                  </pic:spPr>
                </pic:pic>
              </a:graphicData>
            </a:graphic>
          </wp:anchor>
        </w:drawing>
      </w:r>
    </w:p>
    <w:p>
      <w:pPr>
        <w:sectPr>
          <w:pgSz w:w="11900" w:h="16838" w:orient="portrait"/>
          <w:cols w:equalWidth="0" w:num="1">
            <w:col w:w="11200"/>
          </w:cols>
          <w:pgMar w:left="320" w:top="1238" w:right="37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ind w:left="60"/>
        <w:spacing w:after="0"/>
        <w:rPr>
          <w:sz w:val="20"/>
          <w:szCs w:val="20"/>
          <w:color w:val="auto"/>
        </w:rPr>
      </w:pPr>
      <w:r>
        <w:rPr>
          <w:rFonts w:ascii="Calibri" w:cs="Calibri" w:eastAsia="Calibri" w:hAnsi="Calibri"/>
          <w:sz w:val="18"/>
          <w:szCs w:val="18"/>
          <w:b w:val="1"/>
          <w:bCs w:val="1"/>
          <w:u w:val="single" w:color="auto"/>
          <w:color w:val="auto"/>
        </w:rPr>
        <w:t>J. Michael Sanner</w:t>
      </w:r>
    </w:p>
    <w:p>
      <w:pPr>
        <w:spacing w:after="0" w:line="212" w:lineRule="exact"/>
        <w:rPr>
          <w:sz w:val="20"/>
          <w:szCs w:val="20"/>
          <w:color w:val="auto"/>
        </w:rPr>
      </w:pPr>
    </w:p>
    <w:p>
      <w:pPr>
        <w:ind w:left="60"/>
        <w:spacing w:after="0"/>
        <w:rPr>
          <w:sz w:val="20"/>
          <w:szCs w:val="20"/>
          <w:color w:val="auto"/>
        </w:rPr>
      </w:pPr>
      <w:r>
        <w:rPr>
          <w:rFonts w:ascii="Calibri" w:cs="Calibri" w:eastAsia="Calibri" w:hAnsi="Calibri"/>
          <w:sz w:val="18"/>
          <w:szCs w:val="18"/>
          <w:b w:val="1"/>
          <w:bCs w:val="1"/>
          <w:color w:val="auto"/>
        </w:rPr>
        <w:t>Retred Partner,</w:t>
      </w:r>
    </w:p>
    <w:p>
      <w:pPr>
        <w:ind w:left="60"/>
        <w:spacing w:after="0" w:line="235" w:lineRule="auto"/>
        <w:rPr>
          <w:sz w:val="20"/>
          <w:szCs w:val="20"/>
          <w:color w:val="auto"/>
        </w:rPr>
      </w:pPr>
      <w:r>
        <w:rPr>
          <w:rFonts w:ascii="Calibri" w:cs="Calibri" w:eastAsia="Calibri" w:hAnsi="Calibri"/>
          <w:sz w:val="18"/>
          <w:szCs w:val="18"/>
          <w:b w:val="1"/>
          <w:bCs w:val="1"/>
          <w:color w:val="auto"/>
        </w:rPr>
        <w:t>Ernst &amp; Young LLP</w:t>
      </w:r>
    </w:p>
    <w:p>
      <w:pPr>
        <w:spacing w:after="0" w:line="213" w:lineRule="exact"/>
        <w:rPr>
          <w:sz w:val="20"/>
          <w:szCs w:val="20"/>
          <w:color w:val="auto"/>
        </w:rPr>
      </w:pPr>
    </w:p>
    <w:p>
      <w:pPr>
        <w:ind w:left="60"/>
        <w:spacing w:after="0"/>
        <w:rPr>
          <w:sz w:val="20"/>
          <w:szCs w:val="20"/>
          <w:color w:val="auto"/>
        </w:rPr>
      </w:pPr>
      <w:r>
        <w:rPr>
          <w:rFonts w:ascii="Calibri" w:cs="Calibri" w:eastAsia="Calibri" w:hAnsi="Calibri"/>
          <w:sz w:val="18"/>
          <w:szCs w:val="18"/>
          <w:b w:val="1"/>
          <w:bCs w:val="1"/>
          <w:u w:val="single" w:color="auto"/>
          <w:color w:val="auto"/>
        </w:rPr>
        <w:t>Age: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71</w:t>
      </w:r>
    </w:p>
    <w:p>
      <w:pPr>
        <w:spacing w:after="0" w:line="212" w:lineRule="exact"/>
        <w:rPr>
          <w:sz w:val="20"/>
          <w:szCs w:val="20"/>
          <w:color w:val="auto"/>
        </w:rPr>
      </w:pPr>
    </w:p>
    <w:p>
      <w:pPr>
        <w:ind w:left="60"/>
        <w:spacing w:after="0"/>
        <w:rPr>
          <w:sz w:val="20"/>
          <w:szCs w:val="20"/>
          <w:color w:val="auto"/>
        </w:rPr>
      </w:pPr>
      <w:r>
        <w:rPr>
          <w:rFonts w:ascii="Calibri" w:cs="Calibri" w:eastAsia="Calibri" w:hAnsi="Calibri"/>
          <w:sz w:val="18"/>
          <w:szCs w:val="18"/>
          <w:b w:val="1"/>
          <w:bCs w:val="1"/>
          <w:u w:val="single" w:color="auto"/>
          <w:color w:val="auto"/>
        </w:rPr>
        <w:t>Director Since: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2017</w:t>
      </w:r>
    </w:p>
    <w:p>
      <w:pPr>
        <w:spacing w:after="0" w:line="212" w:lineRule="exact"/>
        <w:rPr>
          <w:sz w:val="20"/>
          <w:szCs w:val="20"/>
          <w:color w:val="auto"/>
        </w:rPr>
      </w:pPr>
    </w:p>
    <w:p>
      <w:pPr>
        <w:ind w:left="60"/>
        <w:spacing w:after="0"/>
        <w:rPr>
          <w:sz w:val="20"/>
          <w:szCs w:val="20"/>
          <w:color w:val="auto"/>
        </w:rPr>
      </w:pPr>
      <w:r>
        <w:rPr>
          <w:rFonts w:ascii="Calibri" w:cs="Calibri" w:eastAsia="Calibri" w:hAnsi="Calibri"/>
          <w:sz w:val="18"/>
          <w:szCs w:val="18"/>
          <w:b w:val="1"/>
          <w:bCs w:val="1"/>
          <w:u w:val="single" w:color="auto"/>
          <w:color w:val="auto"/>
        </w:rPr>
        <w:t>Commitees:</w:t>
      </w:r>
    </w:p>
    <w:p>
      <w:pPr>
        <w:ind w:left="60"/>
        <w:spacing w:after="0" w:line="235" w:lineRule="auto"/>
        <w:rPr>
          <w:sz w:val="20"/>
          <w:szCs w:val="20"/>
          <w:color w:val="auto"/>
        </w:rPr>
      </w:pPr>
      <w:r>
        <w:rPr>
          <w:rFonts w:ascii="Calibri" w:cs="Calibri" w:eastAsia="Calibri" w:hAnsi="Calibri"/>
          <w:sz w:val="18"/>
          <w:szCs w:val="18"/>
          <w:color w:val="auto"/>
        </w:rPr>
        <w:t>Audit, Chair</w:t>
      </w:r>
    </w:p>
    <w:p>
      <w:pPr>
        <w:spacing w:after="0" w:line="2" w:lineRule="exact"/>
        <w:rPr>
          <w:sz w:val="20"/>
          <w:szCs w:val="20"/>
          <w:color w:val="auto"/>
        </w:rPr>
      </w:pPr>
    </w:p>
    <w:p>
      <w:pPr>
        <w:ind w:left="60"/>
        <w:spacing w:after="0"/>
        <w:rPr>
          <w:sz w:val="20"/>
          <w:szCs w:val="20"/>
          <w:color w:val="auto"/>
        </w:rPr>
      </w:pPr>
      <w:r>
        <w:rPr>
          <w:rFonts w:ascii="Calibri" w:cs="Calibri" w:eastAsia="Calibri" w:hAnsi="Calibri"/>
          <w:sz w:val="17"/>
          <w:szCs w:val="17"/>
          <w:color w:val="auto"/>
        </w:rPr>
        <w:t>Nominatng, Corporate Governance</w:t>
      </w:r>
    </w:p>
    <w:p>
      <w:pPr>
        <w:spacing w:after="0" w:line="4" w:lineRule="exact"/>
        <w:rPr>
          <w:sz w:val="20"/>
          <w:szCs w:val="20"/>
          <w:color w:val="auto"/>
        </w:rPr>
      </w:pPr>
    </w:p>
    <w:p>
      <w:pPr>
        <w:ind w:left="60"/>
        <w:spacing w:after="0"/>
        <w:rPr>
          <w:sz w:val="20"/>
          <w:szCs w:val="20"/>
          <w:color w:val="auto"/>
        </w:rPr>
      </w:pPr>
      <w:r>
        <w:rPr>
          <w:rFonts w:ascii="Calibri" w:cs="Calibri" w:eastAsia="Calibri" w:hAnsi="Calibri"/>
          <w:sz w:val="18"/>
          <w:szCs w:val="18"/>
          <w:color w:val="auto"/>
        </w:rPr>
        <w:t>and Stewardship</w:t>
      </w:r>
    </w:p>
    <w:p>
      <w:pPr>
        <w:ind w:left="60"/>
        <w:spacing w:after="0" w:line="235" w:lineRule="auto"/>
        <w:rPr>
          <w:sz w:val="20"/>
          <w:szCs w:val="20"/>
          <w:color w:val="auto"/>
        </w:rPr>
      </w:pPr>
      <w:r>
        <w:rPr>
          <w:rFonts w:ascii="Calibri" w:cs="Calibri" w:eastAsia="Calibri" w:hAnsi="Calibri"/>
          <w:sz w:val="18"/>
          <w:szCs w:val="18"/>
          <w:color w:val="auto"/>
        </w:rPr>
        <w:t>Executve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auto"/>
        </w:rPr>
        <w:t>Qualifcatons</w:t>
      </w:r>
      <w:r>
        <w:rPr>
          <w:rFonts w:ascii="Calibri" w:cs="Calibri" w:eastAsia="Calibri" w:hAnsi="Calibri"/>
          <w:sz w:val="18"/>
          <w:szCs w:val="18"/>
          <w:color w:val="auto"/>
        </w:rPr>
        <w:t>: The Board concluded that Mr. Sanner should contnue serving as a director of the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Company based on his utlity/regulatory knowledge developed during his tenure providing accountng services to companies primarily in the energy sector, his fnancial acumen/expertse gained in public accountng, his knowledge of the service territory served by the Company, and his risk oversight experience gained in public accountng of regulated enttes.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531495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608330</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7" w:lineRule="exact"/>
        <w:rPr>
          <w:sz w:val="20"/>
          <w:szCs w:val="20"/>
          <w:color w:val="auto"/>
        </w:rPr>
      </w:pPr>
    </w:p>
    <w:p>
      <w:pPr>
        <w:sectPr>
          <w:pgSz w:w="11900" w:h="16838" w:orient="portrait"/>
          <w:cols w:equalWidth="0" w:num="2">
            <w:col w:w="3040" w:space="720"/>
            <w:col w:w="7440"/>
          </w:cols>
          <w:pgMar w:left="320" w:top="1238"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0"/>
        <w:spacing w:after="0"/>
        <w:rPr>
          <w:sz w:val="20"/>
          <w:szCs w:val="20"/>
          <w:color w:val="auto"/>
        </w:rPr>
      </w:pPr>
      <w:r>
        <w:rPr>
          <w:rFonts w:ascii="Calibri" w:cs="Calibri" w:eastAsia="Calibri" w:hAnsi="Calibri"/>
          <w:sz w:val="18"/>
          <w:szCs w:val="18"/>
          <w:b w:val="1"/>
          <w:bCs w:val="1"/>
          <w:u w:val="single" w:color="auto"/>
          <w:color w:val="auto"/>
        </w:rPr>
        <w:t>Sheila G. Talton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-1373505</wp:posOffset>
            </wp:positionV>
            <wp:extent cx="865505" cy="12172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65505" cy="1217295"/>
                    </a:xfrm>
                    <a:prstGeom prst="rect">
                      <a:avLst/>
                    </a:prstGeom>
                    <a:noFill/>
                  </pic:spPr>
                </pic:pic>
              </a:graphicData>
            </a:graphic>
          </wp:anchor>
        </w:drawing>
      </w:r>
    </w:p>
    <w:p>
      <w:pPr>
        <w:spacing w:after="0" w:line="192" w:lineRule="exact"/>
        <w:rPr>
          <w:sz w:val="20"/>
          <w:szCs w:val="20"/>
          <w:color w:val="auto"/>
        </w:rPr>
      </w:pPr>
    </w:p>
    <w:p>
      <w:pPr>
        <w:ind w:left="60"/>
        <w:spacing w:after="0"/>
        <w:rPr>
          <w:sz w:val="20"/>
          <w:szCs w:val="20"/>
          <w:color w:val="auto"/>
        </w:rPr>
      </w:pPr>
      <w:r>
        <w:rPr>
          <w:rFonts w:ascii="Calibri" w:cs="Calibri" w:eastAsia="Calibri" w:hAnsi="Calibri"/>
          <w:sz w:val="18"/>
          <w:szCs w:val="18"/>
          <w:b w:val="1"/>
          <w:bCs w:val="1"/>
          <w:color w:val="auto"/>
        </w:rPr>
        <w:t>President and CEO,</w:t>
      </w:r>
    </w:p>
    <w:p>
      <w:pPr>
        <w:ind w:left="60"/>
        <w:spacing w:after="0" w:line="235" w:lineRule="auto"/>
        <w:rPr>
          <w:sz w:val="20"/>
          <w:szCs w:val="20"/>
          <w:color w:val="auto"/>
        </w:rPr>
      </w:pPr>
      <w:r>
        <w:rPr>
          <w:rFonts w:ascii="Calibri" w:cs="Calibri" w:eastAsia="Calibri" w:hAnsi="Calibri"/>
          <w:sz w:val="18"/>
          <w:szCs w:val="18"/>
          <w:b w:val="1"/>
          <w:bCs w:val="1"/>
          <w:color w:val="auto"/>
        </w:rPr>
        <w:t>Gray Mater Analytcs</w:t>
      </w:r>
    </w:p>
    <w:p>
      <w:pPr>
        <w:spacing w:after="0" w:line="213" w:lineRule="exact"/>
        <w:rPr>
          <w:sz w:val="20"/>
          <w:szCs w:val="20"/>
          <w:color w:val="auto"/>
        </w:rPr>
      </w:pPr>
    </w:p>
    <w:p>
      <w:pPr>
        <w:ind w:left="60"/>
        <w:spacing w:after="0"/>
        <w:rPr>
          <w:sz w:val="20"/>
          <w:szCs w:val="20"/>
          <w:color w:val="auto"/>
        </w:rPr>
      </w:pPr>
      <w:r>
        <w:rPr>
          <w:rFonts w:ascii="Calibri" w:cs="Calibri" w:eastAsia="Calibri" w:hAnsi="Calibri"/>
          <w:sz w:val="18"/>
          <w:szCs w:val="18"/>
          <w:b w:val="1"/>
          <w:bCs w:val="1"/>
          <w:u w:val="single" w:color="auto"/>
          <w:color w:val="auto"/>
        </w:rPr>
        <w:t>Age: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71</w:t>
      </w:r>
    </w:p>
    <w:p>
      <w:pPr>
        <w:spacing w:after="0" w:line="212" w:lineRule="exact"/>
        <w:rPr>
          <w:sz w:val="20"/>
          <w:szCs w:val="20"/>
          <w:color w:val="auto"/>
        </w:rPr>
      </w:pPr>
    </w:p>
    <w:p>
      <w:pPr>
        <w:ind w:left="60"/>
        <w:spacing w:after="0"/>
        <w:rPr>
          <w:sz w:val="20"/>
          <w:szCs w:val="20"/>
          <w:color w:val="auto"/>
        </w:rPr>
      </w:pPr>
      <w:r>
        <w:rPr>
          <w:rFonts w:ascii="Calibri" w:cs="Calibri" w:eastAsia="Calibri" w:hAnsi="Calibri"/>
          <w:sz w:val="18"/>
          <w:szCs w:val="18"/>
          <w:b w:val="1"/>
          <w:bCs w:val="1"/>
          <w:u w:val="single" w:color="auto"/>
          <w:color w:val="auto"/>
        </w:rPr>
        <w:t>Director Since: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2013</w:t>
      </w:r>
    </w:p>
    <w:p>
      <w:pPr>
        <w:spacing w:after="0" w:line="212" w:lineRule="exact"/>
        <w:rPr>
          <w:sz w:val="20"/>
          <w:szCs w:val="20"/>
          <w:color w:val="auto"/>
        </w:rPr>
      </w:pPr>
    </w:p>
    <w:p>
      <w:pPr>
        <w:ind w:left="60"/>
        <w:spacing w:after="0"/>
        <w:rPr>
          <w:sz w:val="20"/>
          <w:szCs w:val="20"/>
          <w:color w:val="auto"/>
        </w:rPr>
      </w:pPr>
      <w:r>
        <w:rPr>
          <w:rFonts w:ascii="Calibri" w:cs="Calibri" w:eastAsia="Calibri" w:hAnsi="Calibri"/>
          <w:sz w:val="18"/>
          <w:szCs w:val="18"/>
          <w:b w:val="1"/>
          <w:bCs w:val="1"/>
          <w:u w:val="single" w:color="auto"/>
          <w:color w:val="auto"/>
        </w:rPr>
        <w:t>Commitees:</w:t>
      </w:r>
    </w:p>
    <w:p>
      <w:pPr>
        <w:ind w:left="60"/>
        <w:spacing w:after="0" w:line="235" w:lineRule="auto"/>
        <w:rPr>
          <w:sz w:val="20"/>
          <w:szCs w:val="20"/>
          <w:color w:val="auto"/>
        </w:rPr>
      </w:pPr>
      <w:r>
        <w:rPr>
          <w:rFonts w:ascii="Calibri" w:cs="Calibri" w:eastAsia="Calibri" w:hAnsi="Calibri"/>
          <w:sz w:val="18"/>
          <w:szCs w:val="18"/>
          <w:color w:val="auto"/>
        </w:rPr>
        <w:t>Compensaton</w:t>
      </w:r>
    </w:p>
    <w:p>
      <w:pPr>
        <w:spacing w:after="0" w:line="2" w:lineRule="exact"/>
        <w:rPr>
          <w:sz w:val="20"/>
          <w:szCs w:val="20"/>
          <w:color w:val="auto"/>
        </w:rPr>
      </w:pPr>
    </w:p>
    <w:p>
      <w:pPr>
        <w:ind w:left="60"/>
        <w:spacing w:after="0"/>
        <w:rPr>
          <w:sz w:val="20"/>
          <w:szCs w:val="20"/>
          <w:color w:val="auto"/>
        </w:rPr>
      </w:pPr>
      <w:r>
        <w:rPr>
          <w:rFonts w:ascii="Calibri" w:cs="Calibri" w:eastAsia="Calibri" w:hAnsi="Calibri"/>
          <w:sz w:val="17"/>
          <w:szCs w:val="17"/>
          <w:color w:val="auto"/>
        </w:rPr>
        <w:t>Nominatng, Corporate Governance</w:t>
      </w:r>
    </w:p>
    <w:p>
      <w:pPr>
        <w:spacing w:after="0" w:line="4" w:lineRule="exact"/>
        <w:rPr>
          <w:sz w:val="20"/>
          <w:szCs w:val="20"/>
          <w:color w:val="auto"/>
        </w:rPr>
      </w:pPr>
    </w:p>
    <w:p>
      <w:pPr>
        <w:ind w:left="60"/>
        <w:spacing w:after="0"/>
        <w:rPr>
          <w:sz w:val="20"/>
          <w:szCs w:val="20"/>
          <w:color w:val="auto"/>
        </w:rPr>
      </w:pPr>
      <w:r>
        <w:rPr>
          <w:rFonts w:ascii="Calibri" w:cs="Calibri" w:eastAsia="Calibri" w:hAnsi="Calibri"/>
          <w:sz w:val="18"/>
          <w:szCs w:val="18"/>
          <w:color w:val="auto"/>
        </w:rPr>
        <w:t>and Stewardship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auto"/>
        </w:rPr>
        <w:t>Professional Experience</w:t>
      </w:r>
      <w:r>
        <w:rPr>
          <w:rFonts w:ascii="Calibri" w:cs="Calibri" w:eastAsia="Calibri" w:hAnsi="Calibri"/>
          <w:sz w:val="18"/>
          <w:szCs w:val="18"/>
          <w:color w:val="auto"/>
        </w:rPr>
        <w:t>: Ms. Talton currently serves as President and CEO of Gray Mater Analytcs, a</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 xml:space="preserve">healthcare analytcs solutons company that works with payors and providers. Prior to founding Gray Mater Analytcs in 2013, she served as President and Chief Executve Ofcer of SGT Ltd., a strategy and technology consultng business, from 2011 to 2013 and as Vice President of Cisco Systems, Inc., from 2008 to 2011. Ms. Talton currently serves on the boards of Deere &amp; Company and Sysco Corporaton. From 2012 untl 2019, Ms. Talton served on the board of Wintrust Financial Corporaton. She has been a Congressional appointee on the U.S. White House Women's Business Council. She also has been recognized as one of the "Top 10 Women in Technology" by Enterprising Women, as "Entrepreneur of the Year" by the Natonal Federaton of Black Women Business Owners and as a 2021 Notable Black Leader &amp; Executve by </w:t>
      </w:r>
      <w:r>
        <w:rPr>
          <w:rFonts w:ascii="Calibri" w:cs="Calibri" w:eastAsia="Calibri" w:hAnsi="Calibri"/>
          <w:sz w:val="18"/>
          <w:szCs w:val="18"/>
          <w:i w:val="1"/>
          <w:iCs w:val="1"/>
          <w:color w:val="auto"/>
        </w:rPr>
        <w:t>Crain's Chicago Business</w:t>
      </w:r>
      <w:r>
        <w:rPr>
          <w:rFonts w:ascii="Calibri" w:cs="Calibri" w:eastAsia="Calibri" w:hAnsi="Calibri"/>
          <w:sz w:val="18"/>
          <w:szCs w:val="18"/>
          <w:color w:val="auto"/>
        </w:rPr>
        <w:t>. She serves on the boards of several nonproft organizatons including Chicago's Northwestern Memorial Foundaton, the Chicago Shakespeare Theater and the Chicago Urban League.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auto"/>
        </w:rPr>
        <w:t>Qualifcatons</w:t>
      </w:r>
      <w:r>
        <w:rPr>
          <w:rFonts w:ascii="Calibri" w:cs="Calibri" w:eastAsia="Calibri" w:hAnsi="Calibri"/>
          <w:sz w:val="18"/>
          <w:szCs w:val="18"/>
          <w:color w:val="auto"/>
        </w:rPr>
        <w:t>: The Board concluded that Ms. Talton should contnue to serve as a director of the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Company based on her executve leadership experience and her subject mater expertse in informaton technology and data analytcs gained while leading Gray Mater Analytcs and in executve positons held in global technology companies and consultng frms. Ms. Talton also brings knowledge and perspectves on cybersecurity and oversight of corporate stewardship, including social and human capital management implicatons and opportunites.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394970</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40" w:space="720"/>
            <w:col w:w="7440"/>
          </w:cols>
          <w:pgMar w:left="320" w:top="1238"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660" w:val="left"/>
        </w:tabs>
        <w:rPr>
          <w:sz w:val="20"/>
          <w:szCs w:val="20"/>
          <w:color w:val="auto"/>
        </w:rPr>
      </w:pPr>
      <w:r>
        <w:rPr>
          <w:rFonts w:ascii="Calibri" w:cs="Calibri" w:eastAsia="Calibri" w:hAnsi="Calibri"/>
          <w:sz w:val="17"/>
          <w:szCs w:val="17"/>
          <w:color w:val="auto"/>
        </w:rPr>
        <w:t>19</w:t>
      </w:r>
      <w:r>
        <w:rPr>
          <w:sz w:val="20"/>
          <w:szCs w:val="20"/>
          <w:color w:val="auto"/>
        </w:rPr>
        <w:tab/>
      </w:r>
      <w:r>
        <w:rPr>
          <w:rFonts w:ascii="Calibri" w:cs="Calibri" w:eastAsia="Calibri" w:hAnsi="Calibri"/>
          <w:sz w:val="17"/>
          <w:szCs w:val="17"/>
          <w:b w:val="1"/>
          <w:bCs w:val="1"/>
          <w:color w:val="EE2724"/>
        </w:rPr>
        <w:t xml:space="preserve">OGE Energy Corp. </w:t>
      </w:r>
      <w:r>
        <w:rPr>
          <w:rFonts w:ascii="Calibri" w:cs="Calibri" w:eastAsia="Calibri" w:hAnsi="Calibri"/>
          <w:sz w:val="17"/>
          <w:szCs w:val="17"/>
          <w:color w:val="00000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38" w:right="379" w:bottom="1440" w:gutter="0" w:footer="0" w:header="0"/>
          <w:type w:val="continuous"/>
        </w:sectPr>
      </w:pPr>
    </w:p>
    <w:bookmarkStart w:id="25" w:name="page26"/>
    <w:bookmarkEnd w:id="25"/>
    <w:p>
      <w:pPr>
        <w:spacing w:after="0" w:line="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885825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both"/>
        <w:ind w:left="3760" w:right="40"/>
        <w:spacing w:after="0" w:line="235" w:lineRule="auto"/>
        <w:rPr>
          <w:sz w:val="20"/>
          <w:szCs w:val="20"/>
          <w:color w:val="auto"/>
        </w:rPr>
      </w:pPr>
      <w:r>
        <w:rPr>
          <w:rFonts w:ascii="Calibri" w:cs="Calibri" w:eastAsia="Calibri" w:hAnsi="Calibri"/>
          <w:sz w:val="18"/>
          <w:szCs w:val="18"/>
          <w:i w:val="1"/>
          <w:iCs w:val="1"/>
          <w:color w:val="auto"/>
        </w:rPr>
        <w:t>Professional Experience</w:t>
      </w:r>
      <w:r>
        <w:rPr>
          <w:rFonts w:ascii="Calibri" w:cs="Calibri" w:eastAsia="Calibri" w:hAnsi="Calibri"/>
          <w:sz w:val="18"/>
          <w:szCs w:val="18"/>
          <w:color w:val="auto"/>
        </w:rPr>
        <w:t>: Mr. Trauschke currently serves as Chairman, President and Chief Executve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Ofcer of the Company and OG&amp;E. Mr. Trauschke has been Chief Executve Ofcer of the Company since June 2015. He has been President of OG&amp;E since July 2013 and President of OGE Energy since August 2014 and was named as Chairman of the Board in December 2015. From 2009 untl 2013, he held the positon of Vice President and Chief Financial Ofcer of the Company and OG&amp;E. Mr. Trauschke also serves on the boards of the Greater Oklahoma City Chamber, United Way of Central Oklahoma and other local community organizatons.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-941705</wp:posOffset>
            </wp:positionV>
            <wp:extent cx="882650" cy="12255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2650" cy="122555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60"/>
        <w:spacing w:after="0"/>
        <w:rPr>
          <w:sz w:val="20"/>
          <w:szCs w:val="20"/>
          <w:color w:val="auto"/>
        </w:rPr>
      </w:pPr>
      <w:r>
        <w:rPr>
          <w:rFonts w:ascii="Calibri" w:cs="Calibri" w:eastAsia="Calibri" w:hAnsi="Calibri"/>
          <w:sz w:val="18"/>
          <w:szCs w:val="18"/>
          <w:b w:val="1"/>
          <w:bCs w:val="1"/>
          <w:u w:val="single" w:color="auto"/>
          <w:color w:val="auto"/>
        </w:rPr>
        <w:t>Sean Trauschke</w:t>
      </w:r>
    </w:p>
    <w:p>
      <w:pPr>
        <w:spacing w:after="0" w:line="212" w:lineRule="exact"/>
        <w:rPr>
          <w:sz w:val="20"/>
          <w:szCs w:val="20"/>
          <w:color w:val="auto"/>
        </w:rPr>
      </w:pPr>
    </w:p>
    <w:p>
      <w:pPr>
        <w:ind w:left="60"/>
        <w:spacing w:after="0"/>
        <w:rPr>
          <w:sz w:val="20"/>
          <w:szCs w:val="20"/>
          <w:color w:val="auto"/>
        </w:rPr>
      </w:pPr>
      <w:r>
        <w:rPr>
          <w:rFonts w:ascii="Calibri" w:cs="Calibri" w:eastAsia="Calibri" w:hAnsi="Calibri"/>
          <w:sz w:val="18"/>
          <w:szCs w:val="18"/>
          <w:b w:val="1"/>
          <w:bCs w:val="1"/>
          <w:color w:val="auto"/>
        </w:rPr>
        <w:t>Chairman, President and CEO,</w:t>
      </w:r>
    </w:p>
    <w:p>
      <w:pPr>
        <w:ind w:left="60"/>
        <w:spacing w:after="0" w:line="235" w:lineRule="auto"/>
        <w:rPr>
          <w:sz w:val="20"/>
          <w:szCs w:val="20"/>
          <w:color w:val="auto"/>
        </w:rPr>
      </w:pPr>
      <w:r>
        <w:rPr>
          <w:rFonts w:ascii="Calibri" w:cs="Calibri" w:eastAsia="Calibri" w:hAnsi="Calibri"/>
          <w:sz w:val="18"/>
          <w:szCs w:val="18"/>
          <w:b w:val="1"/>
          <w:bCs w:val="1"/>
          <w:color w:val="auto"/>
        </w:rPr>
        <w:t>OGE Energy Corp.</w:t>
      </w:r>
    </w:p>
    <w:p>
      <w:pPr>
        <w:spacing w:after="0" w:line="213" w:lineRule="exact"/>
        <w:rPr>
          <w:sz w:val="20"/>
          <w:szCs w:val="20"/>
          <w:color w:val="auto"/>
        </w:rPr>
      </w:pPr>
    </w:p>
    <w:p>
      <w:pPr>
        <w:ind w:left="60"/>
        <w:spacing w:after="0"/>
        <w:rPr>
          <w:sz w:val="20"/>
          <w:szCs w:val="20"/>
          <w:color w:val="auto"/>
        </w:rPr>
      </w:pPr>
      <w:r>
        <w:rPr>
          <w:rFonts w:ascii="Calibri" w:cs="Calibri" w:eastAsia="Calibri" w:hAnsi="Calibri"/>
          <w:sz w:val="18"/>
          <w:szCs w:val="18"/>
          <w:b w:val="1"/>
          <w:bCs w:val="1"/>
          <w:u w:val="single" w:color="auto"/>
          <w:color w:val="auto"/>
        </w:rPr>
        <w:t>Age: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57</w:t>
      </w:r>
    </w:p>
    <w:p>
      <w:pPr>
        <w:spacing w:after="0" w:line="212" w:lineRule="exact"/>
        <w:rPr>
          <w:sz w:val="20"/>
          <w:szCs w:val="20"/>
          <w:color w:val="auto"/>
        </w:rPr>
      </w:pPr>
    </w:p>
    <w:p>
      <w:pPr>
        <w:ind w:left="60"/>
        <w:spacing w:after="0"/>
        <w:rPr>
          <w:sz w:val="20"/>
          <w:szCs w:val="20"/>
          <w:color w:val="auto"/>
        </w:rPr>
      </w:pPr>
      <w:r>
        <w:rPr>
          <w:rFonts w:ascii="Calibri" w:cs="Calibri" w:eastAsia="Calibri" w:hAnsi="Calibri"/>
          <w:sz w:val="18"/>
          <w:szCs w:val="18"/>
          <w:b w:val="1"/>
          <w:bCs w:val="1"/>
          <w:u w:val="single" w:color="auto"/>
          <w:color w:val="auto"/>
        </w:rPr>
        <w:t>Director Since: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2015</w:t>
      </w:r>
    </w:p>
    <w:p>
      <w:pPr>
        <w:spacing w:after="0" w:line="28" w:lineRule="exact"/>
        <w:rPr>
          <w:sz w:val="20"/>
          <w:szCs w:val="20"/>
          <w:color w:val="auto"/>
        </w:rPr>
      </w:pPr>
    </w:p>
    <w:p>
      <w:pPr>
        <w:jc w:val="both"/>
        <w:ind w:left="3760" w:right="40"/>
        <w:spacing w:after="0" w:line="235" w:lineRule="auto"/>
        <w:rPr>
          <w:sz w:val="20"/>
          <w:szCs w:val="20"/>
          <w:color w:val="auto"/>
        </w:rPr>
      </w:pPr>
      <w:r>
        <w:rPr>
          <w:rFonts w:ascii="Calibri" w:cs="Calibri" w:eastAsia="Calibri" w:hAnsi="Calibri"/>
          <w:sz w:val="18"/>
          <w:szCs w:val="18"/>
          <w:i w:val="1"/>
          <w:iCs w:val="1"/>
          <w:color w:val="auto"/>
        </w:rPr>
        <w:t>Qualifcatons</w:t>
      </w:r>
      <w:r>
        <w:rPr>
          <w:rFonts w:ascii="Calibri" w:cs="Calibri" w:eastAsia="Calibri" w:hAnsi="Calibri"/>
          <w:sz w:val="18"/>
          <w:szCs w:val="18"/>
          <w:color w:val="auto"/>
        </w:rPr>
        <w:t>: The Board concluded that Mr. Trauschke should contnue serving on the Board based on</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his executve leadership experience, his utlity/regulatory experience, his extensive knowledge of the Company’s business and service territory, his fnancial acumen/literacy, his risk oversight experience and his ESG experience, all due in large part to his leadership roles at the Company, including having served as Chairman, President and CEO and formerly serving as Chief Financial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531495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74"/>
        <w:spacing w:after="0" w:line="250" w:lineRule="auto"/>
        <w:rPr>
          <w:sz w:val="20"/>
          <w:szCs w:val="20"/>
          <w:color w:val="auto"/>
        </w:rPr>
      </w:pPr>
      <w:r>
        <w:rPr>
          <w:rFonts w:ascii="Calibri" w:cs="Calibri" w:eastAsia="Calibri" w:hAnsi="Calibri"/>
          <w:sz w:val="17"/>
          <w:szCs w:val="17"/>
          <w:color w:val="auto"/>
        </w:rPr>
        <w:t>The afrmatve vote of the holders of a majority of the shares of the Company's Common Stock present online at the virtual meetng or represented by proxy and enttled to vote on the electon of directors at the Annual Meetng of Shareholders will be required for the electon of each of the 10 nominees as director. Broker non-votes will be treated as shares not enttled to be voted and will have no efect on the outcome of the proposal. Any incumbent director who is not reelected in an electon in which majority votng applies is required to tender his or her resignaton promptly to the Board. The Nominatng, Corporate Governance and Stewardship Commitee will then consider the tendered resignaton and recommend to the Board whether to accept or reject the resignaton ofer, or whether other acton should be taken. The Board will act on the recommendaton within 100 days following certfcaton of the shareholders' vote and will promptly disclose its decision regarding whether to accept the director's resignaton ofer. The director who tenders his or her resignaton will not partcipate in the recommendaton of the Nominatng, Corporate Governance and Stewardship Commitee or the decision of the Board with respect to his or her resignaton. If a director's resignaton is not accepted by the Board, the director will contnue to serve untl the next annual meetng and untl his or her successor is duly elected. If a director's resignaton is accepted by the Board, or if a nominee for director is not elected and the nominee is not an incumbent director, then the Board of Directors, in its sole discreton, may fll any resultng vacancy pursuant to the provisions of the bylaws.</w:t>
      </w:r>
    </w:p>
    <w:p>
      <w:pPr>
        <w:spacing w:after="0" w:line="214"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b w:val="1"/>
          <w:bCs w:val="1"/>
          <w:color w:val="auto"/>
        </w:rPr>
        <w:t>The Board of Directors recommends a vote "FOR" the electon of each of the 10 nominees as director. Proxies solicited by the Board of Directors will be voted "FOR" the electon of each of the 10 nominees as director, unless a diferent vote is specifed.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tabs>
          <w:tab w:leader="none" w:pos="660" w:val="left"/>
        </w:tabs>
        <w:rPr>
          <w:sz w:val="20"/>
          <w:szCs w:val="20"/>
          <w:color w:val="auto"/>
        </w:rPr>
      </w:pPr>
      <w:r>
        <w:rPr>
          <w:rFonts w:ascii="Calibri" w:cs="Calibri" w:eastAsia="Calibri" w:hAnsi="Calibri"/>
          <w:sz w:val="18"/>
          <w:szCs w:val="18"/>
          <w:color w:val="auto"/>
        </w:rPr>
        <w:t>20</w:t>
      </w:r>
      <w:r>
        <w:rPr>
          <w:sz w:val="20"/>
          <w:szCs w:val="20"/>
          <w:color w:val="auto"/>
        </w:rPr>
        <w:tab/>
      </w:r>
      <w:r>
        <w:rPr>
          <w:rFonts w:ascii="Calibri" w:cs="Calibri" w:eastAsia="Calibri" w:hAnsi="Calibri"/>
          <w:sz w:val="18"/>
          <w:szCs w:val="18"/>
          <w:b w:val="1"/>
          <w:bCs w:val="1"/>
          <w:color w:val="EE2724"/>
        </w:rPr>
        <w:t xml:space="preserve">OGE Energy Corp. </w:t>
      </w:r>
      <w:r>
        <w:rPr>
          <w:rFonts w:ascii="Calibri" w:cs="Calibri" w:eastAsia="Calibri" w:hAnsi="Calibri"/>
          <w:sz w:val="18"/>
          <w:szCs w:val="18"/>
          <w:color w:val="00000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ind w:left="60"/>
        <w:spacing w:after="0"/>
        <w:rPr>
          <w:sz w:val="20"/>
          <w:szCs w:val="20"/>
          <w:color w:val="auto"/>
        </w:rPr>
      </w:pPr>
      <w:r>
        <w:rPr>
          <w:rFonts w:ascii="Calibri" w:cs="Calibri" w:eastAsia="Calibri" w:hAnsi="Calibri"/>
          <w:sz w:val="25"/>
          <w:szCs w:val="25"/>
          <w:b w:val="1"/>
          <w:bCs w:val="1"/>
          <w:color w:val="auto"/>
        </w:rPr>
        <w:t>PROPOSAL NO. 2 -</w:t>
      </w:r>
    </w:p>
    <w:p>
      <w:pPr>
        <w:spacing w:after="0" w:line="45" w:lineRule="exact"/>
        <w:rPr>
          <w:sz w:val="20"/>
          <w:szCs w:val="20"/>
          <w:color w:val="auto"/>
        </w:rPr>
      </w:pPr>
    </w:p>
    <w:p>
      <w:pPr>
        <w:ind w:left="60" w:right="120"/>
        <w:spacing w:after="0" w:line="235" w:lineRule="auto"/>
        <w:rPr>
          <w:sz w:val="20"/>
          <w:szCs w:val="20"/>
          <w:color w:val="auto"/>
        </w:rPr>
      </w:pPr>
      <w:r>
        <w:rPr>
          <w:rFonts w:ascii="Calibri" w:cs="Calibri" w:eastAsia="Calibri" w:hAnsi="Calibri"/>
          <w:sz w:val="22"/>
          <w:szCs w:val="22"/>
          <w:b w:val="1"/>
          <w:bCs w:val="1"/>
          <w:color w:val="auto"/>
        </w:rPr>
        <w:t>RATIFICATION OF THE APPOINTMENT OF ERNST &amp; YOUNG LLP AS THE COMPANY'S PRINCIPAL INDEPENDENT ACCOUNTANTS FOR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9"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The Audit Commitee has selected Ernst &amp; Young LLP as principal independent accountants to audit the accounts of the Company for the fscal year ending December 31, 2024. Ernst &amp; Young LLP was originally selected by the Board, upon the recommendaton of the Audit Commitee, as principal independent accountants for the Company efectve May 16, 2002.</w:t>
      </w:r>
    </w:p>
    <w:p>
      <w:pPr>
        <w:spacing w:after="0" w:line="178"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While the Audit Commitee is responsible for the appointment, retenton, terminaton and oversight of the Company's principal independent accountants, the Audit Commitee and the Board are requestng, as a mater of policy, that shareholders ratfy the appointment of Ernst &amp; Young LLP as the Company's principal independent accountants. The Audit Commitee is not required to take any acton as a result of the outcome of the vote on this proposal. However, if the shareholders do not ratfy this appointment, the Audit Commitee may investgate the reasons for the shareholders' rejecton and may consider whether to retain Ernst &amp; Young LLP or to appoint another principal independent accountant. Furthermore, even if the appointment is ratfed, the Audit Commitee in its discreton may direct the appointment of diferent principal independent accountants at any tme during the year if it determines that such a change would be in the best interests of the Company and its shareholders.</w:t>
      </w:r>
    </w:p>
    <w:p>
      <w:pPr>
        <w:spacing w:after="0" w:line="195"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Representatves of Ernst &amp; Young LLP will be present at the Annual Meetng of Shareholders and will have an opportunity to make a statement if they so desire. Such representatves will be available to respond to appropriate questons from the shareholders at the Annual Meetng of Shareholders.</w:t>
      </w:r>
    </w:p>
    <w:p>
      <w:pPr>
        <w:spacing w:after="0" w:line="177"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The afrmatve vote of the holders of a majority of the shares of the Company's Common Stock present online at the virtual meetng or represented by proxy and enttled to vote at the Annual Meetng of Shareholders will be required for the ratfcaton of the appointment of Ernst &amp; Young LLP as the Company's principal independent accountants for 2024. Abstentons from votng in this mater are treated as votes against.</w:t>
      </w:r>
    </w:p>
    <w:p>
      <w:pPr>
        <w:spacing w:after="0" w:line="178"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b w:val="1"/>
          <w:bCs w:val="1"/>
          <w:color w:val="auto"/>
        </w:rPr>
        <w:t>The Board of Directors recommends a vote "FOR" the ratfcaton of the appointment of the Company's principal independent accountants. Proxies solicited by the Board of Directors will be voted "FOR" the ratfcaton of the appointment of the Company's principal independent accountants, unless a diferent vote is specifed.</w:t>
      </w:r>
    </w:p>
    <w:p>
      <w:pPr>
        <w:spacing w:after="0" w:line="389" w:lineRule="exact"/>
        <w:rPr>
          <w:sz w:val="20"/>
          <w:szCs w:val="20"/>
          <w:color w:val="auto"/>
        </w:rPr>
      </w:pPr>
    </w:p>
    <w:p>
      <w:pPr>
        <w:spacing w:after="0"/>
        <w:tabs>
          <w:tab w:leader="none" w:pos="660" w:val="left"/>
        </w:tabs>
        <w:rPr>
          <w:sz w:val="20"/>
          <w:szCs w:val="20"/>
          <w:color w:val="auto"/>
        </w:rPr>
      </w:pPr>
      <w:r>
        <w:rPr>
          <w:rFonts w:ascii="Calibri" w:cs="Calibri" w:eastAsia="Calibri" w:hAnsi="Calibri"/>
          <w:sz w:val="18"/>
          <w:szCs w:val="18"/>
          <w:color w:val="auto"/>
        </w:rPr>
        <w:t>21</w:t>
      </w:r>
      <w:r>
        <w:rPr>
          <w:sz w:val="20"/>
          <w:szCs w:val="20"/>
          <w:color w:val="auto"/>
        </w:rPr>
        <w:tab/>
      </w:r>
      <w:r>
        <w:rPr>
          <w:rFonts w:ascii="Calibri" w:cs="Calibri" w:eastAsia="Calibri" w:hAnsi="Calibri"/>
          <w:sz w:val="18"/>
          <w:szCs w:val="18"/>
          <w:b w:val="1"/>
          <w:bCs w:val="1"/>
          <w:color w:val="EE2724"/>
        </w:rPr>
        <w:t xml:space="preserve">OGE Energy Corp. </w:t>
      </w:r>
      <w:r>
        <w:rPr>
          <w:rFonts w:ascii="Calibri" w:cs="Calibri" w:eastAsia="Calibri" w:hAnsi="Calibri"/>
          <w:sz w:val="18"/>
          <w:szCs w:val="18"/>
          <w:color w:val="00000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sectPr>
      </w:pPr>
    </w:p>
    <w:bookmarkStart w:id="27" w:name="page28"/>
    <w:bookmarkEnd w:id="27"/>
    <w:p>
      <w:pPr>
        <w:spacing w:after="0" w:line="9" w:lineRule="exact"/>
        <w:rPr>
          <w:sz w:val="20"/>
          <w:szCs w:val="20"/>
          <w:color w:val="auto"/>
        </w:rPr>
      </w:pPr>
    </w:p>
    <w:p>
      <w:pPr>
        <w:ind w:left="60"/>
        <w:spacing w:after="0"/>
        <w:rPr>
          <w:sz w:val="20"/>
          <w:szCs w:val="20"/>
          <w:color w:val="auto"/>
        </w:rPr>
      </w:pPr>
      <w:r>
        <w:rPr>
          <w:rFonts w:ascii="Calibri" w:cs="Calibri" w:eastAsia="Calibri" w:hAnsi="Calibri"/>
          <w:sz w:val="25"/>
          <w:szCs w:val="25"/>
          <w:b w:val="1"/>
          <w:bCs w:val="1"/>
          <w:color w:val="auto"/>
        </w:rPr>
        <w:t>PROPOSAL NO. 3 -</w:t>
      </w:r>
    </w:p>
    <w:p>
      <w:pPr>
        <w:spacing w:after="0" w:line="128" w:lineRule="exact"/>
        <w:rPr>
          <w:sz w:val="20"/>
          <w:szCs w:val="20"/>
          <w:color w:val="auto"/>
        </w:rPr>
      </w:pPr>
    </w:p>
    <w:p>
      <w:pPr>
        <w:ind w:left="60"/>
        <w:spacing w:after="0"/>
        <w:rPr>
          <w:sz w:val="20"/>
          <w:szCs w:val="20"/>
          <w:color w:val="auto"/>
        </w:rPr>
      </w:pPr>
      <w:r>
        <w:rPr>
          <w:rFonts w:ascii="Calibri" w:cs="Calibri" w:eastAsia="Calibri" w:hAnsi="Calibri"/>
          <w:sz w:val="22"/>
          <w:szCs w:val="22"/>
          <w:b w:val="1"/>
          <w:bCs w:val="1"/>
          <w:color w:val="auto"/>
        </w:rPr>
        <w:t>ADVISORY VOTE TO APPROVE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5" w:lineRule="exact"/>
        <w:rPr>
          <w:sz w:val="20"/>
          <w:szCs w:val="20"/>
          <w:color w:val="auto"/>
        </w:rPr>
      </w:pPr>
    </w:p>
    <w:p>
      <w:pPr>
        <w:jc w:val="both"/>
        <w:ind w:firstLine="374"/>
        <w:spacing w:after="0" w:line="254" w:lineRule="auto"/>
        <w:rPr>
          <w:sz w:val="20"/>
          <w:szCs w:val="20"/>
          <w:color w:val="auto"/>
        </w:rPr>
      </w:pPr>
      <w:r>
        <w:rPr>
          <w:rFonts w:ascii="Calibri" w:cs="Calibri" w:eastAsia="Calibri" w:hAnsi="Calibri"/>
          <w:sz w:val="17"/>
          <w:szCs w:val="17"/>
          <w:color w:val="auto"/>
        </w:rPr>
        <w:t>In accordance with Secton 14A of the Securites Exchange Act of 1934, the Company is providing shareholders with an advisory (non-binding) vote on compensaton programs, that is sometmes referred to as "say on pay," for our CEO and the other four ofcers named in the Summary Compensaton Table on page 43 (who we refer to as "Named Executve Ofcers"). Accordingly, you may vote on the following resoluton at the 2024 Annual Meetng of Shareholders:</w:t>
      </w:r>
    </w:p>
    <w:p>
      <w:pPr>
        <w:spacing w:after="0" w:line="205" w:lineRule="exact"/>
        <w:rPr>
          <w:sz w:val="20"/>
          <w:szCs w:val="20"/>
          <w:color w:val="auto"/>
        </w:rPr>
      </w:pPr>
    </w:p>
    <w:p>
      <w:pPr>
        <w:ind w:left="380"/>
        <w:spacing w:after="0" w:line="235" w:lineRule="auto"/>
        <w:rPr>
          <w:sz w:val="20"/>
          <w:szCs w:val="20"/>
          <w:color w:val="auto"/>
        </w:rPr>
      </w:pPr>
      <w:r>
        <w:rPr>
          <w:rFonts w:ascii="Calibri" w:cs="Calibri" w:eastAsia="Calibri" w:hAnsi="Calibri"/>
          <w:sz w:val="18"/>
          <w:szCs w:val="18"/>
          <w:color w:val="auto"/>
        </w:rPr>
        <w:t>"RESOLVED, that the compensaton paid to the Company's Named Executve Ofcers, as disclosed pursuant to Item 402 of Regulaton S-K, including the Compensaton Discussion and Analysis, compensaton tables, and narratve discussion is hereby APPROVED."</w:t>
      </w:r>
    </w:p>
    <w:p>
      <w:pPr>
        <w:spacing w:after="0" w:line="218"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This vote is non-binding. The Board and the Compensaton Commitee, which is comprised of independent directors, intend to consider the outcome of the vote when making future executve compensaton decisions and, in partcular, to consider any signifcant negatve votng results to the extent they can determine the cause or causes for such votes. The Board has determined that, consistent with its recommendaton for an advisory vote on the frequency of the shareholder votes on executve compensaton at this year’s Annual Meetng of Shareholders, OGE Energy will hold future advisory votes on executve compensaton every year.</w:t>
      </w:r>
    </w:p>
    <w:p>
      <w:pPr>
        <w:spacing w:after="0" w:line="220" w:lineRule="exact"/>
        <w:rPr>
          <w:sz w:val="20"/>
          <w:szCs w:val="20"/>
          <w:color w:val="auto"/>
        </w:rPr>
      </w:pPr>
    </w:p>
    <w:p>
      <w:pPr>
        <w:jc w:val="both"/>
        <w:ind w:firstLine="374"/>
        <w:spacing w:after="0" w:line="252" w:lineRule="auto"/>
        <w:rPr>
          <w:sz w:val="20"/>
          <w:szCs w:val="20"/>
          <w:color w:val="auto"/>
        </w:rPr>
      </w:pPr>
      <w:r>
        <w:rPr>
          <w:rFonts w:ascii="Calibri" w:cs="Calibri" w:eastAsia="Calibri" w:hAnsi="Calibri"/>
          <w:sz w:val="17"/>
          <w:szCs w:val="17"/>
          <w:color w:val="auto"/>
        </w:rPr>
        <w:t>As discussed in the Compensaton Discussion and Analysis, our 2023 executve compensaton program is premised on providing compettve and responsible levels of compensaton that has a signifcant component that is performance-based so as to align the interests of our executve ofcers with those of our shareholders. Payouts of annual incentve awards and a signifcant porton of the long-term incentve awards require the achievement of specifc goals established by the Compensaton Commitee that are designed to beneft our shareholders and the Company, both in the long and short term.</w:t>
      </w:r>
    </w:p>
    <w:p>
      <w:pPr>
        <w:spacing w:after="0" w:line="208" w:lineRule="exact"/>
        <w:rPr>
          <w:sz w:val="20"/>
          <w:szCs w:val="20"/>
          <w:color w:val="auto"/>
        </w:rPr>
      </w:pPr>
    </w:p>
    <w:p>
      <w:pPr>
        <w:jc w:val="both"/>
        <w:ind w:firstLine="374"/>
        <w:spacing w:after="0" w:line="250" w:lineRule="auto"/>
        <w:rPr>
          <w:sz w:val="20"/>
          <w:szCs w:val="20"/>
          <w:color w:val="auto"/>
        </w:rPr>
      </w:pPr>
      <w:r>
        <w:rPr>
          <w:rFonts w:ascii="Calibri" w:cs="Calibri" w:eastAsia="Calibri" w:hAnsi="Calibri"/>
          <w:sz w:val="17"/>
          <w:szCs w:val="17"/>
          <w:color w:val="auto"/>
        </w:rPr>
        <w:t>Specifcally, awards under the Annual Incentve Plan provide ofcers an opportunity to earn an annual cash incentve, with the amount of the incentve payout being dependent on the level of achievement of specifed Company performance-based goals established for the year. These Company performance goals typically are ted to earnings and measures of operatng performance. The annual incentve performance goals for the executve ofcers were the same as for all the other full-tme employees. For 2023, the long-term awards under the Stock Incentve Plan consist of two components. One component, accountng for 35 percent of the long-term incentve award, consists of restricted stock units that will vest on December 31, 2025, assuming contnued employment through that date. The other component, consistng of performance units, accounts for the remaining 65 percent of the awards. The performance units are equity-based, with the amount ultmately paid to an ofcer being dependent on the level of achievement, usually over a three-year period, of specifc Company performance goals that in 2023 were ted directly to total shareholder return compared to a broad utlity peer group. The terms of this equity-based award have not permited any adjustments to calculatng total shareholder return for unusual one-tme events. By having a signifcant porton of our executves' compensaton dependent on the level of achievement of various performance goals, our 2023 executve compensaton program is designed to reward executves with a highly-compettve level of compensaton during years of excellent Company performance and, conversely, in years of below average performance, for their compensaton to be below compettve levels. The Company believes that it sets challenging performance targets as illustrated by the incentve compensaton actually paid to our Named Executve Ofcers. Over the last fve years, Named Executve Ofcers have averaged an Annual Incentve Plan payout of approximately 95 percent of their target awards and a payout of long-term incentve awards of approximately 90 percent.</w:t>
      </w:r>
    </w:p>
    <w:p>
      <w:pPr>
        <w:spacing w:after="0" w:line="214"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We believe the Company's executve compensaton program strikes the appropriate balance between utlizing responsible pay practces and efectvely incentvizing our executves to create value for our shareholders. This balance is evidenced by the following:</w:t>
      </w:r>
    </w:p>
    <w:p>
      <w:pPr>
        <w:spacing w:after="0" w:line="213" w:lineRule="exact"/>
        <w:rPr>
          <w:sz w:val="20"/>
          <w:szCs w:val="20"/>
          <w:color w:val="auto"/>
        </w:rPr>
      </w:pPr>
    </w:p>
    <w:p>
      <w:pPr>
        <w:ind w:left="560" w:hanging="178"/>
        <w:spacing w:after="0"/>
        <w:tabs>
          <w:tab w:leader="none" w:pos="560" w:val="left"/>
        </w:tabs>
        <w:numPr>
          <w:ilvl w:val="0"/>
          <w:numId w:val="29"/>
        </w:numPr>
        <w:rPr>
          <w:rFonts w:ascii="Times New Roman" w:cs="Times New Roman" w:eastAsia="Times New Roman" w:hAnsi="Times New Roman"/>
          <w:sz w:val="14"/>
          <w:szCs w:val="14"/>
          <w:color w:val="auto"/>
        </w:rPr>
      </w:pPr>
      <w:r>
        <w:rPr>
          <w:rFonts w:ascii="Calibri" w:cs="Calibri" w:eastAsia="Calibri" w:hAnsi="Calibri"/>
          <w:sz w:val="18"/>
          <w:szCs w:val="18"/>
          <w:color w:val="auto"/>
        </w:rPr>
        <w:t>Our executve compensaton was approved by more than 90 percent of our shareholders who voted at last year's Annual Meetng of Shareholders.</w:t>
      </w:r>
    </w:p>
    <w:p>
      <w:pPr>
        <w:spacing w:after="0" w:line="387"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Calibri" w:cs="Calibri" w:eastAsia="Calibri" w:hAnsi="Calibri"/>
          <w:sz w:val="18"/>
          <w:szCs w:val="18"/>
          <w:color w:val="auto"/>
        </w:rPr>
        <w:t>22</w:t>
      </w:r>
      <w:r>
        <w:rPr>
          <w:rFonts w:ascii="Calibri" w:cs="Calibri" w:eastAsia="Calibri" w:hAnsi="Calibri"/>
          <w:sz w:val="17"/>
          <w:szCs w:val="17"/>
          <w:b w:val="1"/>
          <w:bCs w:val="1"/>
          <w:color w:val="EE2724"/>
        </w:rPr>
        <w:t xml:space="preserve">OGE Energy Corp. </w:t>
      </w:r>
      <w:r>
        <w:rPr>
          <w:rFonts w:ascii="Calibri" w:cs="Calibri" w:eastAsia="Calibri" w:hAnsi="Calibri"/>
          <w:sz w:val="17"/>
          <w:szCs w:val="17"/>
          <w:color w:val="00000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jc w:val="both"/>
        <w:ind w:left="560" w:hanging="178"/>
        <w:spacing w:after="0" w:line="235" w:lineRule="auto"/>
        <w:tabs>
          <w:tab w:leader="none" w:pos="560" w:val="left"/>
        </w:tabs>
        <w:numPr>
          <w:ilvl w:val="0"/>
          <w:numId w:val="30"/>
        </w:numPr>
        <w:rPr>
          <w:rFonts w:ascii="Times New Roman" w:cs="Times New Roman" w:eastAsia="Times New Roman" w:hAnsi="Times New Roman"/>
          <w:sz w:val="14"/>
          <w:szCs w:val="14"/>
          <w:color w:val="auto"/>
        </w:rPr>
      </w:pPr>
      <w:r>
        <w:rPr>
          <w:rFonts w:ascii="Calibri" w:cs="Calibri" w:eastAsia="Calibri" w:hAnsi="Calibri"/>
          <w:sz w:val="18"/>
          <w:szCs w:val="18"/>
          <w:color w:val="auto"/>
        </w:rPr>
        <w:t>For 2023, target total direct compensaton (i.e., salary plus targeted annual incentve compensaton and targeted long-term incentve compensaton) for our combined group of Named Executve Ofcers was set within one percent of the median amount for a comparable group of executves in the Company Peer Group (which peer group is listed on page 31).</w:t>
      </w:r>
    </w:p>
    <w:p>
      <w:pPr>
        <w:spacing w:after="0" w:line="218" w:lineRule="exact"/>
        <w:rPr>
          <w:rFonts w:ascii="Times New Roman" w:cs="Times New Roman" w:eastAsia="Times New Roman" w:hAnsi="Times New Roman"/>
          <w:sz w:val="14"/>
          <w:szCs w:val="14"/>
          <w:color w:val="auto"/>
        </w:rPr>
      </w:pPr>
    </w:p>
    <w:p>
      <w:pPr>
        <w:jc w:val="both"/>
        <w:ind w:left="560" w:hanging="178"/>
        <w:spacing w:after="0" w:line="235" w:lineRule="auto"/>
        <w:tabs>
          <w:tab w:leader="none" w:pos="560" w:val="left"/>
        </w:tabs>
        <w:numPr>
          <w:ilvl w:val="0"/>
          <w:numId w:val="30"/>
        </w:numPr>
        <w:rPr>
          <w:rFonts w:ascii="Times New Roman" w:cs="Times New Roman" w:eastAsia="Times New Roman" w:hAnsi="Times New Roman"/>
          <w:sz w:val="14"/>
          <w:szCs w:val="14"/>
          <w:color w:val="auto"/>
        </w:rPr>
      </w:pPr>
      <w:r>
        <w:rPr>
          <w:rFonts w:ascii="Calibri" w:cs="Calibri" w:eastAsia="Calibri" w:hAnsi="Calibri"/>
          <w:sz w:val="18"/>
          <w:szCs w:val="18"/>
          <w:color w:val="auto"/>
        </w:rPr>
        <w:t>A signifcant part of executve compensaton is considered at risk. For 2023, a Named Executve Ofcer's base salary comprised 18 percent to 44 percent of their targeted total direct compensaton. For 2023, an ofcer's at-risk compensaton included the ability to earn from 0 percent to 200 percent of an award under the Annual Incentve Plan and the Stock Incentve Plan, based on the level of achievement of the applicable performance goals set by the Compensaton Commitee. The at-risk awards under the Stock Incentve Plan also included grants of tme-based restricted stock units that will vest afer a three-year period, assuming contnued employment with the Company. The mix of performance-based and tme-based long-term incentve awards is similar to most companies in the Company Peer Group. The performance-based target awards under the Annual Incentve Plan and under the Stock Incentve Plan represented approximately 43 percent to 60 percent of a Named Executve Ofcer's targeted total direct compensaton in 2023.</w:t>
      </w:r>
    </w:p>
    <w:p>
      <w:pPr>
        <w:spacing w:after="0" w:line="223"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Shareholders are encouraged to read the Compensaton Discussion and Analysis, the accompanying compensaton tables and the related narratve disclosure for more informaton about the Company's executve compensaton program.</w:t>
      </w:r>
    </w:p>
    <w:p>
      <w:pPr>
        <w:spacing w:after="0" w:line="218"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The afrmatve vote of the holders of a majority of the shares of the Company's Common Stock present online at the virtual meetng or represented by proxy and enttled to vote on the mater at the Annual Meetng of Shareholders will be required for the approval, on an advisory basis, of the Named Executve Ofcer compensaton. Abstentons from votng in this mater are treated as votes against. Broker non-votes will be treated as shares not enttled to be voted and will have no efect on the outcome of the proposal.</w:t>
      </w:r>
    </w:p>
    <w:p>
      <w:pPr>
        <w:spacing w:after="0" w:line="219"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b w:val="1"/>
          <w:bCs w:val="1"/>
          <w:color w:val="auto"/>
        </w:rPr>
        <w:t>The Board of Directors recommends a vote "FOR" the approval of the Named Executve Ofcer compensaton as disclosed in the Compensaton Discussion and Analysis, the accompanying compensaton tables and the related narratve disclosure. Proxies solicited by the Board of Directors will be voted "FOR" the approval of the Named Executve Ofcer compensaton, unless a diferent vote is specifed.</w:t>
      </w:r>
    </w:p>
    <w:p>
      <w:pPr>
        <w:spacing w:after="0" w:line="389" w:lineRule="exact"/>
        <w:rPr>
          <w:sz w:val="20"/>
          <w:szCs w:val="20"/>
          <w:color w:val="auto"/>
        </w:rPr>
      </w:pPr>
    </w:p>
    <w:p>
      <w:pPr>
        <w:spacing w:after="0"/>
        <w:tabs>
          <w:tab w:leader="none" w:pos="660" w:val="left"/>
        </w:tabs>
        <w:rPr>
          <w:sz w:val="20"/>
          <w:szCs w:val="20"/>
          <w:color w:val="auto"/>
        </w:rPr>
      </w:pPr>
      <w:r>
        <w:rPr>
          <w:rFonts w:ascii="Calibri" w:cs="Calibri" w:eastAsia="Calibri" w:hAnsi="Calibri"/>
          <w:sz w:val="18"/>
          <w:szCs w:val="18"/>
          <w:color w:val="auto"/>
        </w:rPr>
        <w:t>23</w:t>
      </w:r>
      <w:r>
        <w:rPr>
          <w:sz w:val="20"/>
          <w:szCs w:val="20"/>
          <w:color w:val="auto"/>
        </w:rPr>
        <w:tab/>
      </w:r>
      <w:r>
        <w:rPr>
          <w:rFonts w:ascii="Calibri" w:cs="Calibri" w:eastAsia="Calibri" w:hAnsi="Calibri"/>
          <w:sz w:val="18"/>
          <w:szCs w:val="18"/>
          <w:b w:val="1"/>
          <w:bCs w:val="1"/>
          <w:color w:val="EE2724"/>
        </w:rPr>
        <w:t xml:space="preserve">OGE Energy Corp. </w:t>
      </w:r>
      <w:r>
        <w:rPr>
          <w:rFonts w:ascii="Calibri" w:cs="Calibri" w:eastAsia="Calibri" w:hAnsi="Calibri"/>
          <w:sz w:val="18"/>
          <w:szCs w:val="18"/>
          <w:color w:val="00000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9" w:name="page30"/>
    <w:bookmarkEnd w:id="29"/>
    <w:p>
      <w:pPr>
        <w:ind w:left="60"/>
        <w:spacing w:after="0"/>
        <w:rPr>
          <w:sz w:val="20"/>
          <w:szCs w:val="20"/>
          <w:color w:val="auto"/>
        </w:rPr>
      </w:pPr>
      <w:r>
        <w:rPr>
          <w:rFonts w:ascii="Calibri" w:cs="Calibri" w:eastAsia="Calibri" w:hAnsi="Calibri"/>
          <w:sz w:val="25"/>
          <w:szCs w:val="25"/>
          <w:b w:val="1"/>
          <w:bCs w:val="1"/>
          <w:color w:val="auto"/>
        </w:rPr>
        <w:t>PROPOSAL NO. 4 -</w:t>
      </w:r>
    </w:p>
    <w:p>
      <w:pPr>
        <w:spacing w:after="0" w:line="261" w:lineRule="exact"/>
        <w:rPr>
          <w:sz w:val="20"/>
          <w:szCs w:val="20"/>
          <w:color w:val="auto"/>
        </w:rPr>
      </w:pPr>
    </w:p>
    <w:p>
      <w:pPr>
        <w:ind w:left="60"/>
        <w:spacing w:after="0"/>
        <w:rPr>
          <w:sz w:val="20"/>
          <w:szCs w:val="20"/>
          <w:color w:val="auto"/>
        </w:rPr>
      </w:pPr>
      <w:r>
        <w:rPr>
          <w:rFonts w:ascii="Calibri" w:cs="Calibri" w:eastAsia="Calibri" w:hAnsi="Calibri"/>
          <w:sz w:val="22"/>
          <w:szCs w:val="22"/>
          <w:b w:val="1"/>
          <w:bCs w:val="1"/>
          <w:color w:val="auto"/>
        </w:rPr>
        <w:t>SHAREHOLDER PROPOSAL REGARDING SIMPLE MAJORITY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0"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John Chevedden, 2215 Nelson Avenue, No. 205, Redondo Beach, CA 90278, benefcial owner of no fewer than 100 shares of OGE Energy Corp. since at least November 1, 2020, has given notce that he intends to present a proposal for acton at the Annual Meetng.</w:t>
      </w:r>
    </w:p>
    <w:p>
      <w:pPr>
        <w:spacing w:after="0" w:line="218"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In accordance with the Federal proxy regulatons, the following is the complete text of the proposal exactly as submited. The Company accepts no responsibility for the proposal or for the accuracy of any statements included in the proposal. Our Board recommends a vote against the proposal for the reasons set forth following the proposal.</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color w:val="auto"/>
        </w:rPr>
        <w:t>Shareholder Proposal:</w:t>
      </w:r>
    </w:p>
    <w:p>
      <w:pPr>
        <w:spacing w:after="0" w:line="212"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Proposal 4 - Simple Majority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1847850</wp:posOffset>
            </wp:positionH>
            <wp:positionV relativeFrom="paragraph">
              <wp:posOffset>151765</wp:posOffset>
            </wp:positionV>
            <wp:extent cx="3660140" cy="7283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660140" cy="72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Shareholders request that our board take each step necessary so that each votng requirement in our charter and bylaws (that is explicit or implicit due to default to state law) that calls for a greater than simple majority vote be replaced by a requirement for a majority of the votes cast for and against applicable proposals, or a simple majority in compliance with applicable laws. If necessary this means the closest standard to a majority of the votes cast for and against such proposals consistent with applicable laws. This includes making the necessary changes in plain English.</w:t>
      </w:r>
    </w:p>
    <w:p>
      <w:pPr>
        <w:spacing w:after="0" w:line="219"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Shareholders are willing to pay a premium for shares of companies that have excellent corporate governance. Supermajority votng requirements have been found to be one of 6 entrenching mechanisms that are negatvely related to company performance according to "What Maters in Corporate Governance" by Lucien Bebchuk, Alma Cohen and Allen Ferrell of the Harvard Law School. Supermajority requirements like those at our Company are used to block corporate governance improvements supported by most shareowners but opposed by a status quo management.</w:t>
      </w:r>
    </w:p>
    <w:p>
      <w:pPr>
        <w:spacing w:after="0" w:line="219"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This proposal topic won from 74% to 88% support at Weyerhaeuser, Alcoa, Waste Management, Goldman Sachs, FirstEnergy, McGraw-Hill and Macy's. These votes would have been higher than 74% to 88% if more shareholders had access to independent proxy votng advice. This proposal topic also received overwhelming 98%-support each at the 2023 annual meetngs of American Airlines (AAL) and The Carlyle Group (CG).</w:t>
      </w:r>
    </w:p>
    <w:p>
      <w:pPr>
        <w:spacing w:after="0" w:line="219"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This proposal topic to improve the corporate governance of OGE won 98%-support at the 2023 OGE annual meetng as a Board of Directors proposal. However the outdated corporate governance of OGE is hamstrung with a requirement that the 2023 proposal needed to receive 80% approval from all outstanding OGE shares. However it is a well-established fact that less than 80% of OGE shares vote at OGE annual meetngs.</w:t>
      </w:r>
    </w:p>
    <w:p>
      <w:pPr>
        <w:spacing w:after="0" w:line="219"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If improved corporate governance increases the market capitalizaton of OGE by one-forth of 1% it will result in a $17 million increase in the market capitalizaton of OGE.</w:t>
      </w:r>
    </w:p>
    <w:p>
      <w:pPr>
        <w:spacing w:after="0" w:line="218"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If OGE management had spent the lowest possible 6-fgure sum to encourage more OGE shareholders to vote in 2023 in order to obtain the required 80%-approval from all OGE shares outstanding, it could have resulted in an astounding $175 return for each $1 invested. Does the OGE Board have other suggestons for potental $175 returns for each $1 invested?</w:t>
      </w:r>
    </w:p>
    <w:p>
      <w:pPr>
        <w:spacing w:after="0" w:line="214" w:lineRule="exact"/>
        <w:rPr>
          <w:sz w:val="20"/>
          <w:szCs w:val="20"/>
          <w:color w:val="auto"/>
        </w:rPr>
      </w:pPr>
    </w:p>
    <w:p>
      <w:pPr>
        <w:jc w:val="center"/>
        <w:ind w:left="360"/>
        <w:spacing w:after="0"/>
        <w:rPr>
          <w:sz w:val="20"/>
          <w:szCs w:val="20"/>
          <w:color w:val="auto"/>
        </w:rPr>
      </w:pPr>
      <w:r>
        <w:rPr>
          <w:rFonts w:ascii="Calibri" w:cs="Calibri" w:eastAsia="Calibri" w:hAnsi="Calibri"/>
          <w:sz w:val="18"/>
          <w:szCs w:val="18"/>
          <w:color w:val="auto"/>
        </w:rPr>
        <w:t>Please vote yes:</w:t>
      </w:r>
    </w:p>
    <w:p>
      <w:pPr>
        <w:jc w:val="center"/>
        <w:ind w:left="360"/>
        <w:spacing w:after="0" w:line="235" w:lineRule="auto"/>
        <w:rPr>
          <w:sz w:val="20"/>
          <w:szCs w:val="20"/>
          <w:color w:val="auto"/>
        </w:rPr>
      </w:pPr>
      <w:r>
        <w:rPr>
          <w:rFonts w:ascii="Calibri" w:cs="Calibri" w:eastAsia="Calibri" w:hAnsi="Calibri"/>
          <w:sz w:val="18"/>
          <w:szCs w:val="18"/>
          <w:b w:val="1"/>
          <w:bCs w:val="1"/>
          <w:color w:val="auto"/>
        </w:rPr>
        <w:t>Simple Majority Vote - Proposal 4</w:t>
      </w:r>
    </w:p>
    <w:p>
      <w:pPr>
        <w:spacing w:after="0" w:line="200" w:lineRule="exact"/>
        <w:rPr>
          <w:sz w:val="20"/>
          <w:szCs w:val="20"/>
          <w:color w:val="auto"/>
        </w:rPr>
      </w:pPr>
    </w:p>
    <w:p>
      <w:pPr>
        <w:spacing w:after="0" w:line="243" w:lineRule="exact"/>
        <w:rPr>
          <w:sz w:val="20"/>
          <w:szCs w:val="20"/>
          <w:color w:val="auto"/>
        </w:rPr>
      </w:pPr>
    </w:p>
    <w:p>
      <w:pPr>
        <w:spacing w:after="0"/>
        <w:tabs>
          <w:tab w:leader="none" w:pos="660" w:val="left"/>
        </w:tabs>
        <w:rPr>
          <w:sz w:val="20"/>
          <w:szCs w:val="20"/>
          <w:color w:val="auto"/>
        </w:rPr>
      </w:pPr>
      <w:r>
        <w:rPr>
          <w:rFonts w:ascii="Calibri" w:cs="Calibri" w:eastAsia="Calibri" w:hAnsi="Calibri"/>
          <w:sz w:val="18"/>
          <w:szCs w:val="18"/>
          <w:color w:val="auto"/>
        </w:rPr>
        <w:t>24</w:t>
      </w:r>
      <w:r>
        <w:rPr>
          <w:sz w:val="20"/>
          <w:szCs w:val="20"/>
          <w:color w:val="auto"/>
        </w:rPr>
        <w:tab/>
      </w:r>
      <w:r>
        <w:rPr>
          <w:rFonts w:ascii="Calibri" w:cs="Calibri" w:eastAsia="Calibri" w:hAnsi="Calibri"/>
          <w:sz w:val="18"/>
          <w:szCs w:val="18"/>
          <w:b w:val="1"/>
          <w:bCs w:val="1"/>
          <w:color w:val="EE2724"/>
        </w:rPr>
        <w:t xml:space="preserve">OGE Energy Corp. </w:t>
      </w:r>
      <w:r>
        <w:rPr>
          <w:rFonts w:ascii="Calibri" w:cs="Calibri" w:eastAsia="Calibri" w:hAnsi="Calibri"/>
          <w:sz w:val="18"/>
          <w:szCs w:val="18"/>
          <w:color w:val="00000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30" w:name="page31"/>
    <w:bookmarkEnd w:id="30"/>
    <w:p>
      <w:pPr>
        <w:spacing w:after="0"/>
        <w:rPr>
          <w:sz w:val="20"/>
          <w:szCs w:val="20"/>
          <w:color w:val="auto"/>
        </w:rPr>
      </w:pPr>
      <w:r>
        <w:rPr>
          <w:rFonts w:ascii="Calibri" w:cs="Calibri" w:eastAsia="Calibri" w:hAnsi="Calibri"/>
          <w:sz w:val="18"/>
          <w:szCs w:val="18"/>
          <w:b w:val="1"/>
          <w:bCs w:val="1"/>
          <w:u w:val="single" w:color="auto"/>
          <w:color w:val="auto"/>
        </w:rPr>
        <w:t>BOARD OF DIRECTORS' RESPONSE</w:t>
      </w:r>
    </w:p>
    <w:p>
      <w:pPr>
        <w:spacing w:after="0" w:line="217" w:lineRule="exact"/>
        <w:rPr>
          <w:sz w:val="20"/>
          <w:szCs w:val="20"/>
          <w:color w:val="auto"/>
        </w:rPr>
      </w:pPr>
    </w:p>
    <w:p>
      <w:pPr>
        <w:ind w:right="900"/>
        <w:spacing w:after="0" w:line="235" w:lineRule="auto"/>
        <w:rPr>
          <w:sz w:val="20"/>
          <w:szCs w:val="20"/>
          <w:color w:val="auto"/>
        </w:rPr>
      </w:pPr>
      <w:r>
        <w:rPr>
          <w:rFonts w:ascii="Calibri" w:cs="Calibri" w:eastAsia="Calibri" w:hAnsi="Calibri"/>
          <w:sz w:val="18"/>
          <w:szCs w:val="18"/>
          <w:b w:val="1"/>
          <w:bCs w:val="1"/>
          <w:color w:val="auto"/>
        </w:rPr>
        <w:t xml:space="preserve">THE BOARD OF DIRECTORS OPPOSES THE PROPOSED RESOLUTION AND </w:t>
      </w:r>
      <w:r>
        <w:rPr>
          <w:rFonts w:ascii="Calibri" w:cs="Calibri" w:eastAsia="Calibri" w:hAnsi="Calibri"/>
          <w:sz w:val="18"/>
          <w:szCs w:val="18"/>
          <w:b w:val="1"/>
          <w:bCs w:val="1"/>
          <w:u w:val="single" w:color="auto"/>
          <w:color w:val="auto"/>
        </w:rPr>
        <w:t>UNANIMOUSLY</w:t>
      </w:r>
      <w:r>
        <w:rPr>
          <w:rFonts w:ascii="Calibri" w:cs="Calibri" w:eastAsia="Calibri" w:hAnsi="Calibri"/>
          <w:sz w:val="18"/>
          <w:szCs w:val="18"/>
          <w:b w:val="1"/>
          <w:bCs w:val="1"/>
          <w:color w:val="auto"/>
        </w:rPr>
        <w:t xml:space="preserve"> RECOMMENDS A VOTE </w:t>
      </w:r>
      <w:r>
        <w:rPr>
          <w:rFonts w:ascii="Calibri" w:cs="Calibri" w:eastAsia="Calibri" w:hAnsi="Calibri"/>
          <w:sz w:val="18"/>
          <w:szCs w:val="18"/>
          <w:b w:val="1"/>
          <w:bCs w:val="1"/>
          <w:u w:val="single" w:color="auto"/>
          <w:color w:val="auto"/>
        </w:rPr>
        <w:t>AGAINST</w:t>
      </w:r>
      <w:r>
        <w:rPr>
          <w:rFonts w:ascii="Calibri" w:cs="Calibri" w:eastAsia="Calibri" w:hAnsi="Calibri"/>
          <w:sz w:val="18"/>
          <w:szCs w:val="18"/>
          <w:b w:val="1"/>
          <w:bCs w:val="1"/>
          <w:color w:val="auto"/>
        </w:rPr>
        <w:t xml:space="preserve"> PROPOSAL 4 FOR THE FOLLOWING REASONS:</w:t>
      </w:r>
    </w:p>
    <w:p>
      <w:pPr>
        <w:spacing w:after="0" w:line="218" w:lineRule="exact"/>
        <w:rPr>
          <w:sz w:val="20"/>
          <w:szCs w:val="20"/>
          <w:color w:val="auto"/>
        </w:rPr>
      </w:pPr>
    </w:p>
    <w:p>
      <w:pPr>
        <w:jc w:val="both"/>
        <w:ind w:right="20" w:firstLine="374"/>
        <w:spacing w:after="0" w:line="235" w:lineRule="auto"/>
        <w:rPr>
          <w:sz w:val="20"/>
          <w:szCs w:val="20"/>
          <w:color w:val="auto"/>
        </w:rPr>
      </w:pPr>
      <w:r>
        <w:rPr>
          <w:rFonts w:ascii="Calibri" w:cs="Calibri" w:eastAsia="Calibri" w:hAnsi="Calibri"/>
          <w:sz w:val="18"/>
          <w:szCs w:val="18"/>
          <w:color w:val="auto"/>
        </w:rPr>
        <w:t>Our Board has carefully considered this proposal and, for the reasons set forth below, does not believe that it is in the best interests of the Company and our shareholders.</w:t>
      </w:r>
    </w:p>
    <w:p>
      <w:pPr>
        <w:spacing w:after="0" w:line="218"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The proponent has four tmes before submited shareholder proposals that are similar to the shareholder proposal submited for this meetng. In 2012, 2015, 2019 and 2021, non-binding shareholder proposals to eliminate the supermajority votng provisions and adopt simple majority votng provisions were included in the Company's proxy statements. Those shareholder proposals received majority support of the shareholders votng at the meetng. In light of those votes, in 2013, 2016, 2020 and 2022 (the years following the 2012, 2015, 2019 and 2021 shareholder proposals) the Board adopted resolutons approving, and recommended that the shareholders vote for, amendments to the Company's certfcate of incorporaton (the "Certfcate of Incorporaton") to eliminate the 80 percent supermajority votng standard (the "Supermajority Votng Standard") applicable to a few categories of maters, as noted below. Approval of these amendments to the Certfcate of Incorporaton (the “Certfcate Amendments”) required approval of at least 80 percent of the Company's outstanding Common Stock. Despite the Board's support, in each of 2013, 2016, 2020 and 2022 the Certfcate Amendments failed to pass, receiving less than the required 80 percent of the shareholders of record votng in favor. Despite having the shareholders fail to approve the requested amendments to implement the prior shareholder proposals, the shareholder proponent submited a similar proposal for the 2022 annual meetng requestng that the 80 percent supermajority votng provisions be modifed to 67 percent supermajority votng provisions. The Company included such proposal in its 2022 proxy materials. In light of the vote at the 2022 meetng, in 2023 the Board adopted resolutons approving, and recommended that the shareholders vote for, amendments to the Company's Certfcate of Incorporaton to modify the 80 percent supermajority votng standard to 67 percent. That amendment to modify the supermajority votng requirements did not receive the required 80 percent of the shareholders of record votng in favor. Despite these repeated failures to have the shareholders approve the requested Certfcate Amendments to implement his prior shareholder proposals, the proponent has submited essentally the same proposal he submited in 2012, 2015, 2019 and 2021 again.</w:t>
      </w:r>
    </w:p>
    <w:p>
      <w:pPr>
        <w:spacing w:after="0" w:line="230" w:lineRule="exact"/>
        <w:rPr>
          <w:sz w:val="20"/>
          <w:szCs w:val="20"/>
          <w:color w:val="auto"/>
        </w:rPr>
      </w:pPr>
    </w:p>
    <w:p>
      <w:pPr>
        <w:jc w:val="both"/>
        <w:ind w:firstLine="374"/>
        <w:spacing w:after="0" w:line="250" w:lineRule="auto"/>
        <w:rPr>
          <w:sz w:val="20"/>
          <w:szCs w:val="20"/>
          <w:color w:val="auto"/>
        </w:rPr>
      </w:pPr>
      <w:r>
        <w:rPr>
          <w:rFonts w:ascii="Calibri" w:cs="Calibri" w:eastAsia="Calibri" w:hAnsi="Calibri"/>
          <w:sz w:val="17"/>
          <w:szCs w:val="17"/>
          <w:color w:val="auto"/>
        </w:rPr>
        <w:t>As the Company has indicated previously, the Company's supermajority votng standards relate to fundamental elements of our corporate governance. They have been included in our charter for many years and are commonly included in the corporate charters and bylaws of many publicly-traded companies. In general, these provisions are designed to provide minority shareholders with a measure of protecton against changes in corporate governance and other self- interested actons by one or more large shareholders. The supermajority votng provisions protect OGE Energy shareholders against the actons of short-term investors such as hedge funds or corporate raiders. The Board's positon regarding the proponent's proposal is that the amendments to implement the shareholder proposal are unlikely to receive the requisite 80 percent approval and the Company's existng Supermajority Votng Standard for certain extraordinary maters provides shareholders with very meaningful protectons against actons that may not be in their best interests. The Board and management believe the shareholder proposal would eliminate meaningful protectons against actons that may not be in the best interests of our shareholders or the Company and take away Company tme and resources from maters that are in the best interests of our shareholders and the Company.</w:t>
      </w:r>
    </w:p>
    <w:p>
      <w:pPr>
        <w:spacing w:after="0" w:line="215" w:lineRule="exact"/>
        <w:rPr>
          <w:sz w:val="20"/>
          <w:szCs w:val="20"/>
          <w:color w:val="auto"/>
        </w:rPr>
      </w:pPr>
    </w:p>
    <w:p>
      <w:pPr>
        <w:jc w:val="both"/>
        <w:ind w:firstLine="374"/>
        <w:spacing w:after="0" w:line="251" w:lineRule="auto"/>
        <w:rPr>
          <w:sz w:val="20"/>
          <w:szCs w:val="20"/>
          <w:color w:val="auto"/>
        </w:rPr>
      </w:pPr>
      <w:r>
        <w:rPr>
          <w:rFonts w:ascii="Calibri" w:cs="Calibri" w:eastAsia="Calibri" w:hAnsi="Calibri"/>
          <w:sz w:val="17"/>
          <w:szCs w:val="17"/>
          <w:color w:val="auto"/>
        </w:rPr>
        <w:t>Under the Company's governing documents and Oklahoma law, nearly all maters submited to our shareholders for approval require the approval of a majority of the votes present in person or by proxy and enttled to vote at the annual meetng. As permited by Oklahoma law, the Company's shareholder-approved Certfcate of Incorporaton does, however, provide that if certain actons are to be taken by shareholders, those actons will require more than a majority vote, including: (i) certain business combinaton transactons with an "interested shareholder" (subject to certain exceptons, including an excepton for transactons approved by the Board), (ii) amendment of the bylaw provisions relatng to shareholder annual and special meetngs, board structure, board vacancies, director electons and director removal, and (iii) amendment of certain provisions of the Certfcate of Incorporaton.</w:t>
      </w:r>
    </w:p>
    <w:p>
      <w:pPr>
        <w:spacing w:after="0" w:line="210" w:lineRule="exact"/>
        <w:rPr>
          <w:sz w:val="20"/>
          <w:szCs w:val="20"/>
          <w:color w:val="auto"/>
        </w:rPr>
      </w:pPr>
    </w:p>
    <w:p>
      <w:pPr>
        <w:jc w:val="both"/>
        <w:ind w:right="20" w:firstLine="374"/>
        <w:spacing w:after="0" w:line="235" w:lineRule="auto"/>
        <w:rPr>
          <w:sz w:val="20"/>
          <w:szCs w:val="20"/>
          <w:color w:val="auto"/>
        </w:rPr>
      </w:pPr>
      <w:r>
        <w:rPr>
          <w:rFonts w:ascii="Calibri" w:cs="Calibri" w:eastAsia="Calibri" w:hAnsi="Calibri"/>
          <w:sz w:val="18"/>
          <w:szCs w:val="18"/>
          <w:color w:val="auto"/>
        </w:rPr>
        <w:t>While some corporatons have eliminated supermajority provisions, we do not believe that a formulaic, one-size-fts-all approach, as suggested by the proponent, is appropriate. The Board believes that more meaningful votng requirements are appropriate for issues that have a long-lastng efect on the Company. For example, the provisions relatng to business</w:t>
      </w:r>
    </w:p>
    <w:p>
      <w:pPr>
        <w:spacing w:after="0" w:line="173" w:lineRule="exact"/>
        <w:rPr>
          <w:sz w:val="20"/>
          <w:szCs w:val="20"/>
          <w:color w:val="auto"/>
        </w:rPr>
      </w:pPr>
    </w:p>
    <w:p>
      <w:pPr>
        <w:spacing w:after="0"/>
        <w:tabs>
          <w:tab w:leader="none" w:pos="660" w:val="left"/>
        </w:tabs>
        <w:rPr>
          <w:sz w:val="20"/>
          <w:szCs w:val="20"/>
          <w:color w:val="auto"/>
        </w:rPr>
      </w:pPr>
      <w:r>
        <w:rPr>
          <w:rFonts w:ascii="Calibri" w:cs="Calibri" w:eastAsia="Calibri" w:hAnsi="Calibri"/>
          <w:sz w:val="18"/>
          <w:szCs w:val="18"/>
          <w:color w:val="auto"/>
        </w:rPr>
        <w:t>25</w:t>
      </w:r>
      <w:r>
        <w:rPr>
          <w:sz w:val="20"/>
          <w:szCs w:val="20"/>
          <w:color w:val="auto"/>
        </w:rPr>
        <w:tab/>
      </w:r>
      <w:r>
        <w:rPr>
          <w:rFonts w:ascii="Calibri" w:cs="Calibri" w:eastAsia="Calibri" w:hAnsi="Calibri"/>
          <w:sz w:val="18"/>
          <w:szCs w:val="18"/>
          <w:b w:val="1"/>
          <w:bCs w:val="1"/>
          <w:color w:val="EE2724"/>
        </w:rPr>
        <w:t xml:space="preserve">OGE Energy Corp. </w:t>
      </w:r>
      <w:r>
        <w:rPr>
          <w:rFonts w:ascii="Calibri" w:cs="Calibri" w:eastAsia="Calibri" w:hAnsi="Calibri"/>
          <w:sz w:val="18"/>
          <w:szCs w:val="18"/>
          <w:color w:val="00000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8" w:right="339" w:bottom="1440" w:gutter="0" w:footer="0" w:header="0"/>
        </w:sectPr>
      </w:pPr>
    </w:p>
    <w:bookmarkStart w:id="31" w:name="page32"/>
    <w:bookmarkEnd w:id="31"/>
    <w:p>
      <w:pPr>
        <w:jc w:val="both"/>
        <w:spacing w:after="0" w:line="235" w:lineRule="auto"/>
        <w:rPr>
          <w:sz w:val="20"/>
          <w:szCs w:val="20"/>
          <w:color w:val="auto"/>
        </w:rPr>
      </w:pPr>
      <w:r>
        <w:rPr>
          <w:rFonts w:ascii="Calibri" w:cs="Calibri" w:eastAsia="Calibri" w:hAnsi="Calibri"/>
          <w:sz w:val="18"/>
          <w:szCs w:val="18"/>
          <w:color w:val="auto"/>
        </w:rPr>
        <w:t>combinatons are intended to provide minority shareholders with a measure of protecton against business combinaton and other transactons that may be inadequately priced, unfair, coercive or otherwise not in their best interests. These provisions are not intended to, and do not, preclude unsolicited, non-abusive ofers to acquire the Company at a fair price. They are designed, instead, to encourage any potental acquirer to negotate directly with the Board, which the Board believes is in the best positon to evaluate the adequacy and fairness of proposed ofers, to negotate on behalf of all shareholders, and to protect shareholders against abusive takeover tactcs.</w:t>
      </w:r>
    </w:p>
    <w:p>
      <w:pPr>
        <w:spacing w:after="0" w:line="220"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The Board also believes that there are important reasons for requiring a broad consensus of the shareholders to amend certain fundamental governance provisions in the Company's bylaws and Certfcate of Incorporaton, and that requiring a supermajority vote for such amendments protects shareholders against the self-interested actons of a few large investors. For example, if the proposal submited by the proponent were implemented, it could become possible for a small number of very large shareholders, whose interests may diverge from those of our other shareholders, to approve an amendment to the Company's bylaws and change the size or compositon of the current Board. Importantly, the Supermajority Votng Standard does not preclude changes to the Company's governing documents. Rather, they help to ensure that certain fundamental changes to the governing documents are made only with a broad consensus of shareholders, rather than by a "simple majority" of shareholders votng (which may, in practce, be the holders of a minority of shares outstanding).</w:t>
      </w:r>
    </w:p>
    <w:p>
      <w:pPr>
        <w:spacing w:after="0" w:line="223"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The Company asserts that its corporate governance practces are sound and that the Company and the Board are commited to good corporate governance, accountability to shareholders and shareholder engagement. The Company has taken signifcant steps to implement strong governance principles and to promote accountability, including:</w:t>
      </w:r>
    </w:p>
    <w:p>
      <w:pPr>
        <w:spacing w:after="0" w:line="227"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Eliminatng the classifed Board of Directors and providing for the annual electon of all directors;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Requiring majority votng for the electon of directors; and</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Adoptng proxy access.</w:t>
      </w:r>
    </w:p>
    <w:p>
      <w:pPr>
        <w:spacing w:after="0" w:line="217"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The Board will contnue to consider whether changes to the Certfcate of Incorporaton and Company bylaws are appropriate and in the best interests of the shareholders and the Company in the future.</w:t>
      </w:r>
    </w:p>
    <w:p>
      <w:pPr>
        <w:spacing w:after="0" w:line="218"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As mentoned above, despite introducing virtually the same proposal numerous previously, and having the shareholders fail to approve the requested Certfcate Amendments to implement those shareholder proposals, the proponent has submited essentally the same proposal.</w:t>
      </w:r>
    </w:p>
    <w:p>
      <w:pPr>
        <w:spacing w:after="0" w:line="218"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In summary, in reacton to previous shareholder proposals, the Board on four occasions previously approved, and recommended that shareholders approve, Certfcate Amendments to eliminate or modify the Supermajority Votng Standard. However, in all cases the Certfcate Amendments failed to receive the required shareholder support. In light of the failure of the Certfcate Amendments to receive the required vote and the Board's contnued belief that the Company's existng Supermajority Votng Standard for certain extraordinary maters provides shareholders with very meaningful protectons against actons that may not be in their best interests, the Board believes at this tme that the shareholder proposal would not serve the best interests of our shareholders or the Company. The Board and management believe such acton is not warranted and that the Company's tme and resources could be beter spent on other maters rather than on this shareholder proposal and pursuing adjournments at annual meetngs.</w:t>
      </w:r>
    </w:p>
    <w:p>
      <w:pPr>
        <w:spacing w:after="0" w:line="217" w:lineRule="exact"/>
        <w:rPr>
          <w:sz w:val="20"/>
          <w:szCs w:val="20"/>
          <w:color w:val="auto"/>
        </w:rPr>
      </w:pPr>
    </w:p>
    <w:p>
      <w:pPr>
        <w:ind w:left="380"/>
        <w:spacing w:after="0"/>
        <w:rPr>
          <w:sz w:val="20"/>
          <w:szCs w:val="20"/>
          <w:color w:val="auto"/>
        </w:rPr>
      </w:pPr>
      <w:r>
        <w:rPr>
          <w:rFonts w:ascii="Calibri" w:cs="Calibri" w:eastAsia="Calibri" w:hAnsi="Calibri"/>
          <w:sz w:val="18"/>
          <w:szCs w:val="18"/>
          <w:color w:val="auto"/>
        </w:rPr>
        <w:t>The Board also would like to address some of the incorrect and misleading statements in the shareholder proposal.</w:t>
      </w:r>
    </w:p>
    <w:p>
      <w:pPr>
        <w:spacing w:after="0" w:line="217"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The shareholder proposal suggests that the Certfcate Amendments received approval of 98 percent of the shareholders and that management of the Company just failed to act on that 98 percent approval. This is not true. The vote on the Certfcate Amendments failed because it did not receive favorable votes from 80 percent of the outstanding shares as required by the Certfcate of Incorporaton by which the Company is bound.</w:t>
      </w:r>
    </w:p>
    <w:p>
      <w:pPr>
        <w:spacing w:after="0" w:line="219"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In additon, the proponent asserts, without support, that approval of this amendment will have a concrete and measurable 17,400 percent return on investment. There is no basis for this statement and it is misleading.</w:t>
      </w:r>
    </w:p>
    <w:p>
      <w:pPr>
        <w:spacing w:after="0" w:line="388" w:lineRule="exact"/>
        <w:rPr>
          <w:sz w:val="20"/>
          <w:szCs w:val="20"/>
          <w:color w:val="auto"/>
        </w:rPr>
      </w:pPr>
    </w:p>
    <w:p>
      <w:pPr>
        <w:spacing w:after="0"/>
        <w:tabs>
          <w:tab w:leader="none" w:pos="660" w:val="left"/>
        </w:tabs>
        <w:rPr>
          <w:sz w:val="20"/>
          <w:szCs w:val="20"/>
          <w:color w:val="auto"/>
        </w:rPr>
      </w:pPr>
      <w:r>
        <w:rPr>
          <w:rFonts w:ascii="Calibri" w:cs="Calibri" w:eastAsia="Calibri" w:hAnsi="Calibri"/>
          <w:sz w:val="18"/>
          <w:szCs w:val="18"/>
          <w:color w:val="auto"/>
        </w:rPr>
        <w:t>26</w:t>
      </w:r>
      <w:r>
        <w:rPr>
          <w:sz w:val="20"/>
          <w:szCs w:val="20"/>
          <w:color w:val="auto"/>
        </w:rPr>
        <w:tab/>
      </w:r>
      <w:r>
        <w:rPr>
          <w:rFonts w:ascii="Calibri" w:cs="Calibri" w:eastAsia="Calibri" w:hAnsi="Calibri"/>
          <w:sz w:val="18"/>
          <w:szCs w:val="18"/>
          <w:b w:val="1"/>
          <w:bCs w:val="1"/>
          <w:color w:val="EE2724"/>
        </w:rPr>
        <w:t xml:space="preserve">OGE Energy Corp. </w:t>
      </w:r>
      <w:r>
        <w:rPr>
          <w:rFonts w:ascii="Calibri" w:cs="Calibri" w:eastAsia="Calibri" w:hAnsi="Calibri"/>
          <w:sz w:val="18"/>
          <w:szCs w:val="18"/>
          <w:color w:val="00000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32" w:name="page33"/>
    <w:bookmarkEnd w:id="32"/>
    <w:p>
      <w:pPr>
        <w:jc w:val="both"/>
        <w:ind w:firstLine="374"/>
        <w:spacing w:after="0" w:line="235" w:lineRule="auto"/>
        <w:rPr>
          <w:sz w:val="20"/>
          <w:szCs w:val="20"/>
          <w:color w:val="auto"/>
        </w:rPr>
      </w:pPr>
      <w:r>
        <w:rPr>
          <w:rFonts w:ascii="Calibri" w:cs="Calibri" w:eastAsia="Calibri" w:hAnsi="Calibri"/>
          <w:sz w:val="18"/>
          <w:szCs w:val="18"/>
          <w:color w:val="auto"/>
        </w:rPr>
        <w:t>The afrmatve vote of the holders of a majority of the shares of Common Stock present in person or by proxy and enttled to vote at the Annual Meetng will be required for the approval of this shareholder proposal. Abstentons from votng in this mater are treated as votes "against." Broker non-votes will be treated as shares not enttled to be voted.</w:t>
      </w:r>
    </w:p>
    <w:p>
      <w:pPr>
        <w:spacing w:after="0" w:line="219"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The Company's shareholders should be aware that this shareholder proposal is a request that the Board take the actons stated in the proposal. Approval of this proposal does not eliminate the Supermajority Votng Standard. As noted above, to change the Supermajority Votng Standard, holders of at least 80 percent of the Company's outstanding Common Stock must approve an actual amendment to the Certfcate of Incorporaton.</w:t>
      </w:r>
    </w:p>
    <w:p>
      <w:pPr>
        <w:spacing w:after="0" w:line="219"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b w:val="1"/>
          <w:bCs w:val="1"/>
          <w:color w:val="auto"/>
        </w:rPr>
        <w:t>The Board of Directors recommends a vote "AGAINST" Proposal No. 4. Proxies solicited by the Board of Directors will be voted "AGAINST" Proposal No. 4, unless a diferent vote is specifed.</w:t>
      </w:r>
    </w:p>
    <w:p>
      <w:pPr>
        <w:spacing w:after="0" w:line="172" w:lineRule="exact"/>
        <w:rPr>
          <w:sz w:val="20"/>
          <w:szCs w:val="20"/>
          <w:color w:val="auto"/>
        </w:rPr>
      </w:pPr>
    </w:p>
    <w:p>
      <w:pPr>
        <w:spacing w:after="0"/>
        <w:tabs>
          <w:tab w:leader="none" w:pos="660" w:val="left"/>
        </w:tabs>
        <w:rPr>
          <w:sz w:val="20"/>
          <w:szCs w:val="20"/>
          <w:color w:val="auto"/>
        </w:rPr>
      </w:pPr>
      <w:r>
        <w:rPr>
          <w:rFonts w:ascii="Calibri" w:cs="Calibri" w:eastAsia="Calibri" w:hAnsi="Calibri"/>
          <w:sz w:val="18"/>
          <w:szCs w:val="18"/>
          <w:color w:val="auto"/>
        </w:rPr>
        <w:t>27</w:t>
      </w:r>
      <w:r>
        <w:rPr>
          <w:sz w:val="20"/>
          <w:szCs w:val="20"/>
          <w:color w:val="auto"/>
        </w:rPr>
        <w:tab/>
      </w:r>
      <w:r>
        <w:rPr>
          <w:rFonts w:ascii="Calibri" w:cs="Calibri" w:eastAsia="Calibri" w:hAnsi="Calibri"/>
          <w:sz w:val="18"/>
          <w:szCs w:val="18"/>
          <w:b w:val="1"/>
          <w:bCs w:val="1"/>
          <w:color w:val="EE2724"/>
        </w:rPr>
        <w:t xml:space="preserve">OGE Energy Corp. </w:t>
      </w:r>
      <w:r>
        <w:rPr>
          <w:rFonts w:ascii="Calibri" w:cs="Calibri" w:eastAsia="Calibri" w:hAnsi="Calibri"/>
          <w:sz w:val="18"/>
          <w:szCs w:val="18"/>
          <w:color w:val="00000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33" w:name="page34"/>
    <w:bookmarkEnd w:id="33"/>
    <w:p>
      <w:pPr>
        <w:spacing w:after="0" w:line="9" w:lineRule="exact"/>
        <w:rPr>
          <w:sz w:val="20"/>
          <w:szCs w:val="20"/>
          <w:color w:val="auto"/>
        </w:rPr>
      </w:pPr>
    </w:p>
    <w:p>
      <w:pPr>
        <w:ind w:left="60"/>
        <w:spacing w:after="0"/>
        <w:rPr>
          <w:sz w:val="20"/>
          <w:szCs w:val="20"/>
          <w:color w:val="auto"/>
        </w:rPr>
      </w:pPr>
      <w:r>
        <w:rPr>
          <w:rFonts w:ascii="Calibri" w:cs="Calibri" w:eastAsia="Calibri" w:hAnsi="Calibri"/>
          <w:sz w:val="22"/>
          <w:szCs w:val="22"/>
          <w:b w:val="1"/>
          <w:bCs w:val="1"/>
          <w:color w:val="auto"/>
        </w:rPr>
        <w:t>REPORT OF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9"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The Audit Commitee oversees the Company's fnancial reportng process on behalf of the Board of Directors. Management, however, has the primary responsibility for the fnancial statements and the reportng process including the systems of internal controls.</w:t>
      </w:r>
    </w:p>
    <w:p>
      <w:pPr>
        <w:spacing w:after="0" w:line="177"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The Audit Commitee currently has four members, none of whom has any relatonship to the Company that interferes with the exercise of his or her independence from management and the Company, and each of whom qualifes as independent under the standards used by the NYSE, where the Company's shares are listed. The Audit Commitee operates under a writen charter that has been approved by the Board of Directors. The Audit Commitee annually reviews and reassesses the adequacy of its charter. Among other things, the charter specifes the policies for selectng the auditors (including rotaton for the audit partner) and the scope of the Audit Commitee's responsibilites and how it carries out those responsibilites, including structure, processes and membership requirements.</w:t>
      </w:r>
    </w:p>
    <w:p>
      <w:pPr>
        <w:spacing w:after="0" w:line="113"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In fulflling its oversight responsibilites regarding the 2023 fnancial statements, the Audit Commitee reviewed with Company management the audited fnancial statements contained in our Annual Report to Shareholders. The Audit Commitee's review included a discussion of the quality, not just the acceptability, of the accountng principles, the reasonableness of signifcant judgments and the clarity of disclosures in the fnancial statements.</w:t>
      </w:r>
    </w:p>
    <w:p>
      <w:pPr>
        <w:spacing w:after="0" w:line="111"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The Audit Commitee also reviewed with the Company's principal independent accountants the Company's 2023 fnancial statements and management's assessment of the Company's internal control over fnancial reportng. The Company's principal independent accountants are responsible for expressing an opinion on the conformity of our audited fnancial statements with accountng principles generally accepted in the United States and on the Company's internal control over fnancial reportng. Our review with the principal independent accountants included a discussion of the principal independent accountants' judgments as to the quality, not just the acceptability, of the Company's accountng principles and such other maters as are required to be discussed with the Audit Commitee by the applicable requirements of the Public Company Accountng Oversight Board and the SEC. In additon, the Audit Commitee has received the writen disclosures and the leter from the principal independent accountants required by applicable requirements of the Public Company Accountng Oversight Board regarding the principal independent accountant's communicatons with the Audit Commitee concerning independence, and discussed with the principal independent accountants the principal independent accountants' independence from management and the Company.</w:t>
      </w:r>
    </w:p>
    <w:p>
      <w:pPr>
        <w:spacing w:after="0" w:line="143"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The Audit Commitee also discussed with the Company's internal auditors and principal independent accountants the overall scope and plans for their respectve audits for 2024. The Audit Commitee meets with the internal auditors and principal independent accountants, with and without management present, to discuss the results of their examinatons, their evaluatons of the Company's internal controls, and the overall quality of the Company's fnancial reportng. The Audit Commitee held four meetngs during 2023.</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Fees for Principal Independent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880" w:type="dxa"/>
            <w:vAlign w:val="bottom"/>
            <w:gridSpan w:val="2"/>
          </w:tcPr>
          <w:p>
            <w:pPr>
              <w:ind w:left="20"/>
              <w:spacing w:after="0"/>
              <w:rPr>
                <w:sz w:val="20"/>
                <w:szCs w:val="20"/>
                <w:color w:val="auto"/>
              </w:rPr>
            </w:pPr>
            <w:r>
              <w:rPr>
                <w:rFonts w:ascii="Calibri" w:cs="Calibri" w:eastAsia="Calibri" w:hAnsi="Calibri"/>
                <w:sz w:val="18"/>
                <w:szCs w:val="18"/>
                <w:color w:val="auto"/>
              </w:rPr>
              <w:t>Year ended December 31</w:t>
            </w:r>
          </w:p>
        </w:tc>
        <w:tc>
          <w:tcPr>
            <w:tcW w:w="640" w:type="dxa"/>
            <w:vAlign w:val="bottom"/>
          </w:tcPr>
          <w:p>
            <w:pPr>
              <w:spacing w:after="0"/>
              <w:rPr>
                <w:sz w:val="19"/>
                <w:szCs w:val="19"/>
                <w:color w:val="auto"/>
              </w:rPr>
            </w:pPr>
          </w:p>
        </w:tc>
        <w:tc>
          <w:tcPr>
            <w:tcW w:w="1160" w:type="dxa"/>
            <w:vAlign w:val="bottom"/>
          </w:tcPr>
          <w:p>
            <w:pPr>
              <w:jc w:val="right"/>
              <w:ind w:right="510"/>
              <w:spacing w:after="0"/>
              <w:rPr>
                <w:sz w:val="20"/>
                <w:szCs w:val="20"/>
                <w:color w:val="auto"/>
              </w:rPr>
            </w:pPr>
            <w:r>
              <w:rPr>
                <w:rFonts w:ascii="Calibri" w:cs="Calibri" w:eastAsia="Calibri" w:hAnsi="Calibri"/>
                <w:sz w:val="18"/>
                <w:szCs w:val="18"/>
                <w:color w:val="auto"/>
              </w:rPr>
              <w:t>2023</w:t>
            </w:r>
          </w:p>
        </w:tc>
        <w:tc>
          <w:tcPr>
            <w:tcW w:w="360" w:type="dxa"/>
            <w:vAlign w:val="bottom"/>
          </w:tcPr>
          <w:p>
            <w:pPr>
              <w:spacing w:after="0"/>
              <w:rPr>
                <w:sz w:val="19"/>
                <w:szCs w:val="19"/>
                <w:color w:val="auto"/>
              </w:rPr>
            </w:pPr>
          </w:p>
        </w:tc>
        <w:tc>
          <w:tcPr>
            <w:tcW w:w="1200" w:type="dxa"/>
            <w:vAlign w:val="bottom"/>
          </w:tcPr>
          <w:p>
            <w:pPr>
              <w:jc w:val="right"/>
              <w:ind w:right="530"/>
              <w:spacing w:after="0"/>
              <w:rPr>
                <w:sz w:val="20"/>
                <w:szCs w:val="20"/>
                <w:color w:val="auto"/>
              </w:rPr>
            </w:pPr>
            <w:r>
              <w:rPr>
                <w:rFonts w:ascii="Calibri" w:cs="Calibri" w:eastAsia="Calibri" w:hAnsi="Calibri"/>
                <w:sz w:val="18"/>
                <w:szCs w:val="18"/>
                <w:color w:val="auto"/>
              </w:rPr>
              <w:t>2022</w:t>
            </w:r>
          </w:p>
        </w:tc>
        <w:tc>
          <w:tcPr>
            <w:tcW w:w="0" w:type="dxa"/>
            <w:vAlign w:val="bottom"/>
          </w:tcPr>
          <w:p>
            <w:pPr>
              <w:spacing w:after="0"/>
              <w:rPr>
                <w:sz w:val="1"/>
                <w:szCs w:val="1"/>
                <w:color w:val="auto"/>
              </w:rPr>
            </w:pPr>
          </w:p>
        </w:tc>
      </w:tr>
      <w:tr>
        <w:trPr>
          <w:trHeight w:val="37"/>
        </w:trPr>
        <w:tc>
          <w:tcPr>
            <w:tcW w:w="7880" w:type="dxa"/>
            <w:vAlign w:val="bottom"/>
            <w:tcBorders>
              <w:bottom w:val="single" w:sz="8" w:color="auto"/>
            </w:tcBorders>
            <w:gridSpan w:val="2"/>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7880" w:type="dxa"/>
            <w:vAlign w:val="bottom"/>
            <w:gridSpan w:val="2"/>
            <w:shd w:val="clear" w:color="auto" w:fill="E7E6E6"/>
          </w:tcPr>
          <w:p>
            <w:pPr>
              <w:ind w:left="20"/>
              <w:spacing w:after="0" w:line="201" w:lineRule="exact"/>
              <w:rPr>
                <w:sz w:val="20"/>
                <w:szCs w:val="20"/>
                <w:color w:val="auto"/>
              </w:rPr>
            </w:pPr>
            <w:r>
              <w:rPr>
                <w:rFonts w:ascii="Calibri" w:cs="Calibri" w:eastAsia="Calibri" w:hAnsi="Calibri"/>
                <w:sz w:val="18"/>
                <w:szCs w:val="18"/>
                <w:color w:val="auto"/>
              </w:rPr>
              <w:t>Integrated audit of OGE Energy and its subsidiaries fnancial statements and internal control over fnancial</w:t>
            </w:r>
          </w:p>
        </w:tc>
        <w:tc>
          <w:tcPr>
            <w:tcW w:w="640" w:type="dxa"/>
            <w:vAlign w:val="bottom"/>
            <w:vMerge w:val="restart"/>
            <w:shd w:val="clear" w:color="auto" w:fill="E7E6E6"/>
          </w:tcPr>
          <w:p>
            <w:pPr>
              <w:jc w:val="right"/>
              <w:ind w:right="130"/>
              <w:spacing w:after="0"/>
              <w:rPr>
                <w:sz w:val="20"/>
                <w:szCs w:val="20"/>
                <w:color w:val="auto"/>
              </w:rPr>
            </w:pPr>
            <w:r>
              <w:rPr>
                <w:rFonts w:ascii="Calibri" w:cs="Calibri" w:eastAsia="Calibri" w:hAnsi="Calibri"/>
                <w:sz w:val="18"/>
                <w:szCs w:val="18"/>
                <w:color w:val="auto"/>
              </w:rPr>
              <w:t>$</w:t>
            </w:r>
          </w:p>
        </w:tc>
        <w:tc>
          <w:tcPr>
            <w:tcW w:w="1160" w:type="dxa"/>
            <w:vAlign w:val="bottom"/>
            <w:vMerge w:val="restart"/>
            <w:shd w:val="clear" w:color="auto" w:fill="E7E6E6"/>
          </w:tcPr>
          <w:p>
            <w:pPr>
              <w:jc w:val="right"/>
              <w:spacing w:after="0"/>
              <w:rPr>
                <w:sz w:val="20"/>
                <w:szCs w:val="20"/>
                <w:color w:val="auto"/>
              </w:rPr>
            </w:pPr>
            <w:r>
              <w:rPr>
                <w:rFonts w:ascii="Calibri" w:cs="Calibri" w:eastAsia="Calibri" w:hAnsi="Calibri"/>
                <w:sz w:val="18"/>
                <w:szCs w:val="18"/>
                <w:color w:val="auto"/>
              </w:rPr>
              <w:t>1,404,500</w:t>
            </w:r>
          </w:p>
        </w:tc>
        <w:tc>
          <w:tcPr>
            <w:tcW w:w="360" w:type="dxa"/>
            <w:vAlign w:val="bottom"/>
            <w:vMerge w:val="restart"/>
            <w:shd w:val="clear" w:color="auto" w:fill="E7E6E6"/>
          </w:tcPr>
          <w:p>
            <w:pPr>
              <w:jc w:val="right"/>
              <w:ind w:right="110"/>
              <w:spacing w:after="0"/>
              <w:rPr>
                <w:sz w:val="20"/>
                <w:szCs w:val="20"/>
                <w:color w:val="auto"/>
              </w:rPr>
            </w:pPr>
            <w:r>
              <w:rPr>
                <w:rFonts w:ascii="Calibri" w:cs="Calibri" w:eastAsia="Calibri" w:hAnsi="Calibri"/>
                <w:sz w:val="18"/>
                <w:szCs w:val="18"/>
                <w:color w:val="auto"/>
              </w:rPr>
              <w:t>$</w:t>
            </w:r>
          </w:p>
        </w:tc>
        <w:tc>
          <w:tcPr>
            <w:tcW w:w="1200" w:type="dxa"/>
            <w:vAlign w:val="bottom"/>
            <w:vMerge w:val="restart"/>
            <w:shd w:val="clear" w:color="auto" w:fill="E7E6E6"/>
          </w:tcPr>
          <w:p>
            <w:pPr>
              <w:jc w:val="right"/>
              <w:ind w:right="30"/>
              <w:spacing w:after="0"/>
              <w:rPr>
                <w:sz w:val="20"/>
                <w:szCs w:val="20"/>
                <w:color w:val="auto"/>
              </w:rPr>
            </w:pPr>
            <w:r>
              <w:rPr>
                <w:rFonts w:ascii="Calibri" w:cs="Calibri" w:eastAsia="Calibri" w:hAnsi="Calibri"/>
                <w:sz w:val="18"/>
                <w:szCs w:val="18"/>
                <w:color w:val="auto"/>
              </w:rPr>
              <w:t>1,232,000</w:t>
            </w:r>
          </w:p>
        </w:tc>
        <w:tc>
          <w:tcPr>
            <w:tcW w:w="0" w:type="dxa"/>
            <w:vAlign w:val="bottom"/>
          </w:tcPr>
          <w:p>
            <w:pPr>
              <w:spacing w:after="0"/>
              <w:rPr>
                <w:sz w:val="1"/>
                <w:szCs w:val="1"/>
                <w:color w:val="auto"/>
              </w:rPr>
            </w:pPr>
          </w:p>
        </w:tc>
      </w:tr>
      <w:tr>
        <w:trPr>
          <w:trHeight w:val="107"/>
        </w:trPr>
        <w:tc>
          <w:tcPr>
            <w:tcW w:w="7880" w:type="dxa"/>
            <w:vAlign w:val="bottom"/>
            <w:gridSpan w:val="2"/>
            <w:vMerge w:val="restart"/>
            <w:shd w:val="clear" w:color="auto" w:fill="E7E6E6"/>
          </w:tcPr>
          <w:p>
            <w:pPr>
              <w:ind w:left="20"/>
              <w:spacing w:after="0" w:line="215" w:lineRule="exact"/>
              <w:rPr>
                <w:sz w:val="20"/>
                <w:szCs w:val="20"/>
                <w:color w:val="auto"/>
              </w:rPr>
            </w:pPr>
            <w:r>
              <w:rPr>
                <w:rFonts w:ascii="Calibri" w:cs="Calibri" w:eastAsia="Calibri" w:hAnsi="Calibri"/>
                <w:sz w:val="18"/>
                <w:szCs w:val="18"/>
                <w:color w:val="auto"/>
              </w:rPr>
              <w:t>reportng</w:t>
            </w:r>
          </w:p>
        </w:tc>
        <w:tc>
          <w:tcPr>
            <w:tcW w:w="640" w:type="dxa"/>
            <w:vAlign w:val="bottom"/>
            <w:vMerge w:val="continue"/>
            <w:shd w:val="clear" w:color="auto" w:fill="E7E6E6"/>
          </w:tcPr>
          <w:p>
            <w:pPr>
              <w:spacing w:after="0"/>
              <w:rPr>
                <w:sz w:val="9"/>
                <w:szCs w:val="9"/>
                <w:color w:val="auto"/>
              </w:rPr>
            </w:pPr>
          </w:p>
        </w:tc>
        <w:tc>
          <w:tcPr>
            <w:tcW w:w="1160" w:type="dxa"/>
            <w:vAlign w:val="bottom"/>
            <w:vMerge w:val="continue"/>
            <w:shd w:val="clear" w:color="auto" w:fill="E7E6E6"/>
          </w:tcPr>
          <w:p>
            <w:pPr>
              <w:spacing w:after="0"/>
              <w:rPr>
                <w:sz w:val="9"/>
                <w:szCs w:val="9"/>
                <w:color w:val="auto"/>
              </w:rPr>
            </w:pPr>
          </w:p>
        </w:tc>
        <w:tc>
          <w:tcPr>
            <w:tcW w:w="360" w:type="dxa"/>
            <w:vAlign w:val="bottom"/>
            <w:vMerge w:val="continue"/>
            <w:shd w:val="clear" w:color="auto" w:fill="E7E6E6"/>
          </w:tcPr>
          <w:p>
            <w:pPr>
              <w:spacing w:after="0"/>
              <w:rPr>
                <w:sz w:val="9"/>
                <w:szCs w:val="9"/>
                <w:color w:val="auto"/>
              </w:rPr>
            </w:pPr>
          </w:p>
        </w:tc>
        <w:tc>
          <w:tcPr>
            <w:tcW w:w="1200" w:type="dxa"/>
            <w:vAlign w:val="bottom"/>
            <w:vMerge w:val="continue"/>
            <w:shd w:val="clear" w:color="auto" w:fill="E7E6E6"/>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7880" w:type="dxa"/>
            <w:vAlign w:val="bottom"/>
            <w:tcBorders>
              <w:bottom w:val="single" w:sz="8" w:color="E7E6E6"/>
            </w:tcBorders>
            <w:gridSpan w:val="2"/>
            <w:vMerge w:val="continue"/>
            <w:shd w:val="clear" w:color="auto" w:fill="E7E6E6"/>
          </w:tcPr>
          <w:p>
            <w:pPr>
              <w:spacing w:after="0"/>
              <w:rPr>
                <w:sz w:val="10"/>
                <w:szCs w:val="10"/>
                <w:color w:val="auto"/>
              </w:rPr>
            </w:pPr>
          </w:p>
        </w:tc>
        <w:tc>
          <w:tcPr>
            <w:tcW w:w="640" w:type="dxa"/>
            <w:vAlign w:val="bottom"/>
            <w:tcBorders>
              <w:bottom w:val="single" w:sz="8" w:color="E7E6E6"/>
            </w:tcBorders>
            <w:shd w:val="clear" w:color="auto" w:fill="E7E6E6"/>
          </w:tcPr>
          <w:p>
            <w:pPr>
              <w:spacing w:after="0"/>
              <w:rPr>
                <w:sz w:val="10"/>
                <w:szCs w:val="10"/>
                <w:color w:val="auto"/>
              </w:rPr>
            </w:pPr>
          </w:p>
        </w:tc>
        <w:tc>
          <w:tcPr>
            <w:tcW w:w="1160" w:type="dxa"/>
            <w:vAlign w:val="bottom"/>
            <w:tcBorders>
              <w:bottom w:val="single" w:sz="8" w:color="E7E6E6"/>
            </w:tcBorders>
            <w:shd w:val="clear" w:color="auto" w:fill="E7E6E6"/>
          </w:tcPr>
          <w:p>
            <w:pPr>
              <w:spacing w:after="0"/>
              <w:rPr>
                <w:sz w:val="10"/>
                <w:szCs w:val="10"/>
                <w:color w:val="auto"/>
              </w:rPr>
            </w:pPr>
          </w:p>
        </w:tc>
        <w:tc>
          <w:tcPr>
            <w:tcW w:w="360" w:type="dxa"/>
            <w:vAlign w:val="bottom"/>
            <w:tcBorders>
              <w:bottom w:val="single" w:sz="8" w:color="E7E6E6"/>
            </w:tcBorders>
            <w:shd w:val="clear" w:color="auto" w:fill="E7E6E6"/>
          </w:tcPr>
          <w:p>
            <w:pPr>
              <w:spacing w:after="0"/>
              <w:rPr>
                <w:sz w:val="10"/>
                <w:szCs w:val="10"/>
                <w:color w:val="auto"/>
              </w:rPr>
            </w:pPr>
          </w:p>
        </w:tc>
        <w:tc>
          <w:tcPr>
            <w:tcW w:w="1200" w:type="dxa"/>
            <w:vAlign w:val="bottom"/>
            <w:tcBorders>
              <w:bottom w:val="single" w:sz="8" w:color="E7E6E6"/>
            </w:tcBorders>
            <w:shd w:val="clear" w:color="auto" w:fill="E7E6E6"/>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788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Services in support of debt and stock oferings</w:t>
            </w:r>
          </w:p>
        </w:tc>
        <w:tc>
          <w:tcPr>
            <w:tcW w:w="640" w:type="dxa"/>
            <w:vAlign w:val="bottom"/>
          </w:tcPr>
          <w:p>
            <w:pPr>
              <w:spacing w:after="0"/>
              <w:rPr>
                <w:sz w:val="18"/>
                <w:szCs w:val="18"/>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62,000</w:t>
            </w:r>
          </w:p>
        </w:tc>
        <w:tc>
          <w:tcPr>
            <w:tcW w:w="360" w:type="dxa"/>
            <w:vAlign w:val="bottom"/>
          </w:tcPr>
          <w:p>
            <w:pPr>
              <w:spacing w:after="0"/>
              <w:rPr>
                <w:sz w:val="18"/>
                <w:szCs w:val="18"/>
                <w:color w:val="auto"/>
              </w:rPr>
            </w:pPr>
          </w:p>
        </w:tc>
        <w:tc>
          <w:tcPr>
            <w:tcW w:w="120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59,000</w:t>
            </w:r>
          </w:p>
        </w:tc>
        <w:tc>
          <w:tcPr>
            <w:tcW w:w="0" w:type="dxa"/>
            <w:vAlign w:val="bottom"/>
          </w:tcPr>
          <w:p>
            <w:pPr>
              <w:spacing w:after="0"/>
              <w:rPr>
                <w:sz w:val="1"/>
                <w:szCs w:val="1"/>
                <w:color w:val="auto"/>
              </w:rPr>
            </w:pPr>
          </w:p>
        </w:tc>
      </w:tr>
      <w:tr>
        <w:trPr>
          <w:trHeight w:val="28"/>
        </w:trPr>
        <w:tc>
          <w:tcPr>
            <w:tcW w:w="788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7880" w:type="dxa"/>
            <w:vAlign w:val="bottom"/>
            <w:tcBorders>
              <w:bottom w:val="single" w:sz="8" w:color="E7E6E6"/>
            </w:tcBorders>
            <w:gridSpan w:val="2"/>
            <w:shd w:val="clear" w:color="auto" w:fill="E7E6E6"/>
          </w:tcPr>
          <w:p>
            <w:pPr>
              <w:ind w:left="20"/>
              <w:spacing w:after="0" w:line="215" w:lineRule="exact"/>
              <w:rPr>
                <w:sz w:val="20"/>
                <w:szCs w:val="20"/>
                <w:color w:val="auto"/>
              </w:rPr>
            </w:pPr>
            <w:r>
              <w:rPr>
                <w:rFonts w:ascii="Calibri" w:cs="Calibri" w:eastAsia="Calibri" w:hAnsi="Calibri"/>
                <w:sz w:val="18"/>
                <w:szCs w:val="18"/>
                <w:color w:val="auto"/>
              </w:rPr>
              <w:t>Other (A)</w:t>
            </w:r>
          </w:p>
        </w:tc>
        <w:tc>
          <w:tcPr>
            <w:tcW w:w="640" w:type="dxa"/>
            <w:vAlign w:val="bottom"/>
            <w:tcBorders>
              <w:bottom w:val="single" w:sz="8" w:color="E7E6E6"/>
            </w:tcBorders>
            <w:shd w:val="clear" w:color="auto" w:fill="E7E6E6"/>
          </w:tcPr>
          <w:p>
            <w:pPr>
              <w:spacing w:after="0"/>
              <w:rPr>
                <w:sz w:val="21"/>
                <w:szCs w:val="21"/>
                <w:color w:val="auto"/>
              </w:rPr>
            </w:pPr>
          </w:p>
        </w:tc>
        <w:tc>
          <w:tcPr>
            <w:tcW w:w="1160" w:type="dxa"/>
            <w:vAlign w:val="bottom"/>
            <w:tcBorders>
              <w:bottom w:val="single" w:sz="8" w:color="E7E6E6"/>
            </w:tcBorders>
            <w:shd w:val="clear" w:color="auto" w:fill="E7E6E6"/>
          </w:tcPr>
          <w:p>
            <w:pPr>
              <w:jc w:val="right"/>
              <w:spacing w:after="0" w:line="215" w:lineRule="exact"/>
              <w:rPr>
                <w:sz w:val="20"/>
                <w:szCs w:val="20"/>
                <w:color w:val="auto"/>
              </w:rPr>
            </w:pPr>
            <w:r>
              <w:rPr>
                <w:rFonts w:ascii="Calibri" w:cs="Calibri" w:eastAsia="Calibri" w:hAnsi="Calibri"/>
                <w:sz w:val="18"/>
                <w:szCs w:val="18"/>
                <w:color w:val="auto"/>
              </w:rPr>
              <w:t>430,375</w:t>
            </w:r>
          </w:p>
        </w:tc>
        <w:tc>
          <w:tcPr>
            <w:tcW w:w="360" w:type="dxa"/>
            <w:vAlign w:val="bottom"/>
            <w:tcBorders>
              <w:bottom w:val="single" w:sz="8" w:color="E7E6E6"/>
            </w:tcBorders>
            <w:shd w:val="clear" w:color="auto" w:fill="E7E6E6"/>
          </w:tcPr>
          <w:p>
            <w:pPr>
              <w:spacing w:after="0"/>
              <w:rPr>
                <w:sz w:val="21"/>
                <w:szCs w:val="21"/>
                <w:color w:val="auto"/>
              </w:rPr>
            </w:pPr>
          </w:p>
        </w:tc>
        <w:tc>
          <w:tcPr>
            <w:tcW w:w="1200" w:type="dxa"/>
            <w:vAlign w:val="bottom"/>
            <w:tcBorders>
              <w:bottom w:val="single" w:sz="8" w:color="E7E6E6"/>
            </w:tcBorders>
            <w:shd w:val="clear" w:color="auto" w:fill="E7E6E6"/>
          </w:tcPr>
          <w:p>
            <w:pPr>
              <w:jc w:val="right"/>
              <w:ind w:right="30"/>
              <w:spacing w:after="0" w:line="215" w:lineRule="exact"/>
              <w:rPr>
                <w:sz w:val="20"/>
                <w:szCs w:val="20"/>
                <w:color w:val="auto"/>
              </w:rPr>
            </w:pPr>
            <w:r>
              <w:rPr>
                <w:rFonts w:ascii="Calibri" w:cs="Calibri" w:eastAsia="Calibri" w:hAnsi="Calibri"/>
                <w:sz w:val="18"/>
                <w:szCs w:val="18"/>
                <w:color w:val="auto"/>
              </w:rPr>
              <w:t>447,500</w:t>
            </w:r>
          </w:p>
        </w:tc>
        <w:tc>
          <w:tcPr>
            <w:tcW w:w="0" w:type="dxa"/>
            <w:vAlign w:val="bottom"/>
          </w:tcPr>
          <w:p>
            <w:pPr>
              <w:spacing w:after="0"/>
              <w:rPr>
                <w:sz w:val="1"/>
                <w:szCs w:val="1"/>
                <w:color w:val="auto"/>
              </w:rPr>
            </w:pPr>
          </w:p>
        </w:tc>
      </w:tr>
      <w:tr>
        <w:trPr>
          <w:trHeight w:val="208"/>
        </w:trPr>
        <w:tc>
          <w:tcPr>
            <w:tcW w:w="7880" w:type="dxa"/>
            <w:vAlign w:val="bottom"/>
            <w:tcBorders>
              <w:top w:val="single" w:sz="8" w:color="auto"/>
            </w:tcBorders>
            <w:gridSpan w:val="2"/>
          </w:tcPr>
          <w:p>
            <w:pPr>
              <w:ind w:left="120"/>
              <w:spacing w:after="0" w:line="208" w:lineRule="exact"/>
              <w:rPr>
                <w:sz w:val="20"/>
                <w:szCs w:val="20"/>
                <w:color w:val="auto"/>
              </w:rPr>
            </w:pPr>
            <w:r>
              <w:rPr>
                <w:rFonts w:ascii="Calibri" w:cs="Calibri" w:eastAsia="Calibri" w:hAnsi="Calibri"/>
                <w:sz w:val="18"/>
                <w:szCs w:val="18"/>
                <w:color w:val="auto"/>
              </w:rPr>
              <w:t>Total audit fees (B)</w:t>
            </w:r>
          </w:p>
        </w:tc>
        <w:tc>
          <w:tcPr>
            <w:tcW w:w="6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1,896,875</w:t>
            </w: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1,738,500</w:t>
            </w:r>
          </w:p>
        </w:tc>
        <w:tc>
          <w:tcPr>
            <w:tcW w:w="0" w:type="dxa"/>
            <w:vAlign w:val="bottom"/>
          </w:tcPr>
          <w:p>
            <w:pPr>
              <w:spacing w:after="0"/>
              <w:rPr>
                <w:sz w:val="1"/>
                <w:szCs w:val="1"/>
                <w:color w:val="auto"/>
              </w:rPr>
            </w:pPr>
          </w:p>
        </w:tc>
      </w:tr>
      <w:tr>
        <w:trPr>
          <w:trHeight w:val="28"/>
        </w:trPr>
        <w:tc>
          <w:tcPr>
            <w:tcW w:w="788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880" w:type="dxa"/>
            <w:vAlign w:val="bottom"/>
            <w:tcBorders>
              <w:bottom w:val="single" w:sz="8" w:color="E7E6E6"/>
            </w:tcBorders>
            <w:gridSpan w:val="2"/>
            <w:shd w:val="clear" w:color="auto" w:fill="E7E6E6"/>
          </w:tcPr>
          <w:p>
            <w:pPr>
              <w:ind w:left="20"/>
              <w:spacing w:after="0" w:line="208" w:lineRule="exact"/>
              <w:rPr>
                <w:sz w:val="20"/>
                <w:szCs w:val="20"/>
                <w:color w:val="auto"/>
              </w:rPr>
            </w:pPr>
            <w:r>
              <w:rPr>
                <w:rFonts w:ascii="Calibri" w:cs="Calibri" w:eastAsia="Calibri" w:hAnsi="Calibri"/>
                <w:sz w:val="18"/>
                <w:szCs w:val="18"/>
                <w:color w:val="auto"/>
              </w:rPr>
              <w:t>Employee beneft plan audits</w:t>
            </w:r>
          </w:p>
        </w:tc>
        <w:tc>
          <w:tcPr>
            <w:tcW w:w="640" w:type="dxa"/>
            <w:vAlign w:val="bottom"/>
            <w:tcBorders>
              <w:bottom w:val="single" w:sz="8" w:color="E7E6E6"/>
            </w:tcBorders>
            <w:shd w:val="clear" w:color="auto" w:fill="E7E6E6"/>
          </w:tcPr>
          <w:p>
            <w:pPr>
              <w:spacing w:after="0"/>
              <w:rPr>
                <w:sz w:val="18"/>
                <w:szCs w:val="18"/>
                <w:color w:val="auto"/>
              </w:rPr>
            </w:pPr>
          </w:p>
        </w:tc>
        <w:tc>
          <w:tcPr>
            <w:tcW w:w="1160" w:type="dxa"/>
            <w:vAlign w:val="bottom"/>
            <w:tcBorders>
              <w:bottom w:val="single" w:sz="8" w:color="E7E6E6"/>
            </w:tcBorders>
            <w:shd w:val="clear" w:color="auto" w:fill="E7E6E6"/>
          </w:tcPr>
          <w:p>
            <w:pPr>
              <w:jc w:val="right"/>
              <w:spacing w:after="0" w:line="208" w:lineRule="exact"/>
              <w:rPr>
                <w:sz w:val="20"/>
                <w:szCs w:val="20"/>
                <w:color w:val="auto"/>
              </w:rPr>
            </w:pPr>
            <w:r>
              <w:rPr>
                <w:rFonts w:ascii="Calibri" w:cs="Calibri" w:eastAsia="Calibri" w:hAnsi="Calibri"/>
                <w:sz w:val="18"/>
                <w:szCs w:val="18"/>
                <w:color w:val="auto"/>
              </w:rPr>
              <w:t>144,000</w:t>
            </w:r>
          </w:p>
        </w:tc>
        <w:tc>
          <w:tcPr>
            <w:tcW w:w="360" w:type="dxa"/>
            <w:vAlign w:val="bottom"/>
            <w:tcBorders>
              <w:bottom w:val="single" w:sz="8" w:color="E7E6E6"/>
            </w:tcBorders>
            <w:shd w:val="clear" w:color="auto" w:fill="E7E6E6"/>
          </w:tcPr>
          <w:p>
            <w:pPr>
              <w:spacing w:after="0"/>
              <w:rPr>
                <w:sz w:val="18"/>
                <w:szCs w:val="18"/>
                <w:color w:val="auto"/>
              </w:rPr>
            </w:pPr>
          </w:p>
        </w:tc>
        <w:tc>
          <w:tcPr>
            <w:tcW w:w="1200" w:type="dxa"/>
            <w:vAlign w:val="bottom"/>
            <w:tcBorders>
              <w:bottom w:val="single" w:sz="8" w:color="E7E6E6"/>
            </w:tcBorders>
            <w:shd w:val="clear" w:color="auto" w:fill="E7E6E6"/>
          </w:tcPr>
          <w:p>
            <w:pPr>
              <w:jc w:val="right"/>
              <w:ind w:right="30"/>
              <w:spacing w:after="0" w:line="208" w:lineRule="exact"/>
              <w:rPr>
                <w:sz w:val="20"/>
                <w:szCs w:val="20"/>
                <w:color w:val="auto"/>
              </w:rPr>
            </w:pPr>
            <w:r>
              <w:rPr>
                <w:rFonts w:ascii="Calibri" w:cs="Calibri" w:eastAsia="Calibri" w:hAnsi="Calibri"/>
                <w:sz w:val="18"/>
                <w:szCs w:val="18"/>
                <w:color w:val="auto"/>
              </w:rPr>
              <w:t>138,000</w:t>
            </w:r>
          </w:p>
        </w:tc>
        <w:tc>
          <w:tcPr>
            <w:tcW w:w="0" w:type="dxa"/>
            <w:vAlign w:val="bottom"/>
          </w:tcPr>
          <w:p>
            <w:pPr>
              <w:spacing w:after="0"/>
              <w:rPr>
                <w:sz w:val="1"/>
                <w:szCs w:val="1"/>
                <w:color w:val="auto"/>
              </w:rPr>
            </w:pPr>
          </w:p>
        </w:tc>
      </w:tr>
      <w:tr>
        <w:trPr>
          <w:trHeight w:val="215"/>
        </w:trPr>
        <w:tc>
          <w:tcPr>
            <w:tcW w:w="788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Other compliance services</w:t>
            </w:r>
          </w:p>
        </w:tc>
        <w:tc>
          <w:tcPr>
            <w:tcW w:w="640" w:type="dxa"/>
            <w:vAlign w:val="bottom"/>
          </w:tcPr>
          <w:p>
            <w:pPr>
              <w:spacing w:after="0"/>
              <w:rPr>
                <w:sz w:val="18"/>
                <w:szCs w:val="18"/>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79,530</w:t>
            </w:r>
          </w:p>
        </w:tc>
        <w:tc>
          <w:tcPr>
            <w:tcW w:w="360" w:type="dxa"/>
            <w:vAlign w:val="bottom"/>
          </w:tcPr>
          <w:p>
            <w:pPr>
              <w:spacing w:after="0"/>
              <w:rPr>
                <w:sz w:val="18"/>
                <w:szCs w:val="18"/>
                <w:color w:val="auto"/>
              </w:rPr>
            </w:pPr>
          </w:p>
        </w:tc>
        <w:tc>
          <w:tcPr>
            <w:tcW w:w="120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8"/>
        </w:trPr>
        <w:tc>
          <w:tcPr>
            <w:tcW w:w="788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7880" w:type="dxa"/>
            <w:vAlign w:val="bottom"/>
            <w:tcBorders>
              <w:bottom w:val="single" w:sz="8" w:color="E7E6E6"/>
            </w:tcBorders>
            <w:gridSpan w:val="2"/>
            <w:shd w:val="clear" w:color="auto" w:fill="E7E6E6"/>
          </w:tcPr>
          <w:p>
            <w:pPr>
              <w:ind w:left="120"/>
              <w:spacing w:after="0" w:line="208" w:lineRule="exact"/>
              <w:rPr>
                <w:sz w:val="20"/>
                <w:szCs w:val="20"/>
                <w:color w:val="auto"/>
              </w:rPr>
            </w:pPr>
            <w:r>
              <w:rPr>
                <w:rFonts w:ascii="Calibri" w:cs="Calibri" w:eastAsia="Calibri" w:hAnsi="Calibri"/>
                <w:sz w:val="18"/>
                <w:szCs w:val="18"/>
                <w:color w:val="auto"/>
              </w:rPr>
              <w:t>Total audit-related fees</w:t>
            </w:r>
          </w:p>
        </w:tc>
        <w:tc>
          <w:tcPr>
            <w:tcW w:w="640" w:type="dxa"/>
            <w:vAlign w:val="bottom"/>
            <w:tcBorders>
              <w:bottom w:val="single" w:sz="8" w:color="E7E6E6"/>
            </w:tcBorders>
            <w:shd w:val="clear" w:color="auto" w:fill="E7E6E6"/>
          </w:tcPr>
          <w:p>
            <w:pPr>
              <w:spacing w:after="0"/>
              <w:rPr>
                <w:sz w:val="20"/>
                <w:szCs w:val="20"/>
                <w:color w:val="auto"/>
              </w:rPr>
            </w:pPr>
          </w:p>
        </w:tc>
        <w:tc>
          <w:tcPr>
            <w:tcW w:w="1160" w:type="dxa"/>
            <w:vAlign w:val="bottom"/>
            <w:tcBorders>
              <w:bottom w:val="single" w:sz="8" w:color="E7E6E6"/>
            </w:tcBorders>
            <w:shd w:val="clear" w:color="auto" w:fill="E7E6E6"/>
          </w:tcPr>
          <w:p>
            <w:pPr>
              <w:jc w:val="right"/>
              <w:spacing w:after="0" w:line="208" w:lineRule="exact"/>
              <w:rPr>
                <w:sz w:val="20"/>
                <w:szCs w:val="20"/>
                <w:color w:val="auto"/>
              </w:rPr>
            </w:pPr>
            <w:r>
              <w:rPr>
                <w:rFonts w:ascii="Calibri" w:cs="Calibri" w:eastAsia="Calibri" w:hAnsi="Calibri"/>
                <w:sz w:val="18"/>
                <w:szCs w:val="18"/>
                <w:color w:val="auto"/>
              </w:rPr>
              <w:t>223,530</w:t>
            </w:r>
          </w:p>
        </w:tc>
        <w:tc>
          <w:tcPr>
            <w:tcW w:w="360" w:type="dxa"/>
            <w:vAlign w:val="bottom"/>
            <w:tcBorders>
              <w:bottom w:val="single" w:sz="8" w:color="E7E6E6"/>
            </w:tcBorders>
            <w:shd w:val="clear" w:color="auto" w:fill="E7E6E6"/>
          </w:tcPr>
          <w:p>
            <w:pPr>
              <w:spacing w:after="0"/>
              <w:rPr>
                <w:sz w:val="20"/>
                <w:szCs w:val="20"/>
                <w:color w:val="auto"/>
              </w:rPr>
            </w:pPr>
          </w:p>
        </w:tc>
        <w:tc>
          <w:tcPr>
            <w:tcW w:w="1200" w:type="dxa"/>
            <w:vAlign w:val="bottom"/>
            <w:tcBorders>
              <w:bottom w:val="single" w:sz="8" w:color="E7E6E6"/>
            </w:tcBorders>
            <w:shd w:val="clear" w:color="auto" w:fill="E7E6E6"/>
          </w:tcPr>
          <w:p>
            <w:pPr>
              <w:jc w:val="right"/>
              <w:ind w:right="30"/>
              <w:spacing w:after="0" w:line="208" w:lineRule="exact"/>
              <w:rPr>
                <w:sz w:val="20"/>
                <w:szCs w:val="20"/>
                <w:color w:val="auto"/>
              </w:rPr>
            </w:pPr>
            <w:r>
              <w:rPr>
                <w:rFonts w:ascii="Calibri" w:cs="Calibri" w:eastAsia="Calibri" w:hAnsi="Calibri"/>
                <w:sz w:val="18"/>
                <w:szCs w:val="18"/>
                <w:color w:val="auto"/>
              </w:rPr>
              <w:t>138,000</w:t>
            </w:r>
          </w:p>
        </w:tc>
        <w:tc>
          <w:tcPr>
            <w:tcW w:w="0" w:type="dxa"/>
            <w:vAlign w:val="bottom"/>
          </w:tcPr>
          <w:p>
            <w:pPr>
              <w:spacing w:after="0"/>
              <w:rPr>
                <w:sz w:val="1"/>
                <w:szCs w:val="1"/>
                <w:color w:val="auto"/>
              </w:rPr>
            </w:pPr>
          </w:p>
        </w:tc>
      </w:tr>
      <w:tr>
        <w:trPr>
          <w:trHeight w:val="208"/>
        </w:trPr>
        <w:tc>
          <w:tcPr>
            <w:tcW w:w="7880" w:type="dxa"/>
            <w:vAlign w:val="bottom"/>
            <w:tcBorders>
              <w:top w:val="single" w:sz="8" w:color="auto"/>
            </w:tcBorders>
            <w:gridSpan w:val="2"/>
          </w:tcPr>
          <w:p>
            <w:pPr>
              <w:ind w:left="20"/>
              <w:spacing w:after="0" w:line="208" w:lineRule="exact"/>
              <w:rPr>
                <w:sz w:val="20"/>
                <w:szCs w:val="20"/>
                <w:color w:val="auto"/>
              </w:rPr>
            </w:pPr>
            <w:r>
              <w:rPr>
                <w:rFonts w:ascii="Calibri" w:cs="Calibri" w:eastAsia="Calibri" w:hAnsi="Calibri"/>
                <w:sz w:val="18"/>
                <w:szCs w:val="18"/>
                <w:color w:val="auto"/>
              </w:rPr>
              <w:t>Assistance with examinatons and other return issues</w:t>
            </w:r>
          </w:p>
        </w:tc>
        <w:tc>
          <w:tcPr>
            <w:tcW w:w="6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229,383</w:t>
            </w: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219,892</w:t>
            </w:r>
          </w:p>
        </w:tc>
        <w:tc>
          <w:tcPr>
            <w:tcW w:w="0" w:type="dxa"/>
            <w:vAlign w:val="bottom"/>
          </w:tcPr>
          <w:p>
            <w:pPr>
              <w:spacing w:after="0"/>
              <w:rPr>
                <w:sz w:val="1"/>
                <w:szCs w:val="1"/>
                <w:color w:val="auto"/>
              </w:rPr>
            </w:pPr>
          </w:p>
        </w:tc>
      </w:tr>
      <w:tr>
        <w:trPr>
          <w:trHeight w:val="28"/>
        </w:trPr>
        <w:tc>
          <w:tcPr>
            <w:tcW w:w="788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7880" w:type="dxa"/>
            <w:vAlign w:val="bottom"/>
            <w:tcBorders>
              <w:bottom w:val="single" w:sz="8" w:color="E7E6E6"/>
            </w:tcBorders>
            <w:gridSpan w:val="2"/>
            <w:shd w:val="clear" w:color="auto" w:fill="E7E6E6"/>
          </w:tcPr>
          <w:p>
            <w:pPr>
              <w:ind w:left="20"/>
              <w:spacing w:after="0" w:line="215" w:lineRule="exact"/>
              <w:rPr>
                <w:sz w:val="20"/>
                <w:szCs w:val="20"/>
                <w:color w:val="auto"/>
              </w:rPr>
            </w:pPr>
            <w:r>
              <w:rPr>
                <w:rFonts w:ascii="Calibri" w:cs="Calibri" w:eastAsia="Calibri" w:hAnsi="Calibri"/>
                <w:sz w:val="18"/>
                <w:szCs w:val="18"/>
                <w:color w:val="auto"/>
              </w:rPr>
              <w:t>Review of Federal and state tax returns</w:t>
            </w:r>
          </w:p>
        </w:tc>
        <w:tc>
          <w:tcPr>
            <w:tcW w:w="640" w:type="dxa"/>
            <w:vAlign w:val="bottom"/>
            <w:tcBorders>
              <w:bottom w:val="single" w:sz="8" w:color="E7E6E6"/>
            </w:tcBorders>
            <w:shd w:val="clear" w:color="auto" w:fill="E7E6E6"/>
          </w:tcPr>
          <w:p>
            <w:pPr>
              <w:spacing w:after="0"/>
              <w:rPr>
                <w:sz w:val="21"/>
                <w:szCs w:val="21"/>
                <w:color w:val="auto"/>
              </w:rPr>
            </w:pPr>
          </w:p>
        </w:tc>
        <w:tc>
          <w:tcPr>
            <w:tcW w:w="1160" w:type="dxa"/>
            <w:vAlign w:val="bottom"/>
            <w:tcBorders>
              <w:bottom w:val="single" w:sz="8" w:color="E7E6E6"/>
            </w:tcBorders>
            <w:shd w:val="clear" w:color="auto" w:fill="E7E6E6"/>
          </w:tcPr>
          <w:p>
            <w:pPr>
              <w:jc w:val="right"/>
              <w:spacing w:after="0" w:line="215" w:lineRule="exact"/>
              <w:rPr>
                <w:sz w:val="20"/>
                <w:szCs w:val="20"/>
                <w:color w:val="auto"/>
              </w:rPr>
            </w:pPr>
            <w:r>
              <w:rPr>
                <w:rFonts w:ascii="Calibri" w:cs="Calibri" w:eastAsia="Calibri" w:hAnsi="Calibri"/>
                <w:sz w:val="18"/>
                <w:szCs w:val="18"/>
                <w:color w:val="auto"/>
              </w:rPr>
              <w:t>54,400</w:t>
            </w:r>
          </w:p>
        </w:tc>
        <w:tc>
          <w:tcPr>
            <w:tcW w:w="360" w:type="dxa"/>
            <w:vAlign w:val="bottom"/>
            <w:tcBorders>
              <w:bottom w:val="single" w:sz="8" w:color="E7E6E6"/>
            </w:tcBorders>
            <w:shd w:val="clear" w:color="auto" w:fill="E7E6E6"/>
          </w:tcPr>
          <w:p>
            <w:pPr>
              <w:spacing w:after="0"/>
              <w:rPr>
                <w:sz w:val="21"/>
                <w:szCs w:val="21"/>
                <w:color w:val="auto"/>
              </w:rPr>
            </w:pPr>
          </w:p>
        </w:tc>
        <w:tc>
          <w:tcPr>
            <w:tcW w:w="1200" w:type="dxa"/>
            <w:vAlign w:val="bottom"/>
            <w:tcBorders>
              <w:bottom w:val="single" w:sz="8" w:color="E7E6E6"/>
            </w:tcBorders>
            <w:shd w:val="clear" w:color="auto" w:fill="E7E6E6"/>
          </w:tcPr>
          <w:p>
            <w:pPr>
              <w:jc w:val="right"/>
              <w:ind w:right="30"/>
              <w:spacing w:after="0" w:line="215" w:lineRule="exact"/>
              <w:rPr>
                <w:sz w:val="20"/>
                <w:szCs w:val="20"/>
                <w:color w:val="auto"/>
              </w:rPr>
            </w:pPr>
            <w:r>
              <w:rPr>
                <w:rFonts w:ascii="Calibri" w:cs="Calibri" w:eastAsia="Calibri" w:hAnsi="Calibri"/>
                <w:sz w:val="18"/>
                <w:szCs w:val="18"/>
                <w:color w:val="auto"/>
              </w:rPr>
              <w:t>34,000</w:t>
            </w:r>
          </w:p>
        </w:tc>
        <w:tc>
          <w:tcPr>
            <w:tcW w:w="0" w:type="dxa"/>
            <w:vAlign w:val="bottom"/>
          </w:tcPr>
          <w:p>
            <w:pPr>
              <w:spacing w:after="0"/>
              <w:rPr>
                <w:sz w:val="1"/>
                <w:szCs w:val="1"/>
                <w:color w:val="auto"/>
              </w:rPr>
            </w:pPr>
          </w:p>
        </w:tc>
      </w:tr>
      <w:tr>
        <w:trPr>
          <w:trHeight w:val="208"/>
        </w:trPr>
        <w:tc>
          <w:tcPr>
            <w:tcW w:w="7880" w:type="dxa"/>
            <w:vAlign w:val="bottom"/>
            <w:tcBorders>
              <w:top w:val="single" w:sz="8" w:color="auto"/>
            </w:tcBorders>
            <w:gridSpan w:val="2"/>
          </w:tcPr>
          <w:p>
            <w:pPr>
              <w:ind w:left="120"/>
              <w:spacing w:after="0" w:line="208" w:lineRule="exact"/>
              <w:rPr>
                <w:sz w:val="20"/>
                <w:szCs w:val="20"/>
                <w:color w:val="auto"/>
              </w:rPr>
            </w:pPr>
            <w:r>
              <w:rPr>
                <w:rFonts w:ascii="Calibri" w:cs="Calibri" w:eastAsia="Calibri" w:hAnsi="Calibri"/>
                <w:sz w:val="18"/>
                <w:szCs w:val="18"/>
                <w:color w:val="auto"/>
              </w:rPr>
              <w:t>Total tax preparaton and compliance fees</w:t>
            </w:r>
          </w:p>
        </w:tc>
        <w:tc>
          <w:tcPr>
            <w:tcW w:w="6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283,783</w:t>
            </w: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253,892</w:t>
            </w:r>
          </w:p>
        </w:tc>
        <w:tc>
          <w:tcPr>
            <w:tcW w:w="0" w:type="dxa"/>
            <w:vAlign w:val="bottom"/>
          </w:tcPr>
          <w:p>
            <w:pPr>
              <w:spacing w:after="0"/>
              <w:rPr>
                <w:sz w:val="1"/>
                <w:szCs w:val="1"/>
                <w:color w:val="auto"/>
              </w:rPr>
            </w:pPr>
          </w:p>
        </w:tc>
      </w:tr>
      <w:tr>
        <w:trPr>
          <w:trHeight w:val="28"/>
        </w:trPr>
        <w:tc>
          <w:tcPr>
            <w:tcW w:w="788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7880" w:type="dxa"/>
            <w:vAlign w:val="bottom"/>
            <w:tcBorders>
              <w:bottom w:val="single" w:sz="8" w:color="E7E6E6"/>
            </w:tcBorders>
            <w:gridSpan w:val="2"/>
            <w:shd w:val="clear" w:color="auto" w:fill="E7E6E6"/>
          </w:tcPr>
          <w:p>
            <w:pPr>
              <w:ind w:left="120"/>
              <w:spacing w:after="0" w:line="208" w:lineRule="exact"/>
              <w:rPr>
                <w:sz w:val="20"/>
                <w:szCs w:val="20"/>
                <w:color w:val="auto"/>
              </w:rPr>
            </w:pPr>
            <w:r>
              <w:rPr>
                <w:rFonts w:ascii="Calibri" w:cs="Calibri" w:eastAsia="Calibri" w:hAnsi="Calibri"/>
                <w:sz w:val="18"/>
                <w:szCs w:val="18"/>
                <w:color w:val="auto"/>
              </w:rPr>
              <w:t>Total tax fees</w:t>
            </w:r>
          </w:p>
        </w:tc>
        <w:tc>
          <w:tcPr>
            <w:tcW w:w="640" w:type="dxa"/>
            <w:vAlign w:val="bottom"/>
            <w:tcBorders>
              <w:bottom w:val="single" w:sz="8" w:color="E7E6E6"/>
            </w:tcBorders>
            <w:shd w:val="clear" w:color="auto" w:fill="E7E6E6"/>
          </w:tcPr>
          <w:p>
            <w:pPr>
              <w:spacing w:after="0"/>
              <w:rPr>
                <w:sz w:val="20"/>
                <w:szCs w:val="20"/>
                <w:color w:val="auto"/>
              </w:rPr>
            </w:pPr>
          </w:p>
        </w:tc>
        <w:tc>
          <w:tcPr>
            <w:tcW w:w="1160" w:type="dxa"/>
            <w:vAlign w:val="bottom"/>
            <w:tcBorders>
              <w:bottom w:val="single" w:sz="8" w:color="E7E6E6"/>
            </w:tcBorders>
            <w:shd w:val="clear" w:color="auto" w:fill="E7E6E6"/>
          </w:tcPr>
          <w:p>
            <w:pPr>
              <w:jc w:val="right"/>
              <w:spacing w:after="0" w:line="208" w:lineRule="exact"/>
              <w:rPr>
                <w:sz w:val="20"/>
                <w:szCs w:val="20"/>
                <w:color w:val="auto"/>
              </w:rPr>
            </w:pPr>
            <w:r>
              <w:rPr>
                <w:rFonts w:ascii="Calibri" w:cs="Calibri" w:eastAsia="Calibri" w:hAnsi="Calibri"/>
                <w:sz w:val="18"/>
                <w:szCs w:val="18"/>
                <w:color w:val="auto"/>
              </w:rPr>
              <w:t>283,783</w:t>
            </w:r>
          </w:p>
        </w:tc>
        <w:tc>
          <w:tcPr>
            <w:tcW w:w="360" w:type="dxa"/>
            <w:vAlign w:val="bottom"/>
            <w:tcBorders>
              <w:bottom w:val="single" w:sz="8" w:color="E7E6E6"/>
            </w:tcBorders>
            <w:shd w:val="clear" w:color="auto" w:fill="E7E6E6"/>
          </w:tcPr>
          <w:p>
            <w:pPr>
              <w:spacing w:after="0"/>
              <w:rPr>
                <w:sz w:val="20"/>
                <w:szCs w:val="20"/>
                <w:color w:val="auto"/>
              </w:rPr>
            </w:pPr>
          </w:p>
        </w:tc>
        <w:tc>
          <w:tcPr>
            <w:tcW w:w="1200" w:type="dxa"/>
            <w:vAlign w:val="bottom"/>
            <w:tcBorders>
              <w:bottom w:val="single" w:sz="8" w:color="E7E6E6"/>
            </w:tcBorders>
            <w:shd w:val="clear" w:color="auto" w:fill="E7E6E6"/>
          </w:tcPr>
          <w:p>
            <w:pPr>
              <w:jc w:val="right"/>
              <w:ind w:right="30"/>
              <w:spacing w:after="0" w:line="208" w:lineRule="exact"/>
              <w:rPr>
                <w:sz w:val="20"/>
                <w:szCs w:val="20"/>
                <w:color w:val="auto"/>
              </w:rPr>
            </w:pPr>
            <w:r>
              <w:rPr>
                <w:rFonts w:ascii="Calibri" w:cs="Calibri" w:eastAsia="Calibri" w:hAnsi="Calibri"/>
                <w:sz w:val="18"/>
                <w:szCs w:val="18"/>
                <w:color w:val="auto"/>
              </w:rPr>
              <w:t>253,892</w:t>
            </w:r>
          </w:p>
        </w:tc>
        <w:tc>
          <w:tcPr>
            <w:tcW w:w="0" w:type="dxa"/>
            <w:vAlign w:val="bottom"/>
          </w:tcPr>
          <w:p>
            <w:pPr>
              <w:spacing w:after="0"/>
              <w:rPr>
                <w:sz w:val="1"/>
                <w:szCs w:val="1"/>
                <w:color w:val="auto"/>
              </w:rPr>
            </w:pPr>
          </w:p>
        </w:tc>
      </w:tr>
      <w:tr>
        <w:trPr>
          <w:trHeight w:val="208"/>
        </w:trPr>
        <w:tc>
          <w:tcPr>
            <w:tcW w:w="200" w:type="dxa"/>
            <w:vAlign w:val="bottom"/>
            <w:tcBorders>
              <w:top w:val="single" w:sz="8" w:color="auto"/>
            </w:tcBorders>
          </w:tcPr>
          <w:p>
            <w:pPr>
              <w:spacing w:after="0"/>
              <w:rPr>
                <w:sz w:val="18"/>
                <w:szCs w:val="18"/>
                <w:color w:val="auto"/>
              </w:rPr>
            </w:pPr>
          </w:p>
        </w:tc>
        <w:tc>
          <w:tcPr>
            <w:tcW w:w="7680" w:type="dxa"/>
            <w:vAlign w:val="bottom"/>
            <w:tcBorders>
              <w:top w:val="single" w:sz="8" w:color="auto"/>
            </w:tcBorders>
          </w:tcPr>
          <w:p>
            <w:pPr>
              <w:spacing w:after="0" w:line="208" w:lineRule="exact"/>
              <w:rPr>
                <w:sz w:val="20"/>
                <w:szCs w:val="20"/>
                <w:color w:val="auto"/>
              </w:rPr>
            </w:pPr>
            <w:r>
              <w:rPr>
                <w:rFonts w:ascii="Calibri" w:cs="Calibri" w:eastAsia="Calibri" w:hAnsi="Calibri"/>
                <w:sz w:val="18"/>
                <w:szCs w:val="18"/>
                <w:color w:val="auto"/>
              </w:rPr>
              <w:t>Total fees</w:t>
            </w:r>
          </w:p>
        </w:tc>
        <w:tc>
          <w:tcPr>
            <w:tcW w:w="640" w:type="dxa"/>
            <w:vAlign w:val="bottom"/>
            <w:tcBorders>
              <w:top w:val="single" w:sz="8" w:color="auto"/>
            </w:tcBorders>
          </w:tcPr>
          <w:p>
            <w:pPr>
              <w:jc w:val="right"/>
              <w:ind w:right="130"/>
              <w:spacing w:after="0" w:line="208" w:lineRule="exact"/>
              <w:rPr>
                <w:sz w:val="20"/>
                <w:szCs w:val="20"/>
                <w:color w:val="auto"/>
              </w:rPr>
            </w:pPr>
            <w:r>
              <w:rPr>
                <w:rFonts w:ascii="Calibri" w:cs="Calibri" w:eastAsia="Calibri" w:hAnsi="Calibri"/>
                <w:sz w:val="18"/>
                <w:szCs w:val="18"/>
                <w:color w:val="auto"/>
              </w:rPr>
              <w:t>$</w:t>
            </w:r>
          </w:p>
        </w:tc>
        <w:tc>
          <w:tcPr>
            <w:tcW w:w="11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2,404,188</w:t>
            </w:r>
          </w:p>
        </w:tc>
        <w:tc>
          <w:tcPr>
            <w:tcW w:w="360" w:type="dxa"/>
            <w:vAlign w:val="bottom"/>
            <w:tcBorders>
              <w:top w:val="single" w:sz="8" w:color="auto"/>
            </w:tcBorders>
          </w:tcPr>
          <w:p>
            <w:pPr>
              <w:jc w:val="right"/>
              <w:ind w:right="110"/>
              <w:spacing w:after="0" w:line="208" w:lineRule="exact"/>
              <w:rPr>
                <w:sz w:val="20"/>
                <w:szCs w:val="20"/>
                <w:color w:val="auto"/>
              </w:rPr>
            </w:pPr>
            <w:r>
              <w:rPr>
                <w:rFonts w:ascii="Calibri" w:cs="Calibri" w:eastAsia="Calibri" w:hAnsi="Calibri"/>
                <w:sz w:val="18"/>
                <w:szCs w:val="18"/>
                <w:color w:val="auto"/>
              </w:rPr>
              <w:t>$</w:t>
            </w:r>
          </w:p>
        </w:tc>
        <w:tc>
          <w:tcPr>
            <w:tcW w:w="120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2,130,392</w:t>
            </w:r>
          </w:p>
        </w:tc>
        <w:tc>
          <w:tcPr>
            <w:tcW w:w="0" w:type="dxa"/>
            <w:vAlign w:val="bottom"/>
          </w:tcPr>
          <w:p>
            <w:pPr>
              <w:spacing w:after="0"/>
              <w:rPr>
                <w:sz w:val="1"/>
                <w:szCs w:val="1"/>
                <w:color w:val="auto"/>
              </w:rPr>
            </w:pPr>
          </w:p>
        </w:tc>
      </w:tr>
      <w:tr>
        <w:trPr>
          <w:trHeight w:val="28"/>
        </w:trPr>
        <w:tc>
          <w:tcPr>
            <w:tcW w:w="200" w:type="dxa"/>
            <w:vAlign w:val="bottom"/>
            <w:tcBorders>
              <w:bottom w:val="single" w:sz="8" w:color="auto"/>
            </w:tcBorders>
          </w:tcPr>
          <w:p>
            <w:pPr>
              <w:spacing w:after="0"/>
              <w:rPr>
                <w:sz w:val="2"/>
                <w:szCs w:val="2"/>
                <w:color w:val="auto"/>
              </w:rPr>
            </w:pPr>
          </w:p>
        </w:tc>
        <w:tc>
          <w:tcPr>
            <w:tcW w:w="76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76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5"/>
        </w:trPr>
        <w:tc>
          <w:tcPr>
            <w:tcW w:w="200" w:type="dxa"/>
            <w:vAlign w:val="bottom"/>
          </w:tcPr>
          <w:p>
            <w:pPr>
              <w:spacing w:after="0"/>
              <w:rPr>
                <w:sz w:val="20"/>
                <w:szCs w:val="20"/>
                <w:color w:val="auto"/>
              </w:rPr>
            </w:pPr>
            <w:r>
              <w:rPr>
                <w:rFonts w:ascii="Calibri" w:cs="Calibri" w:eastAsia="Calibri" w:hAnsi="Calibri"/>
                <w:sz w:val="18"/>
                <w:szCs w:val="18"/>
                <w:color w:val="auto"/>
                <w:w w:val="98"/>
              </w:rPr>
              <w:t>28</w:t>
            </w:r>
          </w:p>
        </w:tc>
        <w:tc>
          <w:tcPr>
            <w:tcW w:w="7680" w:type="dxa"/>
            <w:vAlign w:val="bottom"/>
          </w:tcPr>
          <w:p>
            <w:pPr>
              <w:ind w:left="480"/>
              <w:spacing w:after="0"/>
              <w:rPr>
                <w:sz w:val="20"/>
                <w:szCs w:val="20"/>
                <w:color w:val="auto"/>
              </w:rPr>
            </w:pPr>
            <w:r>
              <w:rPr>
                <w:rFonts w:ascii="Calibri" w:cs="Calibri" w:eastAsia="Calibri" w:hAnsi="Calibri"/>
                <w:sz w:val="18"/>
                <w:szCs w:val="18"/>
                <w:b w:val="1"/>
                <w:bCs w:val="1"/>
                <w:color w:val="EE2724"/>
              </w:rPr>
              <w:t xml:space="preserve">OGE Energy Corp. </w:t>
            </w:r>
            <w:r>
              <w:rPr>
                <w:rFonts w:ascii="Calibri" w:cs="Calibri" w:eastAsia="Calibri" w:hAnsi="Calibri"/>
                <w:sz w:val="18"/>
                <w:szCs w:val="18"/>
                <w:color w:val="000000"/>
              </w:rPr>
              <w:t>2024 Proxy Statement</w:t>
            </w: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6"/>
        </w:trPr>
        <w:tc>
          <w:tcPr>
            <w:tcW w:w="200" w:type="dxa"/>
            <w:vAlign w:val="bottom"/>
            <w:tcBorders>
              <w:bottom w:val="single" w:sz="8" w:color="9A9A9A"/>
            </w:tcBorders>
          </w:tcPr>
          <w:p>
            <w:pPr>
              <w:spacing w:after="0"/>
              <w:rPr>
                <w:sz w:val="24"/>
                <w:szCs w:val="24"/>
                <w:color w:val="auto"/>
              </w:rPr>
            </w:pPr>
          </w:p>
        </w:tc>
        <w:tc>
          <w:tcPr>
            <w:tcW w:w="76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jc w:val="both"/>
        <w:ind w:left="380" w:hanging="372"/>
        <w:spacing w:after="0" w:line="235" w:lineRule="auto"/>
        <w:tabs>
          <w:tab w:leader="none" w:pos="380" w:val="left"/>
        </w:tabs>
        <w:numPr>
          <w:ilvl w:val="0"/>
          <w:numId w:val="32"/>
        </w:numPr>
        <w:rPr>
          <w:rFonts w:ascii="Calibri" w:cs="Calibri" w:eastAsia="Calibri" w:hAnsi="Calibri"/>
          <w:sz w:val="18"/>
          <w:szCs w:val="18"/>
          <w:color w:val="auto"/>
        </w:rPr>
      </w:pPr>
      <w:r>
        <w:rPr>
          <w:rFonts w:ascii="Calibri" w:cs="Calibri" w:eastAsia="Calibri" w:hAnsi="Calibri"/>
          <w:sz w:val="18"/>
          <w:szCs w:val="18"/>
          <w:color w:val="auto"/>
        </w:rPr>
        <w:t>Includes reviews of the fnancial statements included in OGE Energy's and OG&amp;E's Quarterly Reports on Form 10-Q, audits of OGE Energy's subsidiaries, preparaton for Audit Commitee meetngs, agreed-upon procedures and fees for consultng with OGE Energy's and OG&amp;E's executves regarding accountng issues.</w:t>
      </w:r>
    </w:p>
    <w:p>
      <w:pPr>
        <w:spacing w:after="0" w:line="2" w:lineRule="exact"/>
        <w:rPr>
          <w:rFonts w:ascii="Calibri" w:cs="Calibri" w:eastAsia="Calibri" w:hAnsi="Calibri"/>
          <w:sz w:val="18"/>
          <w:szCs w:val="18"/>
          <w:color w:val="auto"/>
        </w:rPr>
      </w:pPr>
    </w:p>
    <w:p>
      <w:pPr>
        <w:jc w:val="both"/>
        <w:ind w:left="380" w:hanging="372"/>
        <w:spacing w:after="0" w:line="235" w:lineRule="auto"/>
        <w:tabs>
          <w:tab w:leader="none" w:pos="380" w:val="left"/>
        </w:tabs>
        <w:numPr>
          <w:ilvl w:val="0"/>
          <w:numId w:val="32"/>
        </w:numPr>
        <w:rPr>
          <w:rFonts w:ascii="Calibri" w:cs="Calibri" w:eastAsia="Calibri" w:hAnsi="Calibri"/>
          <w:sz w:val="18"/>
          <w:szCs w:val="18"/>
          <w:color w:val="auto"/>
        </w:rPr>
      </w:pPr>
      <w:r>
        <w:rPr>
          <w:rFonts w:ascii="Calibri" w:cs="Calibri" w:eastAsia="Calibri" w:hAnsi="Calibri"/>
          <w:sz w:val="18"/>
          <w:szCs w:val="18"/>
          <w:color w:val="auto"/>
        </w:rPr>
        <w:t>The aggregate audit fees include fees billed for the audit of OGE Energy's and OG&amp;E's annual fnancial statements and for the reviews of the fnancial statements included in OGE Energy's and OG&amp;E's Quarterly Reports on Form 10-Q. For 2023, this amount includes estmated billings for the completon of the 2023 audit, which services were rendered afer year-end.</w:t>
      </w:r>
    </w:p>
    <w:p>
      <w:pPr>
        <w:spacing w:after="0" w:line="213" w:lineRule="exact"/>
        <w:rPr>
          <w:rFonts w:ascii="Calibri" w:cs="Calibri" w:eastAsia="Calibri" w:hAnsi="Calibri"/>
          <w:sz w:val="18"/>
          <w:szCs w:val="18"/>
          <w:color w:val="auto"/>
        </w:rPr>
      </w:pPr>
    </w:p>
    <w:p>
      <w:pPr>
        <w:ind w:left="380"/>
        <w:spacing w:after="0"/>
        <w:rPr>
          <w:rFonts w:ascii="Calibri" w:cs="Calibri" w:eastAsia="Calibri" w:hAnsi="Calibri"/>
          <w:sz w:val="18"/>
          <w:szCs w:val="18"/>
          <w:color w:val="auto"/>
        </w:rPr>
      </w:pPr>
      <w:r>
        <w:rPr>
          <w:rFonts w:ascii="Calibri" w:cs="Calibri" w:eastAsia="Calibri" w:hAnsi="Calibri"/>
          <w:sz w:val="18"/>
          <w:szCs w:val="18"/>
          <w:color w:val="auto"/>
        </w:rPr>
        <w:t>There were no other fees billed by the principal independent accountants to OGE Energy in 2023 and 2022 for other services.</w:t>
      </w:r>
    </w:p>
    <w:p>
      <w:pPr>
        <w:spacing w:after="0" w:line="217"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The Audit Commitee has considered whether the provision of non-audit services by the Company's principal independent accountants is compatble with maintaining auditor independence.</w:t>
      </w:r>
    </w:p>
    <w:p>
      <w:pPr>
        <w:spacing w:after="0" w:line="177"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In reliance on the review and discussions referred to above, the Audit Commitee recommended to the Board of Directors, and the Board has approved, that the Company's audited fnancial statements be included in the Annual Report on Form 10-K for the fscal year ended December 31, 2023, for fling with the SEC. The Audit Commitee selected Ernst &amp; Young LLP as the Company's principal independent accountants for 2024.</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Audit Commitee Pre-Approval Procedures</w:t>
      </w:r>
    </w:p>
    <w:p>
      <w:pPr>
        <w:spacing w:after="0" w:line="217" w:lineRule="exact"/>
        <w:rPr>
          <w:sz w:val="20"/>
          <w:szCs w:val="20"/>
          <w:color w:val="auto"/>
        </w:rPr>
      </w:pPr>
    </w:p>
    <w:p>
      <w:pPr>
        <w:jc w:val="both"/>
        <w:ind w:firstLine="374"/>
        <w:spacing w:after="0" w:line="251" w:lineRule="auto"/>
        <w:rPr>
          <w:sz w:val="20"/>
          <w:szCs w:val="20"/>
          <w:color w:val="auto"/>
        </w:rPr>
      </w:pPr>
      <w:r>
        <w:rPr>
          <w:rFonts w:ascii="Calibri" w:cs="Calibri" w:eastAsia="Calibri" w:hAnsi="Calibri"/>
          <w:sz w:val="17"/>
          <w:szCs w:val="17"/>
          <w:color w:val="auto"/>
        </w:rPr>
        <w:t>Rules adopted by the SEC in order to implement requirements of the Sarbanes-Oxley Act of 2002 require public company audit commitees to pre-approve audit and non-audit services. OGE Energy's Audit Commitee follows procedures pursuant to which audit, audit-related and tax services, and all permissible non-audit services are pre-approved by category of service. The fees are budgeted, and actual fees versus the budget are monitored throughout the year. During the year, circumstances may arise when it may become necessary to engage the principal independent accountants for additonal services not contemplated in the original pre-approval. In those instances, OGE Energy will obtain the specifc pre-approval of the Audit Commitee before engaging the principal independent accountants. The procedures require the Audit Commitee to be informed of each service, and the procedures do not include any delegaton of the Audit Commitee's responsibilites to management. The Audit Commitee may delegate pre-approval authority to one or more of its members. The member to whom such authority is delegated will report any pre-approval decisions to the Audit Commitee at its next scheduled meetng.</w:t>
      </w:r>
    </w:p>
    <w:p>
      <w:pPr>
        <w:spacing w:after="0" w:line="208"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For 2023, 100 percent of the audit fees, audit-related fees and tax fees were pre-approved by the Audit Commitee or the Chairman of the Audit Commitee pursuant to delegated authority.</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Audit Commitee</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J. Michael Sanner, Chair</w:t>
      </w:r>
    </w:p>
    <w:p>
      <w:pPr>
        <w:spacing w:after="0" w:line="235" w:lineRule="auto"/>
        <w:rPr>
          <w:sz w:val="20"/>
          <w:szCs w:val="20"/>
          <w:color w:val="auto"/>
        </w:rPr>
      </w:pPr>
      <w:r>
        <w:rPr>
          <w:rFonts w:ascii="Calibri" w:cs="Calibri" w:eastAsia="Calibri" w:hAnsi="Calibri"/>
          <w:sz w:val="18"/>
          <w:szCs w:val="18"/>
          <w:color w:val="auto"/>
        </w:rPr>
        <w:t>Peter D. Clarke, Member</w:t>
      </w:r>
    </w:p>
    <w:p>
      <w:pPr>
        <w:spacing w:after="0" w:line="236" w:lineRule="auto"/>
        <w:rPr>
          <w:sz w:val="20"/>
          <w:szCs w:val="20"/>
          <w:color w:val="auto"/>
        </w:rPr>
      </w:pPr>
      <w:r>
        <w:rPr>
          <w:rFonts w:ascii="Calibri" w:cs="Calibri" w:eastAsia="Calibri" w:hAnsi="Calibri"/>
          <w:sz w:val="18"/>
          <w:szCs w:val="18"/>
          <w:color w:val="auto"/>
        </w:rPr>
        <w:t>Cathy R. Gates, Member*</w:t>
      </w:r>
    </w:p>
    <w:p>
      <w:pPr>
        <w:spacing w:after="0" w:line="236" w:lineRule="auto"/>
        <w:rPr>
          <w:sz w:val="20"/>
          <w:szCs w:val="20"/>
          <w:color w:val="auto"/>
        </w:rPr>
      </w:pPr>
      <w:r>
        <w:rPr>
          <w:rFonts w:ascii="Calibri" w:cs="Calibri" w:eastAsia="Calibri" w:hAnsi="Calibri"/>
          <w:sz w:val="18"/>
          <w:szCs w:val="18"/>
          <w:color w:val="auto"/>
        </w:rPr>
        <w:t>David L. Hauser, Member*</w:t>
      </w:r>
    </w:p>
    <w:p>
      <w:pPr>
        <w:spacing w:after="0" w:line="236" w:lineRule="auto"/>
        <w:rPr>
          <w:sz w:val="20"/>
          <w:szCs w:val="20"/>
          <w:color w:val="auto"/>
        </w:rPr>
      </w:pPr>
      <w:r>
        <w:rPr>
          <w:rFonts w:ascii="Calibri" w:cs="Calibri" w:eastAsia="Calibri" w:hAnsi="Calibri"/>
          <w:sz w:val="18"/>
          <w:szCs w:val="18"/>
          <w:color w:val="auto"/>
        </w:rPr>
        <w:t>David E. Rainbolt, Member</w:t>
      </w:r>
    </w:p>
    <w:p>
      <w:pPr>
        <w:spacing w:after="0" w:line="2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*Ms. Gates has been a member of the Audit Commitee since January 1, 2024. Mr. Hauser served as a member of the Audit Commitee through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660" w:val="left"/>
        </w:tabs>
        <w:rPr>
          <w:sz w:val="20"/>
          <w:szCs w:val="20"/>
          <w:color w:val="auto"/>
        </w:rPr>
      </w:pPr>
      <w:r>
        <w:rPr>
          <w:rFonts w:ascii="Calibri" w:cs="Calibri" w:eastAsia="Calibri" w:hAnsi="Calibri"/>
          <w:sz w:val="18"/>
          <w:szCs w:val="18"/>
          <w:color w:val="auto"/>
        </w:rPr>
        <w:t>29</w:t>
      </w:r>
      <w:r>
        <w:rPr>
          <w:sz w:val="20"/>
          <w:szCs w:val="20"/>
          <w:color w:val="auto"/>
        </w:rPr>
        <w:tab/>
      </w:r>
      <w:r>
        <w:rPr>
          <w:rFonts w:ascii="Calibri" w:cs="Calibri" w:eastAsia="Calibri" w:hAnsi="Calibri"/>
          <w:sz w:val="18"/>
          <w:szCs w:val="18"/>
          <w:b w:val="1"/>
          <w:bCs w:val="1"/>
          <w:color w:val="EE2724"/>
        </w:rPr>
        <w:t xml:space="preserve">OGE Energy Corp. </w:t>
      </w:r>
      <w:r>
        <w:rPr>
          <w:rFonts w:ascii="Calibri" w:cs="Calibri" w:eastAsia="Calibri" w:hAnsi="Calibri"/>
          <w:sz w:val="18"/>
          <w:szCs w:val="18"/>
          <w:color w:val="00000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35" w:name="page36"/>
    <w:bookmarkEnd w:id="35"/>
    <w:p>
      <w:pPr>
        <w:spacing w:after="0" w:line="9" w:lineRule="exact"/>
        <w:rPr>
          <w:sz w:val="20"/>
          <w:szCs w:val="20"/>
          <w:color w:val="auto"/>
        </w:rPr>
      </w:pPr>
    </w:p>
    <w:p>
      <w:pPr>
        <w:ind w:left="60"/>
        <w:spacing w:after="0"/>
        <w:rPr>
          <w:sz w:val="20"/>
          <w:szCs w:val="20"/>
          <w:color w:val="auto"/>
        </w:rPr>
      </w:pPr>
      <w:r>
        <w:rPr>
          <w:rFonts w:ascii="Calibri" w:cs="Calibri" w:eastAsia="Calibri" w:hAnsi="Calibri"/>
          <w:sz w:val="22"/>
          <w:szCs w:val="22"/>
          <w:b w:val="1"/>
          <w:bCs w:val="1"/>
          <w:color w:val="auto"/>
        </w:rPr>
        <w:t>EXECUTIVE OFFICERS'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7"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The following discussion and analysis is intended to present the material principles underlying our executve compensaton policies and decisions and the key factors relevant to an analysis of those policies and decisions.</w:t>
      </w:r>
    </w:p>
    <w:p>
      <w:pPr>
        <w:spacing w:after="0" w:line="296" w:lineRule="exact"/>
        <w:rPr>
          <w:sz w:val="20"/>
          <w:szCs w:val="20"/>
          <w:color w:val="auto"/>
        </w:rPr>
      </w:pPr>
    </w:p>
    <w:p>
      <w:pPr>
        <w:ind w:left="60"/>
        <w:spacing w:after="0"/>
        <w:rPr>
          <w:sz w:val="20"/>
          <w:szCs w:val="20"/>
          <w:color w:val="auto"/>
        </w:rPr>
      </w:pPr>
      <w:r>
        <w:rPr>
          <w:rFonts w:ascii="Calibri" w:cs="Calibri" w:eastAsia="Calibri" w:hAnsi="Calibri"/>
          <w:sz w:val="22"/>
          <w:szCs w:val="22"/>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0"/>
          <w:szCs w:val="20"/>
          <w:color w:val="auto"/>
        </w:rPr>
      </w:pPr>
    </w:p>
    <w:p>
      <w:pPr>
        <w:jc w:val="center"/>
        <w:ind w:right="3520"/>
        <w:spacing w:after="0"/>
        <w:rPr>
          <w:sz w:val="20"/>
          <w:szCs w:val="20"/>
          <w:color w:val="auto"/>
        </w:rPr>
      </w:pPr>
      <w:r>
        <w:rPr>
          <w:rFonts w:ascii="Calibri" w:cs="Calibri" w:eastAsia="Calibri" w:hAnsi="Calibri"/>
          <w:sz w:val="18"/>
          <w:szCs w:val="18"/>
          <w:color w:val="auto"/>
        </w:rPr>
        <w:t>The fve Named Executve Ofcers in the Summary Compensaton Table on page 43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7" w:lineRule="exact"/>
        <w:rPr>
          <w:sz w:val="20"/>
          <w:szCs w:val="20"/>
          <w:color w:val="auto"/>
        </w:rPr>
      </w:pPr>
    </w:p>
    <w:p>
      <w:pPr>
        <w:ind w:left="60"/>
        <w:spacing w:after="0"/>
        <w:rPr>
          <w:sz w:val="20"/>
          <w:szCs w:val="20"/>
          <w:color w:val="auto"/>
        </w:rPr>
      </w:pPr>
      <w:r>
        <w:rPr>
          <w:rFonts w:ascii="Calibri" w:cs="Calibri" w:eastAsia="Calibri" w:hAnsi="Calibri"/>
          <w:sz w:val="18"/>
          <w:szCs w:val="18"/>
          <w:color w:val="auto"/>
        </w:rPr>
        <w:t>Sean Trauschke, Chairman of the Board, President and Chief Executve Ofcer of the Company and of OG&amp;E</w:t>
      </w:r>
    </w:p>
    <w:p>
      <w:pPr>
        <w:spacing w:after="0" w:line="50" w:lineRule="exact"/>
        <w:rPr>
          <w:sz w:val="20"/>
          <w:szCs w:val="20"/>
          <w:color w:val="auto"/>
        </w:rPr>
      </w:pPr>
    </w:p>
    <w:p>
      <w:pPr>
        <w:ind w:left="60"/>
        <w:spacing w:after="0"/>
        <w:rPr>
          <w:sz w:val="20"/>
          <w:szCs w:val="20"/>
          <w:color w:val="auto"/>
        </w:rPr>
      </w:pPr>
      <w:r>
        <w:rPr>
          <w:rFonts w:ascii="Calibri" w:cs="Calibri" w:eastAsia="Calibri" w:hAnsi="Calibri"/>
          <w:sz w:val="18"/>
          <w:szCs w:val="18"/>
          <w:color w:val="auto"/>
        </w:rPr>
        <w:t>W. Bryan Buckler, Chief Financial Ofcer of the Company and of OG&amp;E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ind w:left="60"/>
        <w:spacing w:after="0"/>
        <w:rPr>
          <w:sz w:val="20"/>
          <w:szCs w:val="20"/>
          <w:color w:val="auto"/>
        </w:rPr>
      </w:pPr>
      <w:r>
        <w:rPr>
          <w:rFonts w:ascii="Calibri" w:cs="Calibri" w:eastAsia="Calibri" w:hAnsi="Calibri"/>
          <w:sz w:val="18"/>
          <w:szCs w:val="18"/>
          <w:color w:val="auto"/>
        </w:rPr>
        <w:t>William H. Sultemeier, General Counsel, Corporate Secretary and Chief Compliance Ofcer of the Company and of OG&amp;E</w:t>
      </w:r>
    </w:p>
    <w:p>
      <w:pPr>
        <w:spacing w:after="0" w:line="50" w:lineRule="exact"/>
        <w:rPr>
          <w:sz w:val="20"/>
          <w:szCs w:val="20"/>
          <w:color w:val="auto"/>
        </w:rPr>
      </w:pPr>
    </w:p>
    <w:p>
      <w:pPr>
        <w:ind w:left="60"/>
        <w:spacing w:after="0"/>
        <w:rPr>
          <w:sz w:val="20"/>
          <w:szCs w:val="20"/>
          <w:color w:val="auto"/>
        </w:rPr>
      </w:pPr>
      <w:r>
        <w:rPr>
          <w:rFonts w:ascii="Calibri" w:cs="Calibri" w:eastAsia="Calibri" w:hAnsi="Calibri"/>
          <w:sz w:val="18"/>
          <w:szCs w:val="18"/>
          <w:color w:val="auto"/>
        </w:rPr>
        <w:t>Donnie O. Jones, Vice President, Utlity Operatons of OG&amp;E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97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0" w:lineRule="exact"/>
        <w:rPr>
          <w:sz w:val="20"/>
          <w:szCs w:val="20"/>
          <w:color w:val="auto"/>
        </w:rPr>
      </w:pPr>
    </w:p>
    <w:p>
      <w:pPr>
        <w:ind w:left="60"/>
        <w:spacing w:after="0"/>
        <w:rPr>
          <w:sz w:val="20"/>
          <w:szCs w:val="20"/>
          <w:color w:val="auto"/>
        </w:rPr>
      </w:pPr>
      <w:r>
        <w:rPr>
          <w:rFonts w:ascii="Calibri" w:cs="Calibri" w:eastAsia="Calibri" w:hAnsi="Calibri"/>
          <w:sz w:val="18"/>
          <w:szCs w:val="18"/>
          <w:color w:val="auto"/>
        </w:rPr>
        <w:t>Cristna F. McQuiston, Vice President, Corporate Responsibility &amp; Stewardship of the Company and of OG&amp;E</w:t>
      </w:r>
    </w:p>
    <w:p>
      <w:pPr>
        <w:spacing w:after="0" w:line="244"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b w:val="1"/>
          <w:bCs w:val="1"/>
          <w:color w:val="auto"/>
        </w:rPr>
        <w:t>Executve Summary</w:t>
      </w:r>
      <w:r>
        <w:rPr>
          <w:rFonts w:ascii="Calibri" w:cs="Calibri" w:eastAsia="Calibri" w:hAnsi="Calibri"/>
          <w:sz w:val="18"/>
          <w:szCs w:val="18"/>
          <w:color w:val="auto"/>
        </w:rPr>
        <w:t>. Three key components of compensaton for our executve ofcers are salary, annual incentve awards under our Annual Incentve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Plan, and long-term awards under our Stock Incentve Plan. The Company’s compensaton principles are premised on providing compettve and, at the same tme, reasonable levels of compensaton. For 2023, target total direct compensaton (i.e., salary plus targeted annual incentve compensaton and targeted long-term incentve compensaton) for our combined group of Named Executve Ofcers was set within one percent of the median amount for a comparable group of executves in the Company Peer Group, which is described below. At last year’s Annual Meetng of Shareholders, the compensaton of our Named Executve Ofcers was approved by more than 90 percent of our shareholders who voted. Although the results of this vote occurred afer the Compensaton Commitee took acton to set 2023 compensaton, the results of the vote at last year’s Annual Meetng of Shareholders were reviewed by the Compensaton Commitee and, in light of the more than 90 percent approval, the Compensaton Commitee determined that no signifcant changes to its executve compensaton practces for 2023 were warranted other than those implemented in February 2023 and described below.</w:t>
      </w:r>
    </w:p>
    <w:p>
      <w:pPr>
        <w:spacing w:after="0" w:line="224"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Our executve compensaton program recognizes that our senior executves are in a positon to directly infuence the Company’s achievement of targeted results and strategic initatves. For this reason, as an individual’s positon and responsibilites increase, a greater porton of the ofcer’s compensaton is at risk and consists of performance-based compensaton whose payout is dependent on the achievement of performance objectves. This is shown by the level of 2023 salaries, annual incentve awards, and long-term incentve awards set for the Named Executve Ofcers. For 2023, a Named Executve Ofcer’s base salary comprised 18 percent to 44 percent of their targeted total direct compensaton. Assuming achievement of a target level of performance for each Named Executve Ofcer’s performance-based compensaton, approximately 43 percent to 60 percent of total direct compensaton represented performance-based compensaton.</w:t>
      </w:r>
    </w:p>
    <w:p>
      <w:pPr>
        <w:spacing w:after="0" w:line="222"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Our executve compensaton program is designed to reward executves with a highly compettve level of compensaton during years of excellent Company performance and, conversely, in years of below-average performance, for their compensaton to be below compettve levels. Based on 2023 performance, each Named Executve Ofcer received a payout of approximately 117 percent of their targeted annual incentve awards. Based on performance over the three-year performance period ended December 31, 2023, each Named Executve Ofcer received a payout of approximately 154 percent of their targeted performance-based long-term incentve awards and 100 percent of their tme-based incentve awards. Over the last fve years, Named Executve Ofcers have averaged an Annual Incentve Plan payout of approximately 95 percent of their target awards and a payout of long-term incentve awards of approximately 90 percent. More specifc detail regarding the performance goals and actual performance against the targets is explained below.</w:t>
      </w:r>
    </w:p>
    <w:p>
      <w:pPr>
        <w:spacing w:after="0" w:line="223"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The Named Executve Ofcers also received long-term awards under the Stock Incentve Plan in February 2023 with payouts, if any, to occur in 2026 afer the end of the three-year period ending on December 31, 2025. For 2023 awards, payouts of 65 percent of these awards are performance-based and will be ted to the Company’s relatve total shareholder return (“TSR”) during the three-year performance period compared to the TSR during the same period of the approximately 40 companies in the EEI Index. Payout of the remaining 35 percent of these long-term awards is tme-based and consists of restricted stock units</w:t>
      </w:r>
    </w:p>
    <w:p>
      <w:pPr>
        <w:spacing w:after="0" w:line="175" w:lineRule="exact"/>
        <w:rPr>
          <w:sz w:val="20"/>
          <w:szCs w:val="20"/>
          <w:color w:val="auto"/>
        </w:rPr>
      </w:pPr>
    </w:p>
    <w:p>
      <w:pPr>
        <w:spacing w:after="0"/>
        <w:tabs>
          <w:tab w:leader="none" w:pos="660" w:val="left"/>
        </w:tabs>
        <w:rPr>
          <w:sz w:val="20"/>
          <w:szCs w:val="20"/>
          <w:color w:val="auto"/>
        </w:rPr>
      </w:pPr>
      <w:r>
        <w:rPr>
          <w:rFonts w:ascii="Calibri" w:cs="Calibri" w:eastAsia="Calibri" w:hAnsi="Calibri"/>
          <w:sz w:val="18"/>
          <w:szCs w:val="18"/>
          <w:color w:val="auto"/>
        </w:rPr>
        <w:t>30</w:t>
      </w:r>
      <w:r>
        <w:rPr>
          <w:sz w:val="20"/>
          <w:szCs w:val="20"/>
          <w:color w:val="auto"/>
        </w:rPr>
        <w:tab/>
      </w:r>
      <w:r>
        <w:rPr>
          <w:rFonts w:ascii="Calibri" w:cs="Calibri" w:eastAsia="Calibri" w:hAnsi="Calibri"/>
          <w:sz w:val="18"/>
          <w:szCs w:val="18"/>
          <w:b w:val="1"/>
          <w:bCs w:val="1"/>
          <w:color w:val="EE2724"/>
        </w:rPr>
        <w:t xml:space="preserve">OGE Energy Corp. </w:t>
      </w:r>
      <w:r>
        <w:rPr>
          <w:rFonts w:ascii="Calibri" w:cs="Calibri" w:eastAsia="Calibri" w:hAnsi="Calibri"/>
          <w:sz w:val="18"/>
          <w:szCs w:val="18"/>
          <w:color w:val="00000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jc w:val="both"/>
        <w:spacing w:after="0" w:line="235" w:lineRule="auto"/>
        <w:rPr>
          <w:sz w:val="20"/>
          <w:szCs w:val="20"/>
          <w:color w:val="auto"/>
        </w:rPr>
      </w:pPr>
      <w:r>
        <w:rPr>
          <w:rFonts w:ascii="Calibri" w:cs="Calibri" w:eastAsia="Calibri" w:hAnsi="Calibri"/>
          <w:sz w:val="18"/>
          <w:szCs w:val="18"/>
          <w:color w:val="auto"/>
        </w:rPr>
        <w:t>that will vest on December 31, 2025, assuming contnued employment through the period. These awards are described in more detail below under “Long-Term Incentve Compensaton” on page 37.</w:t>
      </w:r>
    </w:p>
    <w:p>
      <w:pPr>
        <w:spacing w:after="0" w:line="218"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As explained below, the Named Executve Ofcers also partcipate in various retrement, health plans, and programs that are generally available to all full-tme employees of the Company and receive limited perquisites. The foregoing Executve Summary is subject to the following detailed explanaton of the Company’s executve compensaton practces and policies.</w:t>
      </w:r>
    </w:p>
    <w:p>
      <w:pPr>
        <w:spacing w:after="0" w:line="219"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b w:val="1"/>
          <w:bCs w:val="1"/>
          <w:color w:val="auto"/>
        </w:rPr>
        <w:t>General</w:t>
      </w:r>
      <w:r>
        <w:rPr>
          <w:rFonts w:ascii="Calibri" w:cs="Calibri" w:eastAsia="Calibri" w:hAnsi="Calibri"/>
          <w:sz w:val="18"/>
          <w:szCs w:val="18"/>
          <w:color w:val="auto"/>
        </w:rPr>
        <w:t>. The Compensaton Commitee administers our executve compensaton program premised on the following principles. The same compensaton</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principles and policies in setng the compensaton of the CEO are utlized for the other executve ofcers.</w:t>
      </w:r>
    </w:p>
    <w:p>
      <w:pPr>
        <w:spacing w:after="0" w:line="118"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overall compensaton levels must be sufciently compettve to atract and retain talented leaders.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Compensaton should be set at reasonable and responsible levels to contnue our focus on controlling costs.</w:t>
      </w:r>
    </w:p>
    <w:p>
      <w:pPr>
        <w:spacing w:after="0" w:line="122" w:lineRule="exact"/>
        <w:rPr>
          <w:rFonts w:ascii="Times New Roman" w:cs="Times New Roman" w:eastAsia="Times New Roman" w:hAnsi="Times New Roman"/>
          <w:sz w:val="18"/>
          <w:szCs w:val="18"/>
          <w:color w:val="auto"/>
        </w:rPr>
      </w:pPr>
    </w:p>
    <w:p>
      <w:pPr>
        <w:ind w:left="1020" w:hanging="503"/>
        <w:spacing w:after="0" w:line="235" w:lineRule="auto"/>
        <w:tabs>
          <w:tab w:leader="none" w:pos="1020" w:val="left"/>
        </w:tabs>
        <w:numPr>
          <w:ilvl w:val="0"/>
          <w:numId w:val="33"/>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executve compensaton plan should include a signifcant performance-based porton, aligning the interests of the executves with those of shareholders and customers.</w:t>
      </w:r>
    </w:p>
    <w:p>
      <w:pPr>
        <w:spacing w:after="0" w:line="123" w:lineRule="exact"/>
        <w:rPr>
          <w:rFonts w:ascii="Times New Roman" w:cs="Times New Roman" w:eastAsia="Times New Roman" w:hAnsi="Times New Roman"/>
          <w:sz w:val="18"/>
          <w:szCs w:val="18"/>
          <w:color w:val="auto"/>
        </w:rPr>
      </w:pPr>
    </w:p>
    <w:p>
      <w:pPr>
        <w:ind w:left="1020" w:hanging="503"/>
        <w:spacing w:after="0" w:line="235" w:lineRule="auto"/>
        <w:tabs>
          <w:tab w:leader="none" w:pos="1020" w:val="left"/>
        </w:tabs>
        <w:numPr>
          <w:ilvl w:val="0"/>
          <w:numId w:val="33"/>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executve compensaton plan should include a porton comprised of tme-based awards that provide incentves for contnuity within the company, aiming to retain talent and experience.</w:t>
      </w:r>
    </w:p>
    <w:p>
      <w:pPr>
        <w:spacing w:after="0" w:line="213" w:lineRule="exact"/>
        <w:rPr>
          <w:sz w:val="20"/>
          <w:szCs w:val="20"/>
          <w:color w:val="auto"/>
        </w:rPr>
      </w:pPr>
    </w:p>
    <w:p>
      <w:pPr>
        <w:ind w:left="380"/>
        <w:spacing w:after="0"/>
        <w:rPr>
          <w:sz w:val="20"/>
          <w:szCs w:val="20"/>
          <w:color w:val="auto"/>
        </w:rPr>
      </w:pPr>
      <w:r>
        <w:rPr>
          <w:rFonts w:ascii="Calibri" w:cs="Calibri" w:eastAsia="Calibri" w:hAnsi="Calibri"/>
          <w:sz w:val="18"/>
          <w:szCs w:val="18"/>
          <w:color w:val="auto"/>
        </w:rPr>
        <w:t>The three key components of our executve compensaton program for 2023 are as follows:</w:t>
      </w:r>
    </w:p>
    <w:p>
      <w:pPr>
        <w:spacing w:after="0" w:line="118"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Calibri" w:cs="Calibri" w:eastAsia="Calibri" w:hAnsi="Calibri"/>
          <w:sz w:val="18"/>
          <w:szCs w:val="18"/>
          <w:color w:val="auto"/>
        </w:rPr>
        <w:t>Base salary to pay compettve rates based on an individual’s responsibilites, experience, and level of performance;</w:t>
      </w:r>
    </w:p>
    <w:p>
      <w:pPr>
        <w:spacing w:after="0" w:line="122" w:lineRule="exact"/>
        <w:rPr>
          <w:rFonts w:ascii="Times New Roman" w:cs="Times New Roman" w:eastAsia="Times New Roman" w:hAnsi="Times New Roman"/>
          <w:sz w:val="18"/>
          <w:szCs w:val="18"/>
          <w:color w:val="auto"/>
        </w:rPr>
      </w:pPr>
    </w:p>
    <w:p>
      <w:pPr>
        <w:ind w:left="1020" w:hanging="503"/>
        <w:spacing w:after="0" w:line="235" w:lineRule="auto"/>
        <w:tabs>
          <w:tab w:leader="none" w:pos="1020" w:val="left"/>
        </w:tabs>
        <w:numPr>
          <w:ilvl w:val="0"/>
          <w:numId w:val="34"/>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Annual incentve awards under our Annual Incentve Plan directly linked to performance measures, providing an opportunity for the ofcer to earn an annual cash incentve for achieving company performance-based goals; and</w:t>
      </w:r>
    </w:p>
    <w:p>
      <w:pPr>
        <w:spacing w:after="0" w:line="123" w:lineRule="exact"/>
        <w:rPr>
          <w:rFonts w:ascii="Times New Roman" w:cs="Times New Roman" w:eastAsia="Times New Roman" w:hAnsi="Times New Roman"/>
          <w:sz w:val="18"/>
          <w:szCs w:val="18"/>
          <w:color w:val="auto"/>
        </w:rPr>
      </w:pPr>
    </w:p>
    <w:p>
      <w:pPr>
        <w:jc w:val="both"/>
        <w:ind w:left="1020" w:hanging="503"/>
        <w:spacing w:after="0" w:line="235" w:lineRule="auto"/>
        <w:tabs>
          <w:tab w:leader="none" w:pos="1020" w:val="left"/>
        </w:tabs>
        <w:numPr>
          <w:ilvl w:val="0"/>
          <w:numId w:val="34"/>
        </w:numPr>
        <w:rPr>
          <w:rFonts w:ascii="Times New Roman" w:cs="Times New Roman" w:eastAsia="Times New Roman" w:hAnsi="Times New Roman"/>
          <w:sz w:val="18"/>
          <w:szCs w:val="18"/>
          <w:color w:val="auto"/>
        </w:rPr>
      </w:pPr>
      <w:r>
        <w:rPr>
          <w:rFonts w:ascii="Calibri" w:cs="Calibri" w:eastAsia="Calibri" w:hAnsi="Calibri"/>
          <w:sz w:val="18"/>
          <w:szCs w:val="18"/>
          <w:color w:val="auto"/>
        </w:rPr>
        <w:t>Long-term incentve awards under our Stock Incentve Plan. The Stock Incentve Plan was approved by our shareholders, with the most recent approval occurring at the Annual Meetng of Shareholders in 2022. Payouts of the long-term incentve portons of an executve’s compensaton are placed at risk, are directly linked to performance or retenton, and require the accomplishment of specifc results that are designed to beneft our shareholders and the Company, both in the long and short term. The long-term awards under the Stock Incentve Plan consist of two components. One component, consistng of performance units, accounts for 65 percent of the awards. The performance units are equity-based, and payout is dependent upon the relatve performance of the Company’s TSR as compared to companies in the EEI Index. The other component, accountng for the remaining 35 percent of the long-term incentve award, consists of restricted stock units that will vest on December 31, 2025, assuming contnued employment through that date.</w:t>
      </w:r>
    </w:p>
    <w:p>
      <w:pPr>
        <w:spacing w:after="0" w:line="223"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An important part of the Compensaton Commitee’s process in setng executve compensaton pay levels is a market analysis of executve pay levels. The Compensaton Commitee utlizes Mercer, a natonally recognized compensaton consultng frm, to assist it in performing this task. The Compensaton Commitee works with Mercer to select recommended peer groups to be used by the Compensaton Commitee as part of the market analysis in setng executve compensaton.</w:t>
      </w:r>
    </w:p>
    <w:p>
      <w:pPr>
        <w:spacing w:after="0" w:line="273"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The following peer group (the "Company Peer Group") was used by the Compensaton Commitee for purposes of 2023 compensaton for all executve ofcers of the Company:</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620" w:type="dxa"/>
            <w:vAlign w:val="bottom"/>
            <w:tcBorders>
              <w:top w:val="single" w:sz="8" w:color="auto"/>
              <w:bottom w:val="single" w:sz="8" w:color="E5E5E5"/>
            </w:tcBorders>
            <w:gridSpan w:val="2"/>
            <w:shd w:val="clear" w:color="auto" w:fill="E5E5E5"/>
          </w:tcPr>
          <w:p>
            <w:pPr>
              <w:ind w:left="60"/>
              <w:spacing w:after="0"/>
              <w:rPr>
                <w:sz w:val="20"/>
                <w:szCs w:val="20"/>
                <w:color w:val="auto"/>
              </w:rPr>
            </w:pPr>
            <w:r>
              <w:rPr>
                <w:rFonts w:ascii="Calibri" w:cs="Calibri" w:eastAsia="Calibri" w:hAnsi="Calibri"/>
                <w:sz w:val="18"/>
                <w:szCs w:val="18"/>
                <w:color w:val="auto"/>
              </w:rPr>
              <w:t>ALLETE, Inc.</w:t>
            </w:r>
          </w:p>
        </w:tc>
        <w:tc>
          <w:tcPr>
            <w:tcW w:w="6620" w:type="dxa"/>
            <w:vAlign w:val="bottom"/>
            <w:tcBorders>
              <w:top w:val="single" w:sz="8" w:color="auto"/>
              <w:bottom w:val="single" w:sz="8" w:color="E5E5E5"/>
            </w:tcBorders>
            <w:shd w:val="clear" w:color="auto" w:fill="E5E5E5"/>
          </w:tcPr>
          <w:p>
            <w:pPr>
              <w:ind w:left="1060"/>
              <w:spacing w:after="0"/>
              <w:rPr>
                <w:sz w:val="20"/>
                <w:szCs w:val="20"/>
                <w:color w:val="auto"/>
              </w:rPr>
            </w:pPr>
            <w:r>
              <w:rPr>
                <w:rFonts w:ascii="Calibri" w:cs="Calibri" w:eastAsia="Calibri" w:hAnsi="Calibri"/>
                <w:sz w:val="18"/>
                <w:szCs w:val="18"/>
                <w:color w:val="auto"/>
              </w:rPr>
              <w:t>Evergy, Inc.</w:t>
            </w:r>
          </w:p>
        </w:tc>
      </w:tr>
      <w:tr>
        <w:trPr>
          <w:trHeight w:val="233"/>
        </w:trPr>
        <w:tc>
          <w:tcPr>
            <w:tcW w:w="4620" w:type="dxa"/>
            <w:vAlign w:val="bottom"/>
            <w:gridSpan w:val="2"/>
          </w:tcPr>
          <w:p>
            <w:pPr>
              <w:ind w:left="60"/>
              <w:spacing w:after="0"/>
              <w:rPr>
                <w:sz w:val="20"/>
                <w:szCs w:val="20"/>
                <w:color w:val="auto"/>
              </w:rPr>
            </w:pPr>
            <w:r>
              <w:rPr>
                <w:rFonts w:ascii="Calibri" w:cs="Calibri" w:eastAsia="Calibri" w:hAnsi="Calibri"/>
                <w:sz w:val="18"/>
                <w:szCs w:val="18"/>
                <w:color w:val="auto"/>
              </w:rPr>
              <w:t>Alliant Energy Corp.</w:t>
            </w:r>
          </w:p>
        </w:tc>
        <w:tc>
          <w:tcPr>
            <w:tcW w:w="6620" w:type="dxa"/>
            <w:vAlign w:val="bottom"/>
          </w:tcPr>
          <w:p>
            <w:pPr>
              <w:ind w:left="1060"/>
              <w:spacing w:after="0"/>
              <w:rPr>
                <w:sz w:val="20"/>
                <w:szCs w:val="20"/>
                <w:color w:val="auto"/>
              </w:rPr>
            </w:pPr>
            <w:r>
              <w:rPr>
                <w:rFonts w:ascii="Calibri" w:cs="Calibri" w:eastAsia="Calibri" w:hAnsi="Calibri"/>
                <w:sz w:val="18"/>
                <w:szCs w:val="18"/>
                <w:color w:val="auto"/>
              </w:rPr>
              <w:t>IDACORP, Inc.</w:t>
            </w:r>
          </w:p>
        </w:tc>
      </w:tr>
      <w:tr>
        <w:trPr>
          <w:trHeight w:val="37"/>
        </w:trPr>
        <w:tc>
          <w:tcPr>
            <w:tcW w:w="4620" w:type="dxa"/>
            <w:vAlign w:val="bottom"/>
            <w:gridSpan w:val="2"/>
          </w:tcPr>
          <w:p>
            <w:pPr>
              <w:spacing w:after="0"/>
              <w:rPr>
                <w:sz w:val="3"/>
                <w:szCs w:val="3"/>
                <w:color w:val="auto"/>
              </w:rPr>
            </w:pPr>
          </w:p>
        </w:tc>
        <w:tc>
          <w:tcPr>
            <w:tcW w:w="6620" w:type="dxa"/>
            <w:vAlign w:val="bottom"/>
          </w:tcPr>
          <w:p>
            <w:pPr>
              <w:spacing w:after="0"/>
              <w:rPr>
                <w:sz w:val="3"/>
                <w:szCs w:val="3"/>
                <w:color w:val="auto"/>
              </w:rPr>
            </w:pPr>
          </w:p>
        </w:tc>
      </w:tr>
      <w:tr>
        <w:trPr>
          <w:trHeight w:val="250"/>
        </w:trPr>
        <w:tc>
          <w:tcPr>
            <w:tcW w:w="4620" w:type="dxa"/>
            <w:vAlign w:val="bottom"/>
            <w:tcBorders>
              <w:bottom w:val="single" w:sz="8" w:color="E5E5E5"/>
            </w:tcBorders>
            <w:gridSpan w:val="2"/>
            <w:shd w:val="clear" w:color="auto" w:fill="E5E5E5"/>
          </w:tcPr>
          <w:p>
            <w:pPr>
              <w:ind w:left="60"/>
              <w:spacing w:after="0"/>
              <w:rPr>
                <w:sz w:val="20"/>
                <w:szCs w:val="20"/>
                <w:color w:val="auto"/>
              </w:rPr>
            </w:pPr>
            <w:r>
              <w:rPr>
                <w:rFonts w:ascii="Calibri" w:cs="Calibri" w:eastAsia="Calibri" w:hAnsi="Calibri"/>
                <w:sz w:val="18"/>
                <w:szCs w:val="18"/>
                <w:color w:val="auto"/>
              </w:rPr>
              <w:t>Ameren Corp.</w:t>
            </w:r>
          </w:p>
        </w:tc>
        <w:tc>
          <w:tcPr>
            <w:tcW w:w="6620" w:type="dxa"/>
            <w:vAlign w:val="bottom"/>
            <w:tcBorders>
              <w:bottom w:val="single" w:sz="8" w:color="E5E5E5"/>
            </w:tcBorders>
            <w:shd w:val="clear" w:color="auto" w:fill="E5E5E5"/>
          </w:tcPr>
          <w:p>
            <w:pPr>
              <w:ind w:left="1060"/>
              <w:spacing w:after="0"/>
              <w:rPr>
                <w:sz w:val="20"/>
                <w:szCs w:val="20"/>
                <w:color w:val="auto"/>
              </w:rPr>
            </w:pPr>
            <w:r>
              <w:rPr>
                <w:rFonts w:ascii="Calibri" w:cs="Calibri" w:eastAsia="Calibri" w:hAnsi="Calibri"/>
                <w:sz w:val="18"/>
                <w:szCs w:val="18"/>
                <w:color w:val="auto"/>
              </w:rPr>
              <w:t>NiSource Inc.</w:t>
            </w:r>
          </w:p>
        </w:tc>
      </w:tr>
      <w:tr>
        <w:trPr>
          <w:trHeight w:val="233"/>
        </w:trPr>
        <w:tc>
          <w:tcPr>
            <w:tcW w:w="4620" w:type="dxa"/>
            <w:vAlign w:val="bottom"/>
            <w:gridSpan w:val="2"/>
          </w:tcPr>
          <w:p>
            <w:pPr>
              <w:ind w:left="60"/>
              <w:spacing w:after="0"/>
              <w:rPr>
                <w:sz w:val="20"/>
                <w:szCs w:val="20"/>
                <w:color w:val="auto"/>
              </w:rPr>
            </w:pPr>
            <w:r>
              <w:rPr>
                <w:rFonts w:ascii="Calibri" w:cs="Calibri" w:eastAsia="Calibri" w:hAnsi="Calibri"/>
                <w:sz w:val="18"/>
                <w:szCs w:val="18"/>
                <w:color w:val="auto"/>
              </w:rPr>
              <w:t>AVANGRID Inc.</w:t>
            </w:r>
          </w:p>
        </w:tc>
        <w:tc>
          <w:tcPr>
            <w:tcW w:w="6620" w:type="dxa"/>
            <w:vAlign w:val="bottom"/>
          </w:tcPr>
          <w:p>
            <w:pPr>
              <w:ind w:left="1060"/>
              <w:spacing w:after="0"/>
              <w:rPr>
                <w:sz w:val="20"/>
                <w:szCs w:val="20"/>
                <w:color w:val="auto"/>
              </w:rPr>
            </w:pPr>
            <w:r>
              <w:rPr>
                <w:rFonts w:ascii="Calibri" w:cs="Calibri" w:eastAsia="Calibri" w:hAnsi="Calibri"/>
                <w:sz w:val="18"/>
                <w:szCs w:val="18"/>
                <w:color w:val="auto"/>
              </w:rPr>
              <w:t>ONE Gas Inc.</w:t>
            </w:r>
          </w:p>
        </w:tc>
      </w:tr>
      <w:tr>
        <w:trPr>
          <w:trHeight w:val="37"/>
        </w:trPr>
        <w:tc>
          <w:tcPr>
            <w:tcW w:w="4620" w:type="dxa"/>
            <w:vAlign w:val="bottom"/>
            <w:gridSpan w:val="2"/>
          </w:tcPr>
          <w:p>
            <w:pPr>
              <w:spacing w:after="0"/>
              <w:rPr>
                <w:sz w:val="3"/>
                <w:szCs w:val="3"/>
                <w:color w:val="auto"/>
              </w:rPr>
            </w:pPr>
          </w:p>
        </w:tc>
        <w:tc>
          <w:tcPr>
            <w:tcW w:w="6620" w:type="dxa"/>
            <w:vAlign w:val="bottom"/>
          </w:tcPr>
          <w:p>
            <w:pPr>
              <w:spacing w:after="0"/>
              <w:rPr>
                <w:sz w:val="3"/>
                <w:szCs w:val="3"/>
                <w:color w:val="auto"/>
              </w:rPr>
            </w:pPr>
          </w:p>
        </w:tc>
      </w:tr>
      <w:tr>
        <w:trPr>
          <w:trHeight w:val="250"/>
        </w:trPr>
        <w:tc>
          <w:tcPr>
            <w:tcW w:w="4620" w:type="dxa"/>
            <w:vAlign w:val="bottom"/>
            <w:tcBorders>
              <w:bottom w:val="single" w:sz="8" w:color="E5E5E5"/>
            </w:tcBorders>
            <w:gridSpan w:val="2"/>
            <w:shd w:val="clear" w:color="auto" w:fill="E5E5E5"/>
          </w:tcPr>
          <w:p>
            <w:pPr>
              <w:ind w:left="60"/>
              <w:spacing w:after="0"/>
              <w:rPr>
                <w:sz w:val="20"/>
                <w:szCs w:val="20"/>
                <w:color w:val="auto"/>
              </w:rPr>
            </w:pPr>
            <w:r>
              <w:rPr>
                <w:rFonts w:ascii="Calibri" w:cs="Calibri" w:eastAsia="Calibri" w:hAnsi="Calibri"/>
                <w:sz w:val="18"/>
                <w:szCs w:val="18"/>
                <w:color w:val="auto"/>
              </w:rPr>
              <w:t>Black Hills Corp.</w:t>
            </w:r>
          </w:p>
        </w:tc>
        <w:tc>
          <w:tcPr>
            <w:tcW w:w="6620" w:type="dxa"/>
            <w:vAlign w:val="bottom"/>
            <w:tcBorders>
              <w:bottom w:val="single" w:sz="8" w:color="E5E5E5"/>
            </w:tcBorders>
            <w:shd w:val="clear" w:color="auto" w:fill="E5E5E5"/>
          </w:tcPr>
          <w:p>
            <w:pPr>
              <w:ind w:left="1060"/>
              <w:spacing w:after="0"/>
              <w:rPr>
                <w:sz w:val="20"/>
                <w:szCs w:val="20"/>
                <w:color w:val="auto"/>
              </w:rPr>
            </w:pPr>
            <w:r>
              <w:rPr>
                <w:rFonts w:ascii="Calibri" w:cs="Calibri" w:eastAsia="Calibri" w:hAnsi="Calibri"/>
                <w:sz w:val="18"/>
                <w:szCs w:val="18"/>
                <w:color w:val="auto"/>
              </w:rPr>
              <w:t>Pinnacle West Capital Corporaton</w:t>
            </w:r>
          </w:p>
        </w:tc>
      </w:tr>
      <w:tr>
        <w:trPr>
          <w:trHeight w:val="233"/>
        </w:trPr>
        <w:tc>
          <w:tcPr>
            <w:tcW w:w="4620" w:type="dxa"/>
            <w:vAlign w:val="bottom"/>
            <w:gridSpan w:val="2"/>
          </w:tcPr>
          <w:p>
            <w:pPr>
              <w:ind w:left="60"/>
              <w:spacing w:after="0"/>
              <w:rPr>
                <w:sz w:val="20"/>
                <w:szCs w:val="20"/>
                <w:color w:val="auto"/>
              </w:rPr>
            </w:pPr>
            <w:r>
              <w:rPr>
                <w:rFonts w:ascii="Calibri" w:cs="Calibri" w:eastAsia="Calibri" w:hAnsi="Calibri"/>
                <w:sz w:val="18"/>
                <w:szCs w:val="18"/>
                <w:color w:val="auto"/>
              </w:rPr>
              <w:t>CenterPoint Energy, Inc.</w:t>
            </w:r>
          </w:p>
        </w:tc>
        <w:tc>
          <w:tcPr>
            <w:tcW w:w="6620" w:type="dxa"/>
            <w:vAlign w:val="bottom"/>
          </w:tcPr>
          <w:p>
            <w:pPr>
              <w:ind w:left="1060"/>
              <w:spacing w:after="0"/>
              <w:rPr>
                <w:sz w:val="20"/>
                <w:szCs w:val="20"/>
                <w:color w:val="auto"/>
              </w:rPr>
            </w:pPr>
            <w:r>
              <w:rPr>
                <w:rFonts w:ascii="Calibri" w:cs="Calibri" w:eastAsia="Calibri" w:hAnsi="Calibri"/>
                <w:sz w:val="18"/>
                <w:szCs w:val="18"/>
                <w:color w:val="auto"/>
              </w:rPr>
              <w:t>PNM Resources Inc.</w:t>
            </w:r>
          </w:p>
        </w:tc>
      </w:tr>
      <w:tr>
        <w:trPr>
          <w:trHeight w:val="37"/>
        </w:trPr>
        <w:tc>
          <w:tcPr>
            <w:tcW w:w="4620" w:type="dxa"/>
            <w:vAlign w:val="bottom"/>
            <w:gridSpan w:val="2"/>
          </w:tcPr>
          <w:p>
            <w:pPr>
              <w:spacing w:after="0"/>
              <w:rPr>
                <w:sz w:val="3"/>
                <w:szCs w:val="3"/>
                <w:color w:val="auto"/>
              </w:rPr>
            </w:pPr>
          </w:p>
        </w:tc>
        <w:tc>
          <w:tcPr>
            <w:tcW w:w="6620" w:type="dxa"/>
            <w:vAlign w:val="bottom"/>
          </w:tcPr>
          <w:p>
            <w:pPr>
              <w:spacing w:after="0"/>
              <w:rPr>
                <w:sz w:val="3"/>
                <w:szCs w:val="3"/>
                <w:color w:val="auto"/>
              </w:rPr>
            </w:pPr>
          </w:p>
        </w:tc>
      </w:tr>
      <w:tr>
        <w:trPr>
          <w:trHeight w:val="250"/>
        </w:trPr>
        <w:tc>
          <w:tcPr>
            <w:tcW w:w="4620" w:type="dxa"/>
            <w:vAlign w:val="bottom"/>
            <w:tcBorders>
              <w:bottom w:val="single" w:sz="8" w:color="E5E5E5"/>
            </w:tcBorders>
            <w:gridSpan w:val="2"/>
            <w:shd w:val="clear" w:color="auto" w:fill="E5E5E5"/>
          </w:tcPr>
          <w:p>
            <w:pPr>
              <w:ind w:left="60"/>
              <w:spacing w:after="0"/>
              <w:rPr>
                <w:sz w:val="20"/>
                <w:szCs w:val="20"/>
                <w:color w:val="auto"/>
              </w:rPr>
            </w:pPr>
            <w:r>
              <w:rPr>
                <w:rFonts w:ascii="Calibri" w:cs="Calibri" w:eastAsia="Calibri" w:hAnsi="Calibri"/>
                <w:sz w:val="18"/>
                <w:szCs w:val="18"/>
                <w:color w:val="auto"/>
              </w:rPr>
              <w:t>CMS Energy Corp.</w:t>
            </w:r>
          </w:p>
        </w:tc>
        <w:tc>
          <w:tcPr>
            <w:tcW w:w="6620" w:type="dxa"/>
            <w:vAlign w:val="bottom"/>
            <w:tcBorders>
              <w:bottom w:val="single" w:sz="8" w:color="E5E5E5"/>
            </w:tcBorders>
            <w:shd w:val="clear" w:color="auto" w:fill="E5E5E5"/>
          </w:tcPr>
          <w:p>
            <w:pPr>
              <w:ind w:left="1060"/>
              <w:spacing w:after="0"/>
              <w:rPr>
                <w:sz w:val="20"/>
                <w:szCs w:val="20"/>
                <w:color w:val="auto"/>
              </w:rPr>
            </w:pPr>
            <w:r>
              <w:rPr>
                <w:rFonts w:ascii="Calibri" w:cs="Calibri" w:eastAsia="Calibri" w:hAnsi="Calibri"/>
                <w:sz w:val="18"/>
                <w:szCs w:val="18"/>
                <w:color w:val="auto"/>
              </w:rPr>
              <w:t>Portland General Electric Company</w:t>
            </w:r>
          </w:p>
        </w:tc>
      </w:tr>
      <w:tr>
        <w:trPr>
          <w:trHeight w:val="219"/>
        </w:trPr>
        <w:tc>
          <w:tcPr>
            <w:tcW w:w="640" w:type="dxa"/>
            <w:vAlign w:val="bottom"/>
          </w:tcPr>
          <w:p>
            <w:pPr>
              <w:ind w:left="60"/>
              <w:spacing w:after="0"/>
              <w:rPr>
                <w:sz w:val="20"/>
                <w:szCs w:val="20"/>
                <w:color w:val="auto"/>
              </w:rPr>
            </w:pPr>
            <w:r>
              <w:rPr>
                <w:rFonts w:ascii="Calibri" w:cs="Calibri" w:eastAsia="Calibri" w:hAnsi="Calibri"/>
                <w:sz w:val="18"/>
                <w:szCs w:val="18"/>
                <w:color w:val="auto"/>
                <w:w w:val="99"/>
              </w:rPr>
              <w:t>Entergy</w:t>
            </w:r>
          </w:p>
        </w:tc>
        <w:tc>
          <w:tcPr>
            <w:tcW w:w="3980" w:type="dxa"/>
            <w:vAlign w:val="bottom"/>
          </w:tcPr>
          <w:p>
            <w:pPr>
              <w:spacing w:after="0"/>
              <w:rPr>
                <w:sz w:val="19"/>
                <w:szCs w:val="19"/>
                <w:color w:val="auto"/>
              </w:rPr>
            </w:pPr>
          </w:p>
        </w:tc>
        <w:tc>
          <w:tcPr>
            <w:tcW w:w="6620" w:type="dxa"/>
            <w:vAlign w:val="bottom"/>
          </w:tcPr>
          <w:p>
            <w:pPr>
              <w:ind w:left="1060"/>
              <w:spacing w:after="0"/>
              <w:rPr>
                <w:sz w:val="20"/>
                <w:szCs w:val="20"/>
                <w:color w:val="auto"/>
              </w:rPr>
            </w:pPr>
            <w:r>
              <w:rPr>
                <w:rFonts w:ascii="Calibri" w:cs="Calibri" w:eastAsia="Calibri" w:hAnsi="Calibri"/>
                <w:sz w:val="18"/>
                <w:szCs w:val="18"/>
                <w:color w:val="auto"/>
              </w:rPr>
              <w:t>PPL Corporaton</w:t>
            </w:r>
          </w:p>
        </w:tc>
      </w:tr>
      <w:tr>
        <w:trPr>
          <w:trHeight w:val="37"/>
        </w:trPr>
        <w:tc>
          <w:tcPr>
            <w:tcW w:w="640" w:type="dxa"/>
            <w:vAlign w:val="bottom"/>
            <w:tcBorders>
              <w:bottom w:val="single" w:sz="8" w:color="auto"/>
            </w:tcBorders>
          </w:tcPr>
          <w:p>
            <w:pPr>
              <w:spacing w:after="0"/>
              <w:rPr>
                <w:sz w:val="3"/>
                <w:szCs w:val="3"/>
                <w:color w:val="auto"/>
              </w:rPr>
            </w:pPr>
          </w:p>
        </w:tc>
        <w:tc>
          <w:tcPr>
            <w:tcW w:w="3980" w:type="dxa"/>
            <w:vAlign w:val="bottom"/>
            <w:tcBorders>
              <w:bottom w:val="single" w:sz="8" w:color="auto"/>
            </w:tcBorders>
          </w:tcPr>
          <w:p>
            <w:pPr>
              <w:spacing w:after="0"/>
              <w:rPr>
                <w:sz w:val="3"/>
                <w:szCs w:val="3"/>
                <w:color w:val="auto"/>
              </w:rPr>
            </w:pPr>
          </w:p>
        </w:tc>
        <w:tc>
          <w:tcPr>
            <w:tcW w:w="6620" w:type="dxa"/>
            <w:vAlign w:val="bottom"/>
            <w:tcBorders>
              <w:bottom w:val="single" w:sz="8" w:color="auto"/>
            </w:tcBorders>
          </w:tcPr>
          <w:p>
            <w:pPr>
              <w:spacing w:after="0"/>
              <w:rPr>
                <w:sz w:val="3"/>
                <w:szCs w:val="3"/>
                <w:color w:val="auto"/>
              </w:rPr>
            </w:pPr>
          </w:p>
        </w:tc>
      </w:tr>
      <w:tr>
        <w:trPr>
          <w:trHeight w:val="578"/>
        </w:trPr>
        <w:tc>
          <w:tcPr>
            <w:tcW w:w="640" w:type="dxa"/>
            <w:vAlign w:val="bottom"/>
          </w:tcPr>
          <w:p>
            <w:pPr>
              <w:spacing w:after="0"/>
              <w:rPr>
                <w:sz w:val="20"/>
                <w:szCs w:val="20"/>
                <w:color w:val="auto"/>
              </w:rPr>
            </w:pPr>
            <w:r>
              <w:rPr>
                <w:rFonts w:ascii="Calibri" w:cs="Calibri" w:eastAsia="Calibri" w:hAnsi="Calibri"/>
                <w:sz w:val="18"/>
                <w:szCs w:val="18"/>
                <w:color w:val="auto"/>
              </w:rPr>
              <w:t>31</w:t>
            </w:r>
          </w:p>
        </w:tc>
        <w:tc>
          <w:tcPr>
            <w:tcW w:w="3980" w:type="dxa"/>
            <w:vAlign w:val="bottom"/>
          </w:tcPr>
          <w:p>
            <w:pPr>
              <w:ind w:left="40"/>
              <w:spacing w:after="0"/>
              <w:rPr>
                <w:sz w:val="20"/>
                <w:szCs w:val="20"/>
                <w:color w:val="auto"/>
              </w:rPr>
            </w:pPr>
            <w:r>
              <w:rPr>
                <w:rFonts w:ascii="Calibri" w:cs="Calibri" w:eastAsia="Calibri" w:hAnsi="Calibri"/>
                <w:sz w:val="18"/>
                <w:szCs w:val="18"/>
                <w:b w:val="1"/>
                <w:bCs w:val="1"/>
                <w:color w:val="EE2724"/>
              </w:rPr>
              <w:t xml:space="preserve">OGE Energy Corp. </w:t>
            </w:r>
            <w:r>
              <w:rPr>
                <w:rFonts w:ascii="Calibri" w:cs="Calibri" w:eastAsia="Calibri" w:hAnsi="Calibri"/>
                <w:sz w:val="18"/>
                <w:szCs w:val="18"/>
                <w:color w:val="000000"/>
              </w:rPr>
              <w:t>2024 Proxy Statement</w:t>
            </w:r>
          </w:p>
        </w:tc>
        <w:tc>
          <w:tcPr>
            <w:tcW w:w="6620" w:type="dxa"/>
            <w:vAlign w:val="bottom"/>
          </w:tcPr>
          <w:p>
            <w:pPr>
              <w:spacing w:after="0"/>
              <w:rPr>
                <w:sz w:val="24"/>
                <w:szCs w:val="24"/>
                <w:color w:val="auto"/>
              </w:rPr>
            </w:pPr>
          </w:p>
        </w:tc>
      </w:tr>
      <w:tr>
        <w:trPr>
          <w:trHeight w:val="786"/>
        </w:trPr>
        <w:tc>
          <w:tcPr>
            <w:tcW w:w="64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6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37" w:name="page38"/>
    <w:bookmarkEnd w:id="37"/>
    <w:p>
      <w:pPr>
        <w:ind w:firstLine="374"/>
        <w:spacing w:after="0" w:line="235" w:lineRule="auto"/>
        <w:rPr>
          <w:sz w:val="20"/>
          <w:szCs w:val="20"/>
          <w:color w:val="auto"/>
        </w:rPr>
      </w:pPr>
      <w:r>
        <w:rPr>
          <w:rFonts w:ascii="Calibri" w:cs="Calibri" w:eastAsia="Calibri" w:hAnsi="Calibri"/>
          <w:sz w:val="18"/>
          <w:szCs w:val="18"/>
          <w:color w:val="auto"/>
        </w:rPr>
        <w:t>The companies comprising the Company Peer Group were selected because each company met a majority of the following specifc criteria relevant to the Company:</w:t>
      </w:r>
    </w:p>
    <w:p>
      <w:pPr>
        <w:spacing w:after="0" w:line="118"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Calibri" w:cs="Calibri" w:eastAsia="Calibri" w:hAnsi="Calibri"/>
          <w:sz w:val="18"/>
          <w:szCs w:val="18"/>
          <w:color w:val="auto"/>
        </w:rPr>
        <w:t>Size determined by:</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35"/>
        </w:numPr>
        <w:rPr>
          <w:rFonts w:ascii="Times New Roman" w:cs="Times New Roman" w:eastAsia="Times New Roman" w:hAnsi="Times New Roman"/>
          <w:sz w:val="18"/>
          <w:szCs w:val="18"/>
          <w:color w:val="auto"/>
        </w:rPr>
      </w:pPr>
      <w:r>
        <w:rPr>
          <w:rFonts w:ascii="Calibri" w:cs="Calibri" w:eastAsia="Calibri" w:hAnsi="Calibri"/>
          <w:sz w:val="18"/>
          <w:szCs w:val="18"/>
          <w:color w:val="auto"/>
        </w:rPr>
        <w:t>Market value (0.5 tmes to 2 tmes relatve to the Company),</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35"/>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revenue (0.4 tmes to 2.5 tmes relatve to the Company), and</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35"/>
        </w:numPr>
        <w:rPr>
          <w:rFonts w:ascii="Times New Roman" w:cs="Times New Roman" w:eastAsia="Times New Roman" w:hAnsi="Times New Roman"/>
          <w:sz w:val="18"/>
          <w:szCs w:val="18"/>
          <w:color w:val="auto"/>
        </w:rPr>
      </w:pPr>
      <w:r>
        <w:rPr>
          <w:rFonts w:ascii="Calibri" w:cs="Calibri" w:eastAsia="Calibri" w:hAnsi="Calibri"/>
          <w:sz w:val="18"/>
          <w:szCs w:val="18"/>
          <w:color w:val="auto"/>
        </w:rPr>
        <w:t>assets (0.5 tmes to 2.5 tmes relatve to the Company);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Calibri" w:cs="Calibri" w:eastAsia="Calibri" w:hAnsi="Calibri"/>
          <w:sz w:val="18"/>
          <w:szCs w:val="18"/>
          <w:color w:val="auto"/>
        </w:rPr>
        <w:t>Business mix of reportable business segments for utlity;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Calibri" w:cs="Calibri" w:eastAsia="Calibri" w:hAnsi="Calibri"/>
          <w:sz w:val="18"/>
          <w:szCs w:val="18"/>
          <w:color w:val="auto"/>
        </w:rPr>
        <w:t>Geographic locaton and markets served; and</w:t>
      </w:r>
    </w:p>
    <w:p>
      <w:pPr>
        <w:spacing w:after="0" w:line="122" w:lineRule="exact"/>
        <w:rPr>
          <w:rFonts w:ascii="Times New Roman" w:cs="Times New Roman" w:eastAsia="Times New Roman" w:hAnsi="Times New Roman"/>
          <w:sz w:val="18"/>
          <w:szCs w:val="18"/>
          <w:color w:val="auto"/>
        </w:rPr>
      </w:pPr>
    </w:p>
    <w:p>
      <w:pPr>
        <w:ind w:left="1020" w:hanging="503"/>
        <w:spacing w:after="0" w:line="235" w:lineRule="auto"/>
        <w:tabs>
          <w:tab w:leader="none" w:pos="1020" w:val="left"/>
        </w:tabs>
        <w:numPr>
          <w:ilvl w:val="0"/>
          <w:numId w:val="35"/>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Analysis of the size and business mix of the peer groups utlized by the proxy advisory frms to analyze the Company’s compensaton and the peer groups used by each of the Company’s current and potental compensaton peers.</w:t>
      </w:r>
    </w:p>
    <w:p>
      <w:pPr>
        <w:spacing w:after="0" w:line="218"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The Compensaton Commitee annually reviews with Mercer and the Company’s management the Company Peer Group and, since 2008, has made relatvely few changes year-over-year to the peer group except as a result of changes resultng from merger and acquisiton actvites or other signifcant corporate changes. As explained above, the criteria for selectng peer companies are focused on size (market value, revenues, and assets), business mix and geographic locaton. For 2023, the Company added Entergy and PPL Corporaton as Company Peer Group companies to replace DTE Energy and Eversource Energy, which had exceeded the upper limit of the selecton criteria. These changes were made at the recommendaton of Mercer.</w:t>
      </w:r>
    </w:p>
    <w:p>
      <w:pPr>
        <w:spacing w:after="0" w:line="220"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As noted above, the Compensaton Commitee retained Mercer in 2022 as its compensaton consultant for 2023. For 2023, senior management, in making recommendatons on compensaton, and the Compensaton Commitee, in making decisions on compensaton, used as a primary guideline the median market pay data provided by Mercer of the Company Peer Group for all ofcers of the Company and OG&amp;E. This market pay data for an executve is intended to represent what would be paid to a hypothetcal, seasoned performer in a job having similar responsibilites and scope to the executve in queston. However, actual compensaton recommendatons by senior management and decisions on compensaton by the Compensaton Commitee can vary from this market data for numerous reasons, including an individual’s performance, experience level, and internal equity.</w:t>
      </w:r>
    </w:p>
    <w:p>
      <w:pPr>
        <w:spacing w:after="0" w:line="221"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The Compensaton Commitee met in December 2022 and set each executve ofcer’s 2023 salary and target annual incentve award, and, subject to potental adjustment at its meetng in February 2023, each executve ofcer’s target long-term incentve awards for 2023. These amounts set by the Compensaton Commitee were based primarily on the individual’s annual performance evaluaton and on the comparable amounts shown at the median for an executve ofcer with similar dutes in the Company Peer Group. The target annual and long-term incentve awards for each ofcer were expressed as percentages of salary.</w:t>
      </w:r>
    </w:p>
    <w:p>
      <w:pPr>
        <w:spacing w:after="0" w:line="220"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While setng the target annual incentve and long-term incentve awards is an important part of the executve compensaton process, critcal atenton is also given to setng the relevant Company performance goals for such awards. This critcal part of the annual incentve process sets the level of achievement of the Company performance goals that ultmately will determine the amount, if any, of the possible payouts of the target annual incentve awards and target performance units.</w:t>
      </w:r>
    </w:p>
    <w:p>
      <w:pPr>
        <w:spacing w:after="0" w:line="219"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Following a discussion of the recommendatons by the Company’s CEO, the Compensaton Commitee at its February 2023 meetng set the target levels of performance of the 2023 performance goals at or above the target levels for 2022. These Company performance goals for executve ofcers are described in detail below and were intended to align the executve’s interests with our customers and shareholders by having achievement of Company performance goals be directly ted to measures that result in improvements in our operatons and shareholder value. Accordingly, in 2023, the Company introduced a new environmental operatons performance goal (the “Environmental Target”) which aligns the executve incentve program with the Company’s commitment to our environmental principles. The Environmental Target goals demonstrate our commitment to environmental stewardship while maintaining reliability, performance, and afordability. At its February 2023 meetng, the Compensaton Commitee also approved the form of the long-term compensaton awards for the executve ofcers, which consisted of performance units based on TSR during the three-year period ending December 31, 2025 and restricted stock units whose payout was dependent upon contnued employment through December 31, 2025.</w:t>
      </w:r>
    </w:p>
    <w:p>
      <w:pPr>
        <w:spacing w:after="0" w:line="394" w:lineRule="exact"/>
        <w:rPr>
          <w:sz w:val="20"/>
          <w:szCs w:val="20"/>
          <w:color w:val="auto"/>
        </w:rPr>
      </w:pPr>
    </w:p>
    <w:p>
      <w:pPr>
        <w:spacing w:after="0"/>
        <w:tabs>
          <w:tab w:leader="none" w:pos="660" w:val="left"/>
        </w:tabs>
        <w:rPr>
          <w:sz w:val="20"/>
          <w:szCs w:val="20"/>
          <w:color w:val="auto"/>
        </w:rPr>
      </w:pPr>
      <w:r>
        <w:rPr>
          <w:rFonts w:ascii="Calibri" w:cs="Calibri" w:eastAsia="Calibri" w:hAnsi="Calibri"/>
          <w:sz w:val="18"/>
          <w:szCs w:val="18"/>
          <w:color w:val="auto"/>
        </w:rPr>
        <w:t>32</w:t>
      </w:r>
      <w:r>
        <w:rPr>
          <w:sz w:val="20"/>
          <w:szCs w:val="20"/>
          <w:color w:val="auto"/>
        </w:rPr>
        <w:tab/>
      </w:r>
      <w:r>
        <w:rPr>
          <w:rFonts w:ascii="Calibri" w:cs="Calibri" w:eastAsia="Calibri" w:hAnsi="Calibri"/>
          <w:sz w:val="18"/>
          <w:szCs w:val="18"/>
          <w:b w:val="1"/>
          <w:bCs w:val="1"/>
          <w:color w:val="EE2724"/>
        </w:rPr>
        <w:t xml:space="preserve">OGE Energy Corp. </w:t>
      </w:r>
      <w:r>
        <w:rPr>
          <w:rFonts w:ascii="Calibri" w:cs="Calibri" w:eastAsia="Calibri" w:hAnsi="Calibri"/>
          <w:sz w:val="18"/>
          <w:szCs w:val="18"/>
          <w:color w:val="00000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38" w:name="page39"/>
    <w:bookmarkEnd w:id="38"/>
    <w:p>
      <w:pPr>
        <w:jc w:val="both"/>
        <w:ind w:firstLine="374"/>
        <w:spacing w:after="0" w:line="235" w:lineRule="auto"/>
        <w:rPr>
          <w:sz w:val="20"/>
          <w:szCs w:val="20"/>
          <w:color w:val="auto"/>
        </w:rPr>
      </w:pPr>
      <w:r>
        <w:rPr>
          <w:rFonts w:ascii="Calibri" w:cs="Calibri" w:eastAsia="Calibri" w:hAnsi="Calibri"/>
          <w:sz w:val="18"/>
          <w:szCs w:val="18"/>
          <w:color w:val="auto"/>
        </w:rPr>
        <w:t>In setng the executve compensaton for any given year, the Compensaton Commitee historically (including 2023) has not looked to compensaton earned by executves in prior years, including amounts realized from grants in prior years of annual incentve awards or long-term incentve awards. The primary reasons are that our executve compensaton program seeks to have all components of executve compensaton be compettve, and the portons of an executve’s compensaton that could vary materially from year to year are primarily performance-based. As a result, high levels of executve compensaton in a partcular year historically have resulted from excellent Company performance, which the Compensaton Commitee believed did not warrant a reducton in future compensaton levels or in our compensaton principles. There also is no established policy or target for the allocaton between either cash and non-cash or annual and long-term compensaton. Rather, the Compensaton Commitee reviews market pay informaton from Mercer in determining the appropriate level and mix of incentve compensaton.</w:t>
      </w:r>
    </w:p>
    <w:p>
      <w:pPr>
        <w:spacing w:after="0" w:line="223"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Our senior management and, in partcular, our CEO, played an important part in setng 2023 executve compensaton. Besides developing recommendatons for the Company performance goals that needed to be met for payouts of 2023 annual incentve awards and long-term incentve awards, he reviewed with the Compensaton Commitee at its December 2022 meetng the performance evaluatons of each ofcer (other than himself). The annual performance evaluaton involves an assessment of such individual’s various competencies, including the individual’s management skills, business knowledge and achievement of various performance and development objectves set at the beginning of the year. The annual performance evaluatons are reviewed with the Compensaton Commitee and are used by the CEO in making compensaton recommendatons to the Compensaton Commitee. The CEO discussed with the Compensaton Commitee at its December 2022 meetng his recommendatons for each ofcer of 2023 salaries, target annual incentve awards and target long-term incentve awards. The CEO’s performance evaluaton and the setng of his potental salary, target annual incentve award and target long-term incentve award were conducted by the Compensaton Commitee without any members of management present. The Compensaton Commitee’s performance evaluaton of the CEO, along with his 2023 salary, target annual incentve award and target long-term incentve award, were reviewed by the Compensaton Commitee with all independent members of the Board.</w:t>
      </w:r>
    </w:p>
    <w:p>
      <w:pPr>
        <w:spacing w:after="0" w:line="225"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The following three sectons illustrate the applicaton of our executve compensaton principles and discuss in detail the salaries, annual incentves and long-term compensaton of the Named Executve Ofcers that were approved by the Compensaton Commitee and were paid in connecton with 2023 compensaton.</w:t>
      </w:r>
    </w:p>
    <w:p>
      <w:pPr>
        <w:spacing w:after="0" w:line="214" w:lineRule="exact"/>
        <w:rPr>
          <w:sz w:val="20"/>
          <w:szCs w:val="20"/>
          <w:color w:val="auto"/>
        </w:rPr>
      </w:pPr>
    </w:p>
    <w:p>
      <w:pPr>
        <w:ind w:left="380"/>
        <w:spacing w:after="0"/>
        <w:rPr>
          <w:sz w:val="20"/>
          <w:szCs w:val="20"/>
          <w:color w:val="auto"/>
        </w:rPr>
      </w:pPr>
      <w:r>
        <w:rPr>
          <w:rFonts w:ascii="Calibri" w:cs="Calibri" w:eastAsia="Calibri" w:hAnsi="Calibri"/>
          <w:sz w:val="18"/>
          <w:szCs w:val="18"/>
          <w:b w:val="1"/>
          <w:bCs w:val="1"/>
          <w:color w:val="auto"/>
        </w:rPr>
        <w:t>Base Salary</w:t>
      </w:r>
      <w:r>
        <w:rPr>
          <w:rFonts w:ascii="Calibri" w:cs="Calibri" w:eastAsia="Calibri" w:hAnsi="Calibri"/>
          <w:sz w:val="18"/>
          <w:szCs w:val="18"/>
          <w:color w:val="auto"/>
        </w:rPr>
        <w:t>. The base salaries for our executve ofcers in 2023 were designed with the following principles in mind:</w:t>
      </w:r>
    </w:p>
    <w:p>
      <w:pPr>
        <w:spacing w:after="0" w:line="118"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Calibri" w:cs="Calibri" w:eastAsia="Calibri" w:hAnsi="Calibri"/>
          <w:sz w:val="18"/>
          <w:szCs w:val="18"/>
          <w:color w:val="auto"/>
        </w:rPr>
        <w:t>Provision of base compensaton that is intended to be compettve with the Company Peer Group;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Calibri" w:cs="Calibri" w:eastAsia="Calibri" w:hAnsi="Calibri"/>
          <w:sz w:val="18"/>
          <w:szCs w:val="18"/>
          <w:color w:val="auto"/>
        </w:rPr>
        <w:t>Evaluaton of individual annual performance;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Calibri" w:cs="Calibri" w:eastAsia="Calibri" w:hAnsi="Calibri"/>
          <w:sz w:val="18"/>
          <w:szCs w:val="18"/>
          <w:color w:val="auto"/>
        </w:rPr>
        <w:t>Use of median salaries of the range for executves with similar dutes in the Company Peer Group as a guideline;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Recogniton of the existng business environment.</w:t>
      </w:r>
    </w:p>
    <w:p>
      <w:pPr>
        <w:spacing w:after="0" w:line="217"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Afer considering all factors for these recommendatons, the salaries of executve ofcers for 2023 were approved by the Compensaton Commitee in December 2022. The 2023 base salary amounts, and percentage increase approved by the Compensaton Commitee in December 2022, for the Named Executve Ofcers are presented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540" w:type="dxa"/>
            <w:vAlign w:val="bottom"/>
          </w:tcPr>
          <w:p>
            <w:pPr>
              <w:spacing w:after="0"/>
              <w:rPr>
                <w:sz w:val="19"/>
                <w:szCs w:val="19"/>
                <w:color w:val="auto"/>
              </w:rPr>
            </w:pPr>
          </w:p>
        </w:tc>
        <w:tc>
          <w:tcPr>
            <w:tcW w:w="2240" w:type="dxa"/>
            <w:vAlign w:val="bottom"/>
          </w:tcPr>
          <w:p>
            <w:pPr>
              <w:ind w:left="520"/>
              <w:spacing w:after="0"/>
              <w:rPr>
                <w:sz w:val="20"/>
                <w:szCs w:val="20"/>
                <w:color w:val="auto"/>
              </w:rPr>
            </w:pPr>
            <w:r>
              <w:rPr>
                <w:rFonts w:ascii="Calibri" w:cs="Calibri" w:eastAsia="Calibri" w:hAnsi="Calibri"/>
                <w:sz w:val="18"/>
                <w:szCs w:val="18"/>
                <w:b w:val="1"/>
                <w:bCs w:val="1"/>
                <w:color w:val="auto"/>
              </w:rPr>
              <w:t>2023 Base Salary</w:t>
            </w:r>
          </w:p>
        </w:tc>
        <w:tc>
          <w:tcPr>
            <w:tcW w:w="2180" w:type="dxa"/>
            <w:vAlign w:val="bottom"/>
          </w:tcPr>
          <w:p>
            <w:pPr>
              <w:ind w:left="500"/>
              <w:spacing w:after="0"/>
              <w:rPr>
                <w:sz w:val="20"/>
                <w:szCs w:val="20"/>
                <w:color w:val="auto"/>
              </w:rPr>
            </w:pPr>
            <w:r>
              <w:rPr>
                <w:rFonts w:ascii="Calibri" w:cs="Calibri" w:eastAsia="Calibri" w:hAnsi="Calibri"/>
                <w:sz w:val="18"/>
                <w:szCs w:val="18"/>
                <w:b w:val="1"/>
                <w:bCs w:val="1"/>
                <w:color w:val="auto"/>
              </w:rPr>
              <w:t>2022 Base Salary</w:t>
            </w:r>
          </w:p>
        </w:tc>
        <w:tc>
          <w:tcPr>
            <w:tcW w:w="2280" w:type="dxa"/>
            <w:vAlign w:val="bottom"/>
          </w:tcPr>
          <w:p>
            <w:pPr>
              <w:jc w:val="center"/>
              <w:spacing w:after="0"/>
              <w:rPr>
                <w:sz w:val="20"/>
                <w:szCs w:val="20"/>
                <w:color w:val="auto"/>
              </w:rPr>
            </w:pPr>
            <w:r>
              <w:rPr>
                <w:rFonts w:ascii="Calibri" w:cs="Calibri" w:eastAsia="Calibri" w:hAnsi="Calibri"/>
                <w:sz w:val="18"/>
                <w:szCs w:val="18"/>
                <w:b w:val="1"/>
                <w:bCs w:val="1"/>
                <w:color w:val="auto"/>
                <w:w w:val="96"/>
              </w:rPr>
              <w:t>Percentage Increase</w:t>
            </w:r>
          </w:p>
        </w:tc>
      </w:tr>
      <w:tr>
        <w:trPr>
          <w:trHeight w:val="64"/>
        </w:trPr>
        <w:tc>
          <w:tcPr>
            <w:tcW w:w="4540" w:type="dxa"/>
            <w:vAlign w:val="bottom"/>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2180" w:type="dxa"/>
            <w:vAlign w:val="bottom"/>
            <w:tcBorders>
              <w:bottom w:val="single" w:sz="8" w:color="auto"/>
            </w:tcBorders>
          </w:tcPr>
          <w:p>
            <w:pPr>
              <w:spacing w:after="0"/>
              <w:rPr>
                <w:sz w:val="5"/>
                <w:szCs w:val="5"/>
                <w:color w:val="auto"/>
              </w:rPr>
            </w:pPr>
          </w:p>
        </w:tc>
        <w:tc>
          <w:tcPr>
            <w:tcW w:w="2280" w:type="dxa"/>
            <w:vAlign w:val="bottom"/>
            <w:tcBorders>
              <w:bottom w:val="single" w:sz="8" w:color="auto"/>
            </w:tcBorders>
          </w:tcPr>
          <w:p>
            <w:pPr>
              <w:spacing w:after="0"/>
              <w:rPr>
                <w:sz w:val="5"/>
                <w:szCs w:val="5"/>
                <w:color w:val="auto"/>
              </w:rPr>
            </w:pPr>
          </w:p>
        </w:tc>
      </w:tr>
      <w:tr>
        <w:trPr>
          <w:trHeight w:val="240"/>
        </w:trPr>
        <w:tc>
          <w:tcPr>
            <w:tcW w:w="4540" w:type="dxa"/>
            <w:vAlign w:val="bottom"/>
            <w:shd w:val="clear" w:color="auto" w:fill="E5E5E5"/>
          </w:tcPr>
          <w:p>
            <w:pPr>
              <w:ind w:left="120"/>
              <w:spacing w:after="0"/>
              <w:rPr>
                <w:sz w:val="20"/>
                <w:szCs w:val="20"/>
                <w:color w:val="auto"/>
              </w:rPr>
            </w:pPr>
            <w:r>
              <w:rPr>
                <w:rFonts w:ascii="Calibri" w:cs="Calibri" w:eastAsia="Calibri" w:hAnsi="Calibri"/>
                <w:sz w:val="18"/>
                <w:szCs w:val="18"/>
                <w:color w:val="auto"/>
              </w:rPr>
              <w:t>Sean Trauschke</w:t>
            </w:r>
          </w:p>
        </w:tc>
        <w:tc>
          <w:tcPr>
            <w:tcW w:w="2240" w:type="dxa"/>
            <w:vAlign w:val="bottom"/>
            <w:shd w:val="clear" w:color="auto" w:fill="E5E5E5"/>
          </w:tcPr>
          <w:p>
            <w:pPr>
              <w:jc w:val="center"/>
              <w:spacing w:after="0"/>
              <w:rPr>
                <w:sz w:val="20"/>
                <w:szCs w:val="20"/>
                <w:color w:val="auto"/>
              </w:rPr>
            </w:pPr>
            <w:r>
              <w:rPr>
                <w:rFonts w:ascii="Calibri" w:cs="Calibri" w:eastAsia="Calibri" w:hAnsi="Calibri"/>
                <w:sz w:val="18"/>
                <w:szCs w:val="18"/>
                <w:color w:val="auto"/>
                <w:w w:val="97"/>
              </w:rPr>
              <w:t>$1,158,292</w:t>
            </w:r>
          </w:p>
        </w:tc>
        <w:tc>
          <w:tcPr>
            <w:tcW w:w="2180" w:type="dxa"/>
            <w:vAlign w:val="bottom"/>
            <w:shd w:val="clear" w:color="auto" w:fill="E5E5E5"/>
          </w:tcPr>
          <w:p>
            <w:pPr>
              <w:jc w:val="center"/>
              <w:spacing w:after="0"/>
              <w:rPr>
                <w:sz w:val="20"/>
                <w:szCs w:val="20"/>
                <w:color w:val="auto"/>
              </w:rPr>
            </w:pPr>
            <w:r>
              <w:rPr>
                <w:rFonts w:ascii="Calibri" w:cs="Calibri" w:eastAsia="Calibri" w:hAnsi="Calibri"/>
                <w:sz w:val="18"/>
                <w:szCs w:val="18"/>
                <w:color w:val="auto"/>
                <w:w w:val="97"/>
              </w:rPr>
              <w:t>$1,103,135</w:t>
            </w:r>
          </w:p>
        </w:tc>
        <w:tc>
          <w:tcPr>
            <w:tcW w:w="2280" w:type="dxa"/>
            <w:vAlign w:val="bottom"/>
            <w:shd w:val="clear" w:color="auto" w:fill="E5E5E5"/>
          </w:tcPr>
          <w:p>
            <w:pPr>
              <w:jc w:val="center"/>
              <w:spacing w:after="0"/>
              <w:rPr>
                <w:sz w:val="20"/>
                <w:szCs w:val="20"/>
                <w:color w:val="auto"/>
              </w:rPr>
            </w:pPr>
            <w:r>
              <w:rPr>
                <w:rFonts w:ascii="Calibri" w:cs="Calibri" w:eastAsia="Calibri" w:hAnsi="Calibri"/>
                <w:sz w:val="18"/>
                <w:szCs w:val="18"/>
                <w:color w:val="auto"/>
                <w:w w:val="95"/>
              </w:rPr>
              <w:t>5.0%</w:t>
            </w:r>
          </w:p>
        </w:tc>
      </w:tr>
      <w:tr>
        <w:trPr>
          <w:trHeight w:val="78"/>
        </w:trPr>
        <w:tc>
          <w:tcPr>
            <w:tcW w:w="4540" w:type="dxa"/>
            <w:vAlign w:val="bottom"/>
            <w:shd w:val="clear" w:color="auto" w:fill="E5E5E5"/>
          </w:tcPr>
          <w:p>
            <w:pPr>
              <w:spacing w:after="0"/>
              <w:rPr>
                <w:sz w:val="6"/>
                <w:szCs w:val="6"/>
                <w:color w:val="auto"/>
              </w:rPr>
            </w:pPr>
          </w:p>
        </w:tc>
        <w:tc>
          <w:tcPr>
            <w:tcW w:w="2240" w:type="dxa"/>
            <w:vAlign w:val="bottom"/>
            <w:shd w:val="clear" w:color="auto" w:fill="E5E5E5"/>
          </w:tcPr>
          <w:p>
            <w:pPr>
              <w:spacing w:after="0"/>
              <w:rPr>
                <w:sz w:val="6"/>
                <w:szCs w:val="6"/>
                <w:color w:val="auto"/>
              </w:rPr>
            </w:pPr>
          </w:p>
        </w:tc>
        <w:tc>
          <w:tcPr>
            <w:tcW w:w="2180" w:type="dxa"/>
            <w:vAlign w:val="bottom"/>
            <w:shd w:val="clear" w:color="auto" w:fill="E5E5E5"/>
          </w:tcPr>
          <w:p>
            <w:pPr>
              <w:spacing w:after="0"/>
              <w:rPr>
                <w:sz w:val="6"/>
                <w:szCs w:val="6"/>
                <w:color w:val="auto"/>
              </w:rPr>
            </w:pPr>
          </w:p>
        </w:tc>
        <w:tc>
          <w:tcPr>
            <w:tcW w:w="2280" w:type="dxa"/>
            <w:vAlign w:val="bottom"/>
            <w:shd w:val="clear" w:color="auto" w:fill="E5E5E5"/>
          </w:tcPr>
          <w:p>
            <w:pPr>
              <w:spacing w:after="0"/>
              <w:rPr>
                <w:sz w:val="6"/>
                <w:szCs w:val="6"/>
                <w:color w:val="auto"/>
              </w:rPr>
            </w:pPr>
          </w:p>
        </w:tc>
      </w:tr>
      <w:tr>
        <w:trPr>
          <w:trHeight w:val="273"/>
        </w:trPr>
        <w:tc>
          <w:tcPr>
            <w:tcW w:w="4540" w:type="dxa"/>
            <w:vAlign w:val="bottom"/>
          </w:tcPr>
          <w:p>
            <w:pPr>
              <w:ind w:left="120"/>
              <w:spacing w:after="0"/>
              <w:rPr>
                <w:sz w:val="20"/>
                <w:szCs w:val="20"/>
                <w:color w:val="auto"/>
              </w:rPr>
            </w:pPr>
            <w:r>
              <w:rPr>
                <w:rFonts w:ascii="Calibri" w:cs="Calibri" w:eastAsia="Calibri" w:hAnsi="Calibri"/>
                <w:sz w:val="18"/>
                <w:szCs w:val="18"/>
                <w:color w:val="auto"/>
              </w:rPr>
              <w:t>W. Bryan Buckler</w:t>
            </w:r>
          </w:p>
        </w:tc>
        <w:tc>
          <w:tcPr>
            <w:tcW w:w="2240" w:type="dxa"/>
            <w:vAlign w:val="bottom"/>
          </w:tcPr>
          <w:p>
            <w:pPr>
              <w:jc w:val="center"/>
              <w:spacing w:after="0"/>
              <w:rPr>
                <w:sz w:val="20"/>
                <w:szCs w:val="20"/>
                <w:color w:val="auto"/>
              </w:rPr>
            </w:pPr>
            <w:r>
              <w:rPr>
                <w:rFonts w:ascii="Calibri" w:cs="Calibri" w:eastAsia="Calibri" w:hAnsi="Calibri"/>
                <w:sz w:val="18"/>
                <w:szCs w:val="18"/>
                <w:color w:val="auto"/>
                <w:w w:val="96"/>
              </w:rPr>
              <w:t>$489,720</w:t>
            </w:r>
          </w:p>
        </w:tc>
        <w:tc>
          <w:tcPr>
            <w:tcW w:w="2180" w:type="dxa"/>
            <w:vAlign w:val="bottom"/>
          </w:tcPr>
          <w:p>
            <w:pPr>
              <w:jc w:val="center"/>
              <w:spacing w:after="0"/>
              <w:rPr>
                <w:sz w:val="20"/>
                <w:szCs w:val="20"/>
                <w:color w:val="auto"/>
              </w:rPr>
            </w:pPr>
            <w:r>
              <w:rPr>
                <w:rFonts w:ascii="Calibri" w:cs="Calibri" w:eastAsia="Calibri" w:hAnsi="Calibri"/>
                <w:sz w:val="18"/>
                <w:szCs w:val="18"/>
                <w:color w:val="auto"/>
                <w:w w:val="99"/>
              </w:rPr>
              <w:t>$466,400</w:t>
            </w:r>
          </w:p>
        </w:tc>
        <w:tc>
          <w:tcPr>
            <w:tcW w:w="2280" w:type="dxa"/>
            <w:vAlign w:val="bottom"/>
          </w:tcPr>
          <w:p>
            <w:pPr>
              <w:jc w:val="center"/>
              <w:spacing w:after="0"/>
              <w:rPr>
                <w:sz w:val="20"/>
                <w:szCs w:val="20"/>
                <w:color w:val="auto"/>
              </w:rPr>
            </w:pPr>
            <w:r>
              <w:rPr>
                <w:rFonts w:ascii="Calibri" w:cs="Calibri" w:eastAsia="Calibri" w:hAnsi="Calibri"/>
                <w:sz w:val="18"/>
                <w:szCs w:val="18"/>
                <w:color w:val="auto"/>
                <w:w w:val="95"/>
              </w:rPr>
              <w:t>5.0%</w:t>
            </w:r>
          </w:p>
        </w:tc>
      </w:tr>
      <w:tr>
        <w:trPr>
          <w:trHeight w:val="64"/>
        </w:trPr>
        <w:tc>
          <w:tcPr>
            <w:tcW w:w="45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180" w:type="dxa"/>
            <w:vAlign w:val="bottom"/>
          </w:tcPr>
          <w:p>
            <w:pPr>
              <w:spacing w:after="0"/>
              <w:rPr>
                <w:sz w:val="5"/>
                <w:szCs w:val="5"/>
                <w:color w:val="auto"/>
              </w:rPr>
            </w:pPr>
          </w:p>
        </w:tc>
        <w:tc>
          <w:tcPr>
            <w:tcW w:w="2280" w:type="dxa"/>
            <w:vAlign w:val="bottom"/>
          </w:tcPr>
          <w:p>
            <w:pPr>
              <w:spacing w:after="0"/>
              <w:rPr>
                <w:sz w:val="5"/>
                <w:szCs w:val="5"/>
                <w:color w:val="auto"/>
              </w:rPr>
            </w:pPr>
          </w:p>
        </w:tc>
      </w:tr>
      <w:tr>
        <w:trPr>
          <w:trHeight w:val="273"/>
        </w:trPr>
        <w:tc>
          <w:tcPr>
            <w:tcW w:w="4540" w:type="dxa"/>
            <w:vAlign w:val="bottom"/>
            <w:shd w:val="clear" w:color="auto" w:fill="E5E5E5"/>
          </w:tcPr>
          <w:p>
            <w:pPr>
              <w:ind w:left="120"/>
              <w:spacing w:after="0"/>
              <w:rPr>
                <w:sz w:val="20"/>
                <w:szCs w:val="20"/>
                <w:color w:val="auto"/>
              </w:rPr>
            </w:pPr>
            <w:r>
              <w:rPr>
                <w:rFonts w:ascii="Calibri" w:cs="Calibri" w:eastAsia="Calibri" w:hAnsi="Calibri"/>
                <w:sz w:val="18"/>
                <w:szCs w:val="18"/>
                <w:color w:val="auto"/>
              </w:rPr>
              <w:t>William H. Sultemeier</w:t>
            </w:r>
          </w:p>
        </w:tc>
        <w:tc>
          <w:tcPr>
            <w:tcW w:w="2240" w:type="dxa"/>
            <w:vAlign w:val="bottom"/>
            <w:shd w:val="clear" w:color="auto" w:fill="E5E5E5"/>
          </w:tcPr>
          <w:p>
            <w:pPr>
              <w:jc w:val="center"/>
              <w:spacing w:after="0"/>
              <w:rPr>
                <w:sz w:val="20"/>
                <w:szCs w:val="20"/>
                <w:color w:val="auto"/>
              </w:rPr>
            </w:pPr>
            <w:r>
              <w:rPr>
                <w:rFonts w:ascii="Calibri" w:cs="Calibri" w:eastAsia="Calibri" w:hAnsi="Calibri"/>
                <w:sz w:val="18"/>
                <w:szCs w:val="18"/>
                <w:color w:val="auto"/>
                <w:w w:val="96"/>
              </w:rPr>
              <w:t>$497,490</w:t>
            </w:r>
          </w:p>
        </w:tc>
        <w:tc>
          <w:tcPr>
            <w:tcW w:w="2180" w:type="dxa"/>
            <w:vAlign w:val="bottom"/>
            <w:shd w:val="clear" w:color="auto" w:fill="E5E5E5"/>
          </w:tcPr>
          <w:p>
            <w:pPr>
              <w:jc w:val="center"/>
              <w:spacing w:after="0"/>
              <w:rPr>
                <w:sz w:val="20"/>
                <w:szCs w:val="20"/>
                <w:color w:val="auto"/>
              </w:rPr>
            </w:pPr>
            <w:r>
              <w:rPr>
                <w:rFonts w:ascii="Calibri" w:cs="Calibri" w:eastAsia="Calibri" w:hAnsi="Calibri"/>
                <w:sz w:val="18"/>
                <w:szCs w:val="18"/>
                <w:color w:val="auto"/>
                <w:w w:val="99"/>
              </w:rPr>
              <w:t>$473,800</w:t>
            </w:r>
          </w:p>
        </w:tc>
        <w:tc>
          <w:tcPr>
            <w:tcW w:w="2280" w:type="dxa"/>
            <w:vAlign w:val="bottom"/>
            <w:shd w:val="clear" w:color="auto" w:fill="E5E5E5"/>
          </w:tcPr>
          <w:p>
            <w:pPr>
              <w:jc w:val="center"/>
              <w:spacing w:after="0"/>
              <w:rPr>
                <w:sz w:val="20"/>
                <w:szCs w:val="20"/>
                <w:color w:val="auto"/>
              </w:rPr>
            </w:pPr>
            <w:r>
              <w:rPr>
                <w:rFonts w:ascii="Calibri" w:cs="Calibri" w:eastAsia="Calibri" w:hAnsi="Calibri"/>
                <w:sz w:val="18"/>
                <w:szCs w:val="18"/>
                <w:color w:val="auto"/>
                <w:w w:val="95"/>
              </w:rPr>
              <w:t>5.0%</w:t>
            </w:r>
          </w:p>
        </w:tc>
      </w:tr>
      <w:tr>
        <w:trPr>
          <w:trHeight w:val="64"/>
        </w:trPr>
        <w:tc>
          <w:tcPr>
            <w:tcW w:w="4540" w:type="dxa"/>
            <w:vAlign w:val="bottom"/>
            <w:shd w:val="clear" w:color="auto" w:fill="E5E5E5"/>
          </w:tcPr>
          <w:p>
            <w:pPr>
              <w:spacing w:after="0"/>
              <w:rPr>
                <w:sz w:val="5"/>
                <w:szCs w:val="5"/>
                <w:color w:val="auto"/>
              </w:rPr>
            </w:pPr>
          </w:p>
        </w:tc>
        <w:tc>
          <w:tcPr>
            <w:tcW w:w="2240" w:type="dxa"/>
            <w:vAlign w:val="bottom"/>
            <w:shd w:val="clear" w:color="auto" w:fill="E5E5E5"/>
          </w:tcPr>
          <w:p>
            <w:pPr>
              <w:spacing w:after="0"/>
              <w:rPr>
                <w:sz w:val="5"/>
                <w:szCs w:val="5"/>
                <w:color w:val="auto"/>
              </w:rPr>
            </w:pPr>
          </w:p>
        </w:tc>
        <w:tc>
          <w:tcPr>
            <w:tcW w:w="2180" w:type="dxa"/>
            <w:vAlign w:val="bottom"/>
            <w:shd w:val="clear" w:color="auto" w:fill="E5E5E5"/>
          </w:tcPr>
          <w:p>
            <w:pPr>
              <w:spacing w:after="0"/>
              <w:rPr>
                <w:sz w:val="5"/>
                <w:szCs w:val="5"/>
                <w:color w:val="auto"/>
              </w:rPr>
            </w:pPr>
          </w:p>
        </w:tc>
        <w:tc>
          <w:tcPr>
            <w:tcW w:w="2280" w:type="dxa"/>
            <w:vAlign w:val="bottom"/>
            <w:shd w:val="clear" w:color="auto" w:fill="E5E5E5"/>
          </w:tcPr>
          <w:p>
            <w:pPr>
              <w:spacing w:after="0"/>
              <w:rPr>
                <w:sz w:val="5"/>
                <w:szCs w:val="5"/>
                <w:color w:val="auto"/>
              </w:rPr>
            </w:pPr>
          </w:p>
        </w:tc>
      </w:tr>
      <w:tr>
        <w:trPr>
          <w:trHeight w:val="273"/>
        </w:trPr>
        <w:tc>
          <w:tcPr>
            <w:tcW w:w="4540" w:type="dxa"/>
            <w:vAlign w:val="bottom"/>
          </w:tcPr>
          <w:p>
            <w:pPr>
              <w:ind w:left="120"/>
              <w:spacing w:after="0"/>
              <w:rPr>
                <w:sz w:val="20"/>
                <w:szCs w:val="20"/>
                <w:color w:val="auto"/>
              </w:rPr>
            </w:pPr>
            <w:r>
              <w:rPr>
                <w:rFonts w:ascii="Calibri" w:cs="Calibri" w:eastAsia="Calibri" w:hAnsi="Calibri"/>
                <w:sz w:val="18"/>
                <w:szCs w:val="18"/>
                <w:color w:val="auto"/>
              </w:rPr>
              <w:t>Donnie O. Jones</w:t>
            </w:r>
          </w:p>
        </w:tc>
        <w:tc>
          <w:tcPr>
            <w:tcW w:w="2240" w:type="dxa"/>
            <w:vAlign w:val="bottom"/>
          </w:tcPr>
          <w:p>
            <w:pPr>
              <w:jc w:val="center"/>
              <w:spacing w:after="0"/>
              <w:rPr>
                <w:sz w:val="20"/>
                <w:szCs w:val="20"/>
                <w:color w:val="auto"/>
              </w:rPr>
            </w:pPr>
            <w:r>
              <w:rPr>
                <w:rFonts w:ascii="Calibri" w:cs="Calibri" w:eastAsia="Calibri" w:hAnsi="Calibri"/>
                <w:sz w:val="18"/>
                <w:szCs w:val="18"/>
                <w:color w:val="auto"/>
                <w:w w:val="96"/>
              </w:rPr>
              <w:t>$437,076</w:t>
            </w:r>
          </w:p>
        </w:tc>
        <w:tc>
          <w:tcPr>
            <w:tcW w:w="2180" w:type="dxa"/>
            <w:vAlign w:val="bottom"/>
          </w:tcPr>
          <w:p>
            <w:pPr>
              <w:jc w:val="center"/>
              <w:spacing w:after="0"/>
              <w:rPr>
                <w:sz w:val="20"/>
                <w:szCs w:val="20"/>
                <w:color w:val="auto"/>
              </w:rPr>
            </w:pPr>
            <w:r>
              <w:rPr>
                <w:rFonts w:ascii="Calibri" w:cs="Calibri" w:eastAsia="Calibri" w:hAnsi="Calibri"/>
                <w:sz w:val="18"/>
                <w:szCs w:val="18"/>
                <w:color w:val="auto"/>
                <w:w w:val="99"/>
              </w:rPr>
              <w:t>$404,700</w:t>
            </w:r>
          </w:p>
        </w:tc>
        <w:tc>
          <w:tcPr>
            <w:tcW w:w="2280" w:type="dxa"/>
            <w:vAlign w:val="bottom"/>
          </w:tcPr>
          <w:p>
            <w:pPr>
              <w:jc w:val="center"/>
              <w:spacing w:after="0"/>
              <w:rPr>
                <w:sz w:val="20"/>
                <w:szCs w:val="20"/>
                <w:color w:val="auto"/>
              </w:rPr>
            </w:pPr>
            <w:r>
              <w:rPr>
                <w:rFonts w:ascii="Calibri" w:cs="Calibri" w:eastAsia="Calibri" w:hAnsi="Calibri"/>
                <w:sz w:val="18"/>
                <w:szCs w:val="18"/>
                <w:color w:val="auto"/>
                <w:w w:val="95"/>
              </w:rPr>
              <w:t>8.0%</w:t>
            </w:r>
          </w:p>
        </w:tc>
      </w:tr>
      <w:tr>
        <w:trPr>
          <w:trHeight w:val="64"/>
        </w:trPr>
        <w:tc>
          <w:tcPr>
            <w:tcW w:w="45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180" w:type="dxa"/>
            <w:vAlign w:val="bottom"/>
          </w:tcPr>
          <w:p>
            <w:pPr>
              <w:spacing w:after="0"/>
              <w:rPr>
                <w:sz w:val="5"/>
                <w:szCs w:val="5"/>
                <w:color w:val="auto"/>
              </w:rPr>
            </w:pPr>
          </w:p>
        </w:tc>
        <w:tc>
          <w:tcPr>
            <w:tcW w:w="2280" w:type="dxa"/>
            <w:vAlign w:val="bottom"/>
          </w:tcPr>
          <w:p>
            <w:pPr>
              <w:spacing w:after="0"/>
              <w:rPr>
                <w:sz w:val="5"/>
                <w:szCs w:val="5"/>
                <w:color w:val="auto"/>
              </w:rPr>
            </w:pPr>
          </w:p>
        </w:tc>
      </w:tr>
      <w:tr>
        <w:trPr>
          <w:trHeight w:val="274"/>
        </w:trPr>
        <w:tc>
          <w:tcPr>
            <w:tcW w:w="4540" w:type="dxa"/>
            <w:vAlign w:val="bottom"/>
            <w:shd w:val="clear" w:color="auto" w:fill="E5E5E5"/>
          </w:tcPr>
          <w:p>
            <w:pPr>
              <w:ind w:left="120"/>
              <w:spacing w:after="0"/>
              <w:rPr>
                <w:sz w:val="20"/>
                <w:szCs w:val="20"/>
                <w:color w:val="auto"/>
              </w:rPr>
            </w:pPr>
            <w:r>
              <w:rPr>
                <w:rFonts w:ascii="Calibri" w:cs="Calibri" w:eastAsia="Calibri" w:hAnsi="Calibri"/>
                <w:sz w:val="18"/>
                <w:szCs w:val="18"/>
                <w:color w:val="auto"/>
              </w:rPr>
              <w:t>Cristna F. McQuiston</w:t>
            </w:r>
          </w:p>
        </w:tc>
        <w:tc>
          <w:tcPr>
            <w:tcW w:w="2240" w:type="dxa"/>
            <w:vAlign w:val="bottom"/>
            <w:shd w:val="clear" w:color="auto" w:fill="E5E5E5"/>
          </w:tcPr>
          <w:p>
            <w:pPr>
              <w:jc w:val="center"/>
              <w:spacing w:after="0"/>
              <w:rPr>
                <w:sz w:val="20"/>
                <w:szCs w:val="20"/>
                <w:color w:val="auto"/>
              </w:rPr>
            </w:pPr>
            <w:r>
              <w:rPr>
                <w:rFonts w:ascii="Calibri" w:cs="Calibri" w:eastAsia="Calibri" w:hAnsi="Calibri"/>
                <w:sz w:val="18"/>
                <w:szCs w:val="18"/>
                <w:color w:val="auto"/>
                <w:w w:val="96"/>
              </w:rPr>
              <w:t>$351,488</w:t>
            </w:r>
          </w:p>
        </w:tc>
        <w:tc>
          <w:tcPr>
            <w:tcW w:w="2180" w:type="dxa"/>
            <w:vAlign w:val="bottom"/>
            <w:shd w:val="clear" w:color="auto" w:fill="E5E5E5"/>
          </w:tcPr>
          <w:p>
            <w:pPr>
              <w:jc w:val="center"/>
              <w:spacing w:after="0"/>
              <w:rPr>
                <w:sz w:val="20"/>
                <w:szCs w:val="20"/>
                <w:color w:val="auto"/>
              </w:rPr>
            </w:pPr>
            <w:r>
              <w:rPr>
                <w:rFonts w:ascii="Calibri" w:cs="Calibri" w:eastAsia="Calibri" w:hAnsi="Calibri"/>
                <w:sz w:val="18"/>
                <w:szCs w:val="18"/>
                <w:color w:val="auto"/>
                <w:w w:val="99"/>
              </w:rPr>
              <w:t>$334,750</w:t>
            </w:r>
          </w:p>
        </w:tc>
        <w:tc>
          <w:tcPr>
            <w:tcW w:w="2280" w:type="dxa"/>
            <w:vAlign w:val="bottom"/>
            <w:shd w:val="clear" w:color="auto" w:fill="E5E5E5"/>
          </w:tcPr>
          <w:p>
            <w:pPr>
              <w:jc w:val="center"/>
              <w:spacing w:after="0"/>
              <w:rPr>
                <w:sz w:val="20"/>
                <w:szCs w:val="20"/>
                <w:color w:val="auto"/>
              </w:rPr>
            </w:pPr>
            <w:r>
              <w:rPr>
                <w:rFonts w:ascii="Calibri" w:cs="Calibri" w:eastAsia="Calibri" w:hAnsi="Calibri"/>
                <w:sz w:val="18"/>
                <w:szCs w:val="18"/>
                <w:color w:val="auto"/>
                <w:w w:val="95"/>
              </w:rPr>
              <w:t>5.0%</w:t>
            </w:r>
          </w:p>
        </w:tc>
      </w:tr>
      <w:tr>
        <w:trPr>
          <w:trHeight w:val="64"/>
        </w:trPr>
        <w:tc>
          <w:tcPr>
            <w:tcW w:w="4540" w:type="dxa"/>
            <w:vAlign w:val="bottom"/>
            <w:tcBorders>
              <w:bottom w:val="single" w:sz="8" w:color="auto"/>
            </w:tcBorders>
            <w:shd w:val="clear" w:color="auto" w:fill="E5E5E5"/>
          </w:tcPr>
          <w:p>
            <w:pPr>
              <w:spacing w:after="0"/>
              <w:rPr>
                <w:sz w:val="5"/>
                <w:szCs w:val="5"/>
                <w:color w:val="auto"/>
              </w:rPr>
            </w:pPr>
          </w:p>
        </w:tc>
        <w:tc>
          <w:tcPr>
            <w:tcW w:w="2240" w:type="dxa"/>
            <w:vAlign w:val="bottom"/>
            <w:tcBorders>
              <w:bottom w:val="single" w:sz="8" w:color="auto"/>
            </w:tcBorders>
            <w:shd w:val="clear" w:color="auto" w:fill="E5E5E5"/>
          </w:tcPr>
          <w:p>
            <w:pPr>
              <w:spacing w:after="0"/>
              <w:rPr>
                <w:sz w:val="5"/>
                <w:szCs w:val="5"/>
                <w:color w:val="auto"/>
              </w:rPr>
            </w:pPr>
          </w:p>
        </w:tc>
        <w:tc>
          <w:tcPr>
            <w:tcW w:w="2180" w:type="dxa"/>
            <w:vAlign w:val="bottom"/>
            <w:tcBorders>
              <w:bottom w:val="single" w:sz="8" w:color="auto"/>
            </w:tcBorders>
            <w:shd w:val="clear" w:color="auto" w:fill="E5E5E5"/>
          </w:tcPr>
          <w:p>
            <w:pPr>
              <w:spacing w:after="0"/>
              <w:rPr>
                <w:sz w:val="5"/>
                <w:szCs w:val="5"/>
                <w:color w:val="auto"/>
              </w:rPr>
            </w:pPr>
          </w:p>
        </w:tc>
        <w:tc>
          <w:tcPr>
            <w:tcW w:w="2280" w:type="dxa"/>
            <w:vAlign w:val="bottom"/>
            <w:tcBorders>
              <w:bottom w:val="single" w:sz="8" w:color="auto"/>
            </w:tcBorders>
            <w:shd w:val="clear" w:color="auto" w:fill="E5E5E5"/>
          </w:tcPr>
          <w:p>
            <w:pPr>
              <w:spacing w:after="0"/>
              <w:rPr>
                <w:sz w:val="5"/>
                <w:szCs w:val="5"/>
                <w:color w:val="auto"/>
              </w:rPr>
            </w:pPr>
          </w:p>
        </w:tc>
      </w:tr>
    </w:tbl>
    <w:p>
      <w:pPr>
        <w:spacing w:after="0" w:line="194"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The 2023 base salary for our combined group of Named Executve Ofcers was set at the median amount for a comparable group of executves in the Company Peer Group.</w:t>
      </w:r>
    </w:p>
    <w:p>
      <w:pPr>
        <w:spacing w:after="0" w:line="388" w:lineRule="exact"/>
        <w:rPr>
          <w:sz w:val="20"/>
          <w:szCs w:val="20"/>
          <w:color w:val="auto"/>
        </w:rPr>
      </w:pPr>
    </w:p>
    <w:p>
      <w:pPr>
        <w:spacing w:after="0"/>
        <w:tabs>
          <w:tab w:leader="none" w:pos="660" w:val="left"/>
        </w:tabs>
        <w:rPr>
          <w:sz w:val="20"/>
          <w:szCs w:val="20"/>
          <w:color w:val="auto"/>
        </w:rPr>
      </w:pPr>
      <w:r>
        <w:rPr>
          <w:rFonts w:ascii="Calibri" w:cs="Calibri" w:eastAsia="Calibri" w:hAnsi="Calibri"/>
          <w:sz w:val="18"/>
          <w:szCs w:val="18"/>
          <w:color w:val="auto"/>
        </w:rPr>
        <w:t>33</w:t>
      </w:r>
      <w:r>
        <w:rPr>
          <w:sz w:val="20"/>
          <w:szCs w:val="20"/>
          <w:color w:val="auto"/>
        </w:rPr>
        <w:tab/>
      </w:r>
      <w:r>
        <w:rPr>
          <w:rFonts w:ascii="Calibri" w:cs="Calibri" w:eastAsia="Calibri" w:hAnsi="Calibri"/>
          <w:sz w:val="18"/>
          <w:szCs w:val="18"/>
          <w:b w:val="1"/>
          <w:bCs w:val="1"/>
          <w:color w:val="EE2724"/>
        </w:rPr>
        <w:t xml:space="preserve">OGE Energy Corp. </w:t>
      </w:r>
      <w:r>
        <w:rPr>
          <w:rFonts w:ascii="Calibri" w:cs="Calibri" w:eastAsia="Calibri" w:hAnsi="Calibri"/>
          <w:sz w:val="18"/>
          <w:szCs w:val="18"/>
          <w:color w:val="00000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39" w:name="page40"/>
    <w:bookmarkEnd w:id="39"/>
    <w:p>
      <w:pPr>
        <w:jc w:val="both"/>
        <w:ind w:firstLine="374"/>
        <w:spacing w:after="0" w:line="235" w:lineRule="auto"/>
        <w:rPr>
          <w:sz w:val="20"/>
          <w:szCs w:val="20"/>
          <w:color w:val="auto"/>
        </w:rPr>
      </w:pPr>
      <w:r>
        <w:rPr>
          <w:rFonts w:ascii="Calibri" w:cs="Calibri" w:eastAsia="Calibri" w:hAnsi="Calibri"/>
          <w:sz w:val="18"/>
          <w:szCs w:val="18"/>
          <w:b w:val="1"/>
          <w:bCs w:val="1"/>
          <w:color w:val="auto"/>
        </w:rPr>
        <w:t xml:space="preserve">Annual Incentve Compensaton. </w:t>
      </w:r>
      <w:r>
        <w:rPr>
          <w:rFonts w:ascii="Calibri" w:cs="Calibri" w:eastAsia="Calibri" w:hAnsi="Calibri"/>
          <w:sz w:val="18"/>
          <w:szCs w:val="18"/>
          <w:color w:val="auto"/>
        </w:rPr>
        <w:t>Annual incentve awards with respect to 2023 performance were made under the Annual Incentve Plan to executve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ofcers and director-level employees. The plan provides partcipants with annual incentve awards, the payment of which is dependent entrely on the achievement of the Company performance goals that, for 2023, were established by the Compensaton Commitee in February 2023. Those goals were:</w:t>
      </w:r>
    </w:p>
    <w:p>
      <w:pPr>
        <w:spacing w:after="0" w:line="119"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Calibri" w:cs="Calibri" w:eastAsia="Calibri" w:hAnsi="Calibri"/>
          <w:sz w:val="18"/>
          <w:szCs w:val="18"/>
          <w:color w:val="auto"/>
        </w:rPr>
        <w:t>OG&amp;E Earnings Target - based on the earnings of OG&amp;E;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Calibri" w:cs="Calibri" w:eastAsia="Calibri" w:hAnsi="Calibri"/>
          <w:sz w:val="18"/>
          <w:szCs w:val="18"/>
          <w:color w:val="auto"/>
        </w:rPr>
        <w:t>O&amp;M Target - an operatons and maintenance expense target for various business units of the Company and OG&amp;E;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Calibri" w:cs="Calibri" w:eastAsia="Calibri" w:hAnsi="Calibri"/>
          <w:sz w:val="18"/>
          <w:szCs w:val="18"/>
          <w:color w:val="auto"/>
        </w:rPr>
        <w:t>Customer/Operatons Target - several customer-related and operatonal goals;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Calibri" w:cs="Calibri" w:eastAsia="Calibri" w:hAnsi="Calibri"/>
          <w:sz w:val="18"/>
          <w:szCs w:val="18"/>
          <w:color w:val="auto"/>
        </w:rPr>
        <w:t>Safety Target - a safety target of the Company and OG&amp;E;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Calibri" w:cs="Calibri" w:eastAsia="Calibri" w:hAnsi="Calibri"/>
          <w:sz w:val="18"/>
          <w:szCs w:val="18"/>
          <w:color w:val="auto"/>
        </w:rPr>
        <w:t>Environmental Target - an environmental operatons target.</w:t>
      </w:r>
    </w:p>
    <w:p>
      <w:pPr>
        <w:spacing w:after="0" w:line="217" w:lineRule="exact"/>
        <w:rPr>
          <w:sz w:val="20"/>
          <w:szCs w:val="20"/>
          <w:color w:val="auto"/>
        </w:rPr>
      </w:pPr>
    </w:p>
    <w:p>
      <w:pPr>
        <w:jc w:val="both"/>
        <w:ind w:firstLine="374"/>
        <w:spacing w:after="0" w:line="250" w:lineRule="auto"/>
        <w:rPr>
          <w:sz w:val="20"/>
          <w:szCs w:val="20"/>
          <w:color w:val="auto"/>
        </w:rPr>
      </w:pPr>
      <w:r>
        <w:rPr>
          <w:rFonts w:ascii="Calibri" w:cs="Calibri" w:eastAsia="Calibri" w:hAnsi="Calibri"/>
          <w:sz w:val="17"/>
          <w:szCs w:val="17"/>
          <w:color w:val="auto"/>
        </w:rPr>
        <w:t>The Company also has a similar plan, the Short-Term Incentve Plan, that provides similar opportunites to all full-tme employees who do not partcipate in the Annual Incentve Plan. The performance goals established by the Compensaton Commitee for the executve ofcers under the Annual Incentve Plan were the same as those established for all the other full-tme employees under the Short-Term Incentve Plan to provide consistent incentvizaton for all employees to promote Company success. The performance goals and weightng for 2023 were similar to 2022 except that the weightng for the O&amp;M Target decreased slightly to create space for the inclusion of the Environmental Target goals for 2023. In prior years, individuals had the opportunity to earn from 0 percent to 150 percent of his or her targeted award depending on the level of achievement of Company performance goals set by the Compensaton Commitee. Consistent with the vast majority of OGE Energy peers, the Company increased the maximum payout potental for each short-term incentve measure from 150 percent to 200 percent in 2023. This change was based on a recommendaton by Mercer, the Company’s independent compensaton consultant, as part of an annual review and discussion of market trends that Mercer brings to the Company for consideraton. The Company also made the same increase to the maximum payout potental under the Company’s Annual Incentve Compensaton Plans for all eligible partcipants.</w:t>
      </w:r>
    </w:p>
    <w:p>
      <w:pPr>
        <w:spacing w:after="0" w:line="214"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The amount of the award for each executve ofcer was expressed as a percentage of salary paid during 2023 (the “targeted amount”), with the ofcer having the ability, depending upon achievement of the Company performance goals, to receive from 0 percent to 200 percent of such targeted amount. For the Named Executve Ofcers, the targeted amounts were unchanged from 2022 and were as follows: Mr. Trauschke, 110 percent of his 2023 salary; Mr. Buckler, 70 percent of his 2023 salary; Mr. Sultemeier, 65 percent of his 2023 salary; Mr. Jones, 70 percent of his 2023 salary and Ms. McQuiston, 45 percent of her 2023 salary. The targeted amount expressed as a percentage of salary for our combined group of Named Executve Ofcers was set within one percent of the median level of such award granted to a comparable group of executves in the Company Peer Group. Also, as noted above, potental payouts of targeted amounts are dependent entrely on achievement of Company performance goals set by the Compensaton Commitee.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17780</wp:posOffset>
            </wp:positionV>
            <wp:extent cx="5237480" cy="9772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237480" cy="977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The Company’s performance goals refect our aim to deliver safe, reliable, resilient, and afordable energy to our customers. These goals also promote our sustainable business model by focusing on workforce development and improving our community through providing reliable and afordable energy. Examples of how key performance measures for the annual incentve compensaton align include:</w:t>
      </w:r>
    </w:p>
    <w:p>
      <w:pPr>
        <w:spacing w:after="0" w:line="106"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4"/>
          <w:szCs w:val="14"/>
          <w:color w:val="auto"/>
        </w:rPr>
      </w:pPr>
      <w:r>
        <w:rPr>
          <w:rFonts w:ascii="Calibri" w:cs="Calibri" w:eastAsia="Calibri" w:hAnsi="Calibri"/>
          <w:sz w:val="18"/>
          <w:szCs w:val="18"/>
          <w:color w:val="auto"/>
        </w:rPr>
        <w:t>OG&amp;E Earnings Target - Aligns pay outcomes with shareholder value;</w:t>
      </w:r>
    </w:p>
    <w:p>
      <w:pPr>
        <w:spacing w:after="0" w:line="109" w:lineRule="exact"/>
        <w:rPr>
          <w:rFonts w:ascii="Times New Roman" w:cs="Times New Roman" w:eastAsia="Times New Roman" w:hAnsi="Times New Roman"/>
          <w:sz w:val="14"/>
          <w:szCs w:val="14"/>
          <w:color w:val="auto"/>
        </w:rPr>
      </w:pPr>
    </w:p>
    <w:p>
      <w:pPr>
        <w:ind w:left="1020" w:hanging="503"/>
        <w:spacing w:after="0" w:line="235" w:lineRule="auto"/>
        <w:tabs>
          <w:tab w:leader="none" w:pos="1020" w:val="left"/>
        </w:tabs>
        <w:numPr>
          <w:ilvl w:val="0"/>
          <w:numId w:val="38"/>
        </w:numPr>
        <w:rPr>
          <w:rFonts w:ascii="Times New Roman" w:cs="Times New Roman" w:eastAsia="Times New Roman" w:hAnsi="Times New Roman"/>
          <w:sz w:val="14"/>
          <w:szCs w:val="14"/>
          <w:color w:val="auto"/>
        </w:rPr>
      </w:pPr>
      <w:r>
        <w:rPr>
          <w:rFonts w:ascii="Calibri" w:cs="Calibri" w:eastAsia="Calibri" w:hAnsi="Calibri"/>
          <w:sz w:val="18"/>
          <w:szCs w:val="18"/>
          <w:color w:val="auto"/>
        </w:rPr>
        <w:t>O&amp;M Target - Supports delivery of reliable, resilient, and afordable energy for customers and contributes to the Company’s sound fnancial policies;</w:t>
      </w:r>
    </w:p>
    <w:p>
      <w:pPr>
        <w:spacing w:after="0" w:line="109" w:lineRule="exact"/>
        <w:rPr>
          <w:rFonts w:ascii="Times New Roman" w:cs="Times New Roman" w:eastAsia="Times New Roman" w:hAnsi="Times New Roman"/>
          <w:sz w:val="14"/>
          <w:szCs w:val="14"/>
          <w:color w:val="auto"/>
        </w:rPr>
      </w:pPr>
    </w:p>
    <w:p>
      <w:pPr>
        <w:jc w:val="both"/>
        <w:ind w:left="1020" w:hanging="503"/>
        <w:spacing w:after="0" w:line="235" w:lineRule="auto"/>
        <w:tabs>
          <w:tab w:leader="none" w:pos="1020" w:val="left"/>
        </w:tabs>
        <w:numPr>
          <w:ilvl w:val="0"/>
          <w:numId w:val="38"/>
        </w:numPr>
        <w:rPr>
          <w:rFonts w:ascii="Times New Roman" w:cs="Times New Roman" w:eastAsia="Times New Roman" w:hAnsi="Times New Roman"/>
          <w:sz w:val="14"/>
          <w:szCs w:val="14"/>
          <w:color w:val="auto"/>
        </w:rPr>
      </w:pPr>
      <w:r>
        <w:rPr>
          <w:rFonts w:ascii="Calibri" w:cs="Calibri" w:eastAsia="Calibri" w:hAnsi="Calibri"/>
          <w:sz w:val="18"/>
          <w:szCs w:val="18"/>
          <w:color w:val="auto"/>
        </w:rPr>
        <w:t>Customer/Operatons Target - SAIDI (an industry-wide metric for outages and grid reliability), Equivalent Forced Outage Rate (generaton uptme to ensure that our plants do not experience unplanned outages) and Escalent surveys (ranking goals for the residental/business customer satsfacton percepton) are metrics designed to</w:t>
      </w:r>
    </w:p>
    <w:p>
      <w:pPr>
        <w:spacing w:after="0" w:line="173" w:lineRule="exact"/>
        <w:rPr>
          <w:sz w:val="20"/>
          <w:szCs w:val="20"/>
          <w:color w:val="auto"/>
        </w:rPr>
      </w:pPr>
    </w:p>
    <w:p>
      <w:pPr>
        <w:spacing w:after="0"/>
        <w:tabs>
          <w:tab w:leader="none" w:pos="660" w:val="left"/>
        </w:tabs>
        <w:rPr>
          <w:sz w:val="20"/>
          <w:szCs w:val="20"/>
          <w:color w:val="auto"/>
        </w:rPr>
      </w:pPr>
      <w:r>
        <w:rPr>
          <w:rFonts w:ascii="Calibri" w:cs="Calibri" w:eastAsia="Calibri" w:hAnsi="Calibri"/>
          <w:sz w:val="18"/>
          <w:szCs w:val="18"/>
          <w:color w:val="auto"/>
        </w:rPr>
        <w:t>34</w:t>
      </w:r>
      <w:r>
        <w:rPr>
          <w:sz w:val="20"/>
          <w:szCs w:val="20"/>
          <w:color w:val="auto"/>
        </w:rPr>
        <w:tab/>
      </w:r>
      <w:r>
        <w:rPr>
          <w:rFonts w:ascii="Calibri" w:cs="Calibri" w:eastAsia="Calibri" w:hAnsi="Calibri"/>
          <w:sz w:val="18"/>
          <w:szCs w:val="18"/>
          <w:b w:val="1"/>
          <w:bCs w:val="1"/>
          <w:color w:val="EE2724"/>
        </w:rPr>
        <w:t xml:space="preserve">OGE Energy Corp. </w:t>
      </w:r>
      <w:r>
        <w:rPr>
          <w:rFonts w:ascii="Calibri" w:cs="Calibri" w:eastAsia="Calibri" w:hAnsi="Calibri"/>
          <w:sz w:val="18"/>
          <w:szCs w:val="18"/>
          <w:color w:val="00000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40" w:name="page41"/>
    <w:bookmarkEnd w:id="40"/>
    <w:p>
      <w:pPr>
        <w:ind w:left="1020"/>
        <w:spacing w:after="0" w:line="235" w:lineRule="auto"/>
        <w:rPr>
          <w:sz w:val="20"/>
          <w:szCs w:val="20"/>
          <w:color w:val="auto"/>
        </w:rPr>
      </w:pPr>
      <w:r>
        <w:rPr>
          <w:rFonts w:ascii="Calibri" w:cs="Calibri" w:eastAsia="Calibri" w:hAnsi="Calibri"/>
          <w:sz w:val="18"/>
          <w:szCs w:val="18"/>
          <w:color w:val="auto"/>
        </w:rPr>
        <w:t>promote and recognize the importance and value of delivering reliable and afordable energy while developing our economy, improving the communites we serve and empowering the lives of our customers;</w:t>
      </w:r>
    </w:p>
    <w:p>
      <w:pPr>
        <w:spacing w:after="0" w:line="110" w:lineRule="exact"/>
        <w:rPr>
          <w:sz w:val="20"/>
          <w:szCs w:val="20"/>
          <w:color w:val="auto"/>
        </w:rPr>
      </w:pPr>
    </w:p>
    <w:p>
      <w:pPr>
        <w:ind w:left="1020" w:hanging="503"/>
        <w:spacing w:after="0" w:line="235" w:lineRule="auto"/>
        <w:tabs>
          <w:tab w:leader="none" w:pos="1020" w:val="left"/>
        </w:tabs>
        <w:numPr>
          <w:ilvl w:val="0"/>
          <w:numId w:val="39"/>
        </w:numPr>
        <w:rPr>
          <w:rFonts w:ascii="Times New Roman" w:cs="Times New Roman" w:eastAsia="Times New Roman" w:hAnsi="Times New Roman"/>
          <w:sz w:val="14"/>
          <w:szCs w:val="14"/>
          <w:color w:val="auto"/>
        </w:rPr>
      </w:pPr>
      <w:r>
        <w:rPr>
          <w:rFonts w:ascii="Calibri" w:cs="Calibri" w:eastAsia="Calibri" w:hAnsi="Calibri"/>
          <w:sz w:val="18"/>
          <w:szCs w:val="18"/>
          <w:color w:val="auto"/>
        </w:rPr>
        <w:t>Safety Target - Promotes providing energy in a safe environment while reducing serious injuries and engaging employees to contnually improve their work environment; and</w:t>
      </w:r>
    </w:p>
    <w:p>
      <w:pPr>
        <w:spacing w:after="0" w:line="104"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39"/>
        </w:numPr>
        <w:rPr>
          <w:rFonts w:ascii="Times New Roman" w:cs="Times New Roman" w:eastAsia="Times New Roman" w:hAnsi="Times New Roman"/>
          <w:sz w:val="14"/>
          <w:szCs w:val="14"/>
          <w:color w:val="auto"/>
        </w:rPr>
      </w:pPr>
      <w:r>
        <w:rPr>
          <w:rFonts w:ascii="Calibri" w:cs="Calibri" w:eastAsia="Calibri" w:hAnsi="Calibri"/>
          <w:sz w:val="18"/>
          <w:szCs w:val="18"/>
          <w:color w:val="auto"/>
        </w:rPr>
        <w:t>Environmental Target - Cultvates a workplace culture focused on environmental compliance.</w:t>
      </w:r>
    </w:p>
    <w:p>
      <w:pPr>
        <w:spacing w:after="0" w:line="217"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For each Company performance goal, the Compensaton Commitee established a minimum level of performance (below which no payout would be made), a target level of performance (at which a 100 percent payout would be made) and a maximum level of performance (at or above which a 200 percent payout would be made). The following table shows the minimum, target and maximum levels, as well as the actual results for the Company performance goals set for the Named Executve Ofcers in 2023, and the percentage payout of the targeted amount based on the performance (as calculated pursuant to the terms of the awards) and as authorized by the Compensaton Commitee: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Calibri" w:cs="Calibri" w:eastAsia="Calibri" w:hAnsi="Calibri"/>
                <w:sz w:val="18"/>
                <w:szCs w:val="18"/>
                <w:b w:val="1"/>
                <w:bCs w:val="1"/>
                <w:color w:val="auto"/>
              </w:rPr>
              <w:t>Actual</w:t>
            </w:r>
          </w:p>
        </w:tc>
        <w:tc>
          <w:tcPr>
            <w:tcW w:w="1020" w:type="dxa"/>
            <w:vAlign w:val="bottom"/>
          </w:tcPr>
          <w:p>
            <w:pPr>
              <w:jc w:val="center"/>
              <w:spacing w:after="0"/>
              <w:rPr>
                <w:sz w:val="20"/>
                <w:szCs w:val="20"/>
                <w:color w:val="auto"/>
              </w:rPr>
            </w:pPr>
            <w:r>
              <w:rPr>
                <w:rFonts w:ascii="Calibri" w:cs="Calibri" w:eastAsia="Calibri" w:hAnsi="Calibri"/>
                <w:sz w:val="18"/>
                <w:szCs w:val="18"/>
                <w:b w:val="1"/>
                <w:bCs w:val="1"/>
                <w:color w:val="auto"/>
                <w:w w:val="91"/>
              </w:rPr>
              <w:t>%</w:t>
            </w:r>
          </w:p>
        </w:tc>
      </w:tr>
      <w:tr>
        <w:trPr>
          <w:trHeight w:val="216"/>
        </w:trPr>
        <w:tc>
          <w:tcPr>
            <w:tcW w:w="3700" w:type="dxa"/>
            <w:vAlign w:val="bottom"/>
          </w:tcPr>
          <w:p>
            <w:pPr>
              <w:spacing w:after="0"/>
              <w:rPr>
                <w:sz w:val="18"/>
                <w:szCs w:val="18"/>
                <w:color w:val="auto"/>
              </w:rPr>
            </w:pPr>
          </w:p>
        </w:tc>
        <w:tc>
          <w:tcPr>
            <w:tcW w:w="1620" w:type="dxa"/>
            <w:vAlign w:val="bottom"/>
          </w:tcPr>
          <w:p>
            <w:pPr>
              <w:jc w:val="center"/>
              <w:ind w:left="10"/>
              <w:spacing w:after="0" w:line="216" w:lineRule="exact"/>
              <w:rPr>
                <w:sz w:val="20"/>
                <w:szCs w:val="20"/>
                <w:color w:val="auto"/>
              </w:rPr>
            </w:pPr>
            <w:r>
              <w:rPr>
                <w:rFonts w:ascii="Calibri" w:cs="Calibri" w:eastAsia="Calibri" w:hAnsi="Calibri"/>
                <w:sz w:val="18"/>
                <w:szCs w:val="18"/>
                <w:b w:val="1"/>
                <w:bCs w:val="1"/>
                <w:color w:val="auto"/>
                <w:w w:val="98"/>
              </w:rPr>
              <w:t>Minimum</w:t>
            </w:r>
          </w:p>
        </w:tc>
        <w:tc>
          <w:tcPr>
            <w:tcW w:w="176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5"/>
              </w:rPr>
              <w:t>Target</w:t>
            </w:r>
          </w:p>
        </w:tc>
        <w:tc>
          <w:tcPr>
            <w:tcW w:w="162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6"/>
              </w:rPr>
              <w:t>Maximum</w:t>
            </w:r>
          </w:p>
        </w:tc>
        <w:tc>
          <w:tcPr>
            <w:tcW w:w="152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5"/>
              </w:rPr>
              <w:t>Performance</w:t>
            </w:r>
          </w:p>
        </w:tc>
        <w:tc>
          <w:tcPr>
            <w:tcW w:w="1020" w:type="dxa"/>
            <w:vAlign w:val="bottom"/>
          </w:tcPr>
          <w:p>
            <w:pPr>
              <w:ind w:left="260"/>
              <w:spacing w:after="0" w:line="216" w:lineRule="exact"/>
              <w:rPr>
                <w:sz w:val="20"/>
                <w:szCs w:val="20"/>
                <w:color w:val="auto"/>
              </w:rPr>
            </w:pPr>
            <w:r>
              <w:rPr>
                <w:rFonts w:ascii="Calibri" w:cs="Calibri" w:eastAsia="Calibri" w:hAnsi="Calibri"/>
                <w:sz w:val="18"/>
                <w:szCs w:val="18"/>
                <w:b w:val="1"/>
                <w:bCs w:val="1"/>
                <w:color w:val="auto"/>
              </w:rPr>
              <w:t>Payout</w:t>
            </w:r>
          </w:p>
        </w:tc>
      </w:tr>
      <w:tr>
        <w:trPr>
          <w:trHeight w:val="64"/>
        </w:trPr>
        <w:tc>
          <w:tcPr>
            <w:tcW w:w="370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r>
        <w:trPr>
          <w:trHeight w:val="253"/>
        </w:trPr>
        <w:tc>
          <w:tcPr>
            <w:tcW w:w="3700" w:type="dxa"/>
            <w:vAlign w:val="bottom"/>
            <w:shd w:val="clear" w:color="auto" w:fill="E5E5E5"/>
          </w:tcPr>
          <w:p>
            <w:pPr>
              <w:ind w:left="120"/>
              <w:spacing w:after="0"/>
              <w:rPr>
                <w:sz w:val="20"/>
                <w:szCs w:val="20"/>
                <w:color w:val="auto"/>
              </w:rPr>
            </w:pPr>
            <w:r>
              <w:rPr>
                <w:rFonts w:ascii="Calibri" w:cs="Calibri" w:eastAsia="Calibri" w:hAnsi="Calibri"/>
                <w:sz w:val="18"/>
                <w:szCs w:val="18"/>
                <w:color w:val="auto"/>
              </w:rPr>
              <w:t>OG&amp;E Earnings Target</w:t>
            </w:r>
          </w:p>
        </w:tc>
        <w:tc>
          <w:tcPr>
            <w:tcW w:w="1620" w:type="dxa"/>
            <w:vAlign w:val="bottom"/>
            <w:shd w:val="clear" w:color="auto" w:fill="E5E5E5"/>
          </w:tcPr>
          <w:p>
            <w:pPr>
              <w:jc w:val="center"/>
              <w:ind w:left="30"/>
              <w:spacing w:after="0"/>
              <w:rPr>
                <w:sz w:val="20"/>
                <w:szCs w:val="20"/>
                <w:color w:val="auto"/>
              </w:rPr>
            </w:pPr>
            <w:r>
              <w:rPr>
                <w:rFonts w:ascii="Calibri" w:cs="Calibri" w:eastAsia="Calibri" w:hAnsi="Calibri"/>
                <w:sz w:val="18"/>
                <w:szCs w:val="18"/>
                <w:color w:val="auto"/>
                <w:w w:val="97"/>
              </w:rPr>
              <w:t>$1.97/share</w:t>
            </w:r>
          </w:p>
        </w:tc>
        <w:tc>
          <w:tcPr>
            <w:tcW w:w="1760" w:type="dxa"/>
            <w:vAlign w:val="bottom"/>
            <w:shd w:val="clear" w:color="auto" w:fill="E5E5E5"/>
          </w:tcPr>
          <w:p>
            <w:pPr>
              <w:jc w:val="center"/>
              <w:spacing w:after="0"/>
              <w:rPr>
                <w:sz w:val="20"/>
                <w:szCs w:val="20"/>
                <w:color w:val="auto"/>
              </w:rPr>
            </w:pPr>
            <w:r>
              <w:rPr>
                <w:rFonts w:ascii="Calibri" w:cs="Calibri" w:eastAsia="Calibri" w:hAnsi="Calibri"/>
                <w:sz w:val="18"/>
                <w:szCs w:val="18"/>
                <w:color w:val="auto"/>
                <w:w w:val="97"/>
              </w:rPr>
              <w:t>$2.04/share</w:t>
            </w:r>
          </w:p>
        </w:tc>
        <w:tc>
          <w:tcPr>
            <w:tcW w:w="1620" w:type="dxa"/>
            <w:vAlign w:val="bottom"/>
            <w:shd w:val="clear" w:color="auto" w:fill="E5E5E5"/>
          </w:tcPr>
          <w:p>
            <w:pPr>
              <w:jc w:val="center"/>
              <w:spacing w:after="0"/>
              <w:rPr>
                <w:sz w:val="20"/>
                <w:szCs w:val="20"/>
                <w:color w:val="auto"/>
              </w:rPr>
            </w:pPr>
            <w:r>
              <w:rPr>
                <w:rFonts w:ascii="Calibri" w:cs="Calibri" w:eastAsia="Calibri" w:hAnsi="Calibri"/>
                <w:sz w:val="18"/>
                <w:szCs w:val="18"/>
                <w:color w:val="auto"/>
                <w:w w:val="97"/>
              </w:rPr>
              <w:t>$2.11/share</w:t>
            </w:r>
          </w:p>
        </w:tc>
        <w:tc>
          <w:tcPr>
            <w:tcW w:w="1520" w:type="dxa"/>
            <w:vAlign w:val="bottom"/>
            <w:shd w:val="clear" w:color="auto" w:fill="E5E5E5"/>
          </w:tcPr>
          <w:p>
            <w:pPr>
              <w:jc w:val="center"/>
              <w:spacing w:after="0"/>
              <w:rPr>
                <w:sz w:val="20"/>
                <w:szCs w:val="20"/>
                <w:color w:val="auto"/>
              </w:rPr>
            </w:pPr>
            <w:r>
              <w:rPr>
                <w:rFonts w:ascii="Calibri" w:cs="Calibri" w:eastAsia="Calibri" w:hAnsi="Calibri"/>
                <w:sz w:val="18"/>
                <w:szCs w:val="18"/>
                <w:color w:val="auto"/>
                <w:w w:val="97"/>
              </w:rPr>
              <w:t>$2.12</w:t>
            </w:r>
          </w:p>
        </w:tc>
        <w:tc>
          <w:tcPr>
            <w:tcW w:w="1020" w:type="dxa"/>
            <w:vAlign w:val="bottom"/>
            <w:shd w:val="clear" w:color="auto" w:fill="E5E5E5"/>
          </w:tcPr>
          <w:p>
            <w:pPr>
              <w:jc w:val="center"/>
              <w:spacing w:after="0"/>
              <w:rPr>
                <w:sz w:val="20"/>
                <w:szCs w:val="20"/>
                <w:color w:val="auto"/>
              </w:rPr>
            </w:pPr>
            <w:r>
              <w:rPr>
                <w:rFonts w:ascii="Calibri" w:cs="Calibri" w:eastAsia="Calibri" w:hAnsi="Calibri"/>
                <w:sz w:val="18"/>
                <w:szCs w:val="18"/>
                <w:color w:val="auto"/>
                <w:w w:val="99"/>
              </w:rPr>
              <w:t>200%</w:t>
            </w:r>
          </w:p>
        </w:tc>
      </w:tr>
      <w:tr>
        <w:trPr>
          <w:trHeight w:val="64"/>
        </w:trPr>
        <w:tc>
          <w:tcPr>
            <w:tcW w:w="3700" w:type="dxa"/>
            <w:vAlign w:val="bottom"/>
            <w:shd w:val="clear" w:color="auto" w:fill="E5E5E5"/>
          </w:tcPr>
          <w:p>
            <w:pPr>
              <w:spacing w:after="0"/>
              <w:rPr>
                <w:sz w:val="5"/>
                <w:szCs w:val="5"/>
                <w:color w:val="auto"/>
              </w:rPr>
            </w:pPr>
          </w:p>
        </w:tc>
        <w:tc>
          <w:tcPr>
            <w:tcW w:w="1620" w:type="dxa"/>
            <w:vAlign w:val="bottom"/>
            <w:shd w:val="clear" w:color="auto" w:fill="E5E5E5"/>
          </w:tcPr>
          <w:p>
            <w:pPr>
              <w:spacing w:after="0"/>
              <w:rPr>
                <w:sz w:val="5"/>
                <w:szCs w:val="5"/>
                <w:color w:val="auto"/>
              </w:rPr>
            </w:pPr>
          </w:p>
        </w:tc>
        <w:tc>
          <w:tcPr>
            <w:tcW w:w="1760" w:type="dxa"/>
            <w:vAlign w:val="bottom"/>
            <w:shd w:val="clear" w:color="auto" w:fill="E5E5E5"/>
          </w:tcPr>
          <w:p>
            <w:pPr>
              <w:spacing w:after="0"/>
              <w:rPr>
                <w:sz w:val="5"/>
                <w:szCs w:val="5"/>
                <w:color w:val="auto"/>
              </w:rPr>
            </w:pPr>
          </w:p>
        </w:tc>
        <w:tc>
          <w:tcPr>
            <w:tcW w:w="1620" w:type="dxa"/>
            <w:vAlign w:val="bottom"/>
            <w:shd w:val="clear" w:color="auto" w:fill="E5E5E5"/>
          </w:tcPr>
          <w:p>
            <w:pPr>
              <w:spacing w:after="0"/>
              <w:rPr>
                <w:sz w:val="5"/>
                <w:szCs w:val="5"/>
                <w:color w:val="auto"/>
              </w:rPr>
            </w:pPr>
          </w:p>
        </w:tc>
        <w:tc>
          <w:tcPr>
            <w:tcW w:w="1520" w:type="dxa"/>
            <w:vAlign w:val="bottom"/>
            <w:shd w:val="clear" w:color="auto" w:fill="E5E5E5"/>
          </w:tcPr>
          <w:p>
            <w:pPr>
              <w:spacing w:after="0"/>
              <w:rPr>
                <w:sz w:val="5"/>
                <w:szCs w:val="5"/>
                <w:color w:val="auto"/>
              </w:rPr>
            </w:pPr>
          </w:p>
        </w:tc>
        <w:tc>
          <w:tcPr>
            <w:tcW w:w="1020" w:type="dxa"/>
            <w:vAlign w:val="bottom"/>
            <w:shd w:val="clear" w:color="auto" w:fill="E5E5E5"/>
          </w:tcPr>
          <w:p>
            <w:pPr>
              <w:spacing w:after="0"/>
              <w:rPr>
                <w:sz w:val="5"/>
                <w:szCs w:val="5"/>
                <w:color w:val="auto"/>
              </w:rPr>
            </w:pPr>
          </w:p>
        </w:tc>
      </w:tr>
      <w:tr>
        <w:trPr>
          <w:trHeight w:val="273"/>
        </w:trPr>
        <w:tc>
          <w:tcPr>
            <w:tcW w:w="3700" w:type="dxa"/>
            <w:vAlign w:val="bottom"/>
          </w:tcPr>
          <w:p>
            <w:pPr>
              <w:ind w:left="120"/>
              <w:spacing w:after="0"/>
              <w:rPr>
                <w:sz w:val="20"/>
                <w:szCs w:val="20"/>
                <w:color w:val="auto"/>
              </w:rPr>
            </w:pPr>
            <w:r>
              <w:rPr>
                <w:rFonts w:ascii="Calibri" w:cs="Calibri" w:eastAsia="Calibri" w:hAnsi="Calibri"/>
                <w:sz w:val="18"/>
                <w:szCs w:val="18"/>
                <w:color w:val="auto"/>
              </w:rPr>
              <w:t>O&amp;M Target</w:t>
            </w:r>
          </w:p>
        </w:tc>
        <w:tc>
          <w:tcPr>
            <w:tcW w:w="1620" w:type="dxa"/>
            <w:vAlign w:val="bottom"/>
          </w:tcPr>
          <w:p>
            <w:pPr>
              <w:jc w:val="center"/>
              <w:ind w:left="10"/>
              <w:spacing w:after="0"/>
              <w:rPr>
                <w:sz w:val="20"/>
                <w:szCs w:val="20"/>
                <w:color w:val="auto"/>
              </w:rPr>
            </w:pPr>
            <w:r>
              <w:rPr>
                <w:rFonts w:ascii="Calibri" w:cs="Calibri" w:eastAsia="Calibri" w:hAnsi="Calibri"/>
                <w:sz w:val="18"/>
                <w:szCs w:val="18"/>
                <w:color w:val="auto"/>
                <w:w w:val="97"/>
              </w:rPr>
              <w:t>$416 million</w:t>
            </w:r>
          </w:p>
        </w:tc>
        <w:tc>
          <w:tcPr>
            <w:tcW w:w="1760" w:type="dxa"/>
            <w:vAlign w:val="bottom"/>
          </w:tcPr>
          <w:p>
            <w:pPr>
              <w:jc w:val="center"/>
              <w:spacing w:after="0"/>
              <w:rPr>
                <w:sz w:val="20"/>
                <w:szCs w:val="20"/>
                <w:color w:val="auto"/>
              </w:rPr>
            </w:pPr>
            <w:r>
              <w:rPr>
                <w:rFonts w:ascii="Calibri" w:cs="Calibri" w:eastAsia="Calibri" w:hAnsi="Calibri"/>
                <w:sz w:val="18"/>
                <w:szCs w:val="18"/>
                <w:color w:val="auto"/>
                <w:w w:val="97"/>
              </w:rPr>
              <w:t>$403 million</w:t>
            </w:r>
          </w:p>
        </w:tc>
        <w:tc>
          <w:tcPr>
            <w:tcW w:w="1620" w:type="dxa"/>
            <w:vAlign w:val="bottom"/>
          </w:tcPr>
          <w:p>
            <w:pPr>
              <w:jc w:val="center"/>
              <w:spacing w:after="0"/>
              <w:rPr>
                <w:sz w:val="20"/>
                <w:szCs w:val="20"/>
                <w:color w:val="auto"/>
              </w:rPr>
            </w:pPr>
            <w:r>
              <w:rPr>
                <w:rFonts w:ascii="Calibri" w:cs="Calibri" w:eastAsia="Calibri" w:hAnsi="Calibri"/>
                <w:sz w:val="18"/>
                <w:szCs w:val="18"/>
                <w:color w:val="auto"/>
                <w:w w:val="97"/>
              </w:rPr>
              <w:t>$390 million</w:t>
            </w:r>
          </w:p>
        </w:tc>
        <w:tc>
          <w:tcPr>
            <w:tcW w:w="1520" w:type="dxa"/>
            <w:vAlign w:val="bottom"/>
          </w:tcPr>
          <w:p>
            <w:pPr>
              <w:jc w:val="center"/>
              <w:spacing w:after="0"/>
              <w:rPr>
                <w:sz w:val="20"/>
                <w:szCs w:val="20"/>
                <w:color w:val="auto"/>
              </w:rPr>
            </w:pPr>
            <w:r>
              <w:rPr>
                <w:rFonts w:ascii="Calibri" w:cs="Calibri" w:eastAsia="Calibri" w:hAnsi="Calibri"/>
                <w:sz w:val="18"/>
                <w:szCs w:val="18"/>
                <w:color w:val="auto"/>
                <w:w w:val="96"/>
              </w:rPr>
              <w:t>$422.3 million</w:t>
            </w:r>
          </w:p>
        </w:tc>
        <w:tc>
          <w:tcPr>
            <w:tcW w:w="1020" w:type="dxa"/>
            <w:vAlign w:val="bottom"/>
          </w:tcPr>
          <w:p>
            <w:pPr>
              <w:jc w:val="center"/>
              <w:spacing w:after="0"/>
              <w:rPr>
                <w:sz w:val="20"/>
                <w:szCs w:val="20"/>
                <w:color w:val="auto"/>
              </w:rPr>
            </w:pPr>
            <w:r>
              <w:rPr>
                <w:rFonts w:ascii="Calibri" w:cs="Calibri" w:eastAsia="Calibri" w:hAnsi="Calibri"/>
                <w:sz w:val="18"/>
                <w:szCs w:val="18"/>
                <w:color w:val="auto"/>
                <w:w w:val="99"/>
              </w:rPr>
              <w:t>0%</w:t>
            </w:r>
          </w:p>
        </w:tc>
      </w:tr>
      <w:tr>
        <w:trPr>
          <w:trHeight w:val="64"/>
        </w:trPr>
        <w:tc>
          <w:tcPr>
            <w:tcW w:w="370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273"/>
        </w:trPr>
        <w:tc>
          <w:tcPr>
            <w:tcW w:w="3700" w:type="dxa"/>
            <w:vAlign w:val="bottom"/>
            <w:shd w:val="clear" w:color="auto" w:fill="E5E5E5"/>
          </w:tcPr>
          <w:p>
            <w:pPr>
              <w:ind w:left="120"/>
              <w:spacing w:after="0"/>
              <w:rPr>
                <w:sz w:val="20"/>
                <w:szCs w:val="20"/>
                <w:color w:val="auto"/>
              </w:rPr>
            </w:pPr>
            <w:r>
              <w:rPr>
                <w:rFonts w:ascii="Calibri" w:cs="Calibri" w:eastAsia="Calibri" w:hAnsi="Calibri"/>
                <w:sz w:val="18"/>
                <w:szCs w:val="18"/>
                <w:color w:val="auto"/>
              </w:rPr>
              <w:t>Safety Target (Recordable Incident Rate)</w:t>
            </w:r>
          </w:p>
        </w:tc>
        <w:tc>
          <w:tcPr>
            <w:tcW w:w="1620" w:type="dxa"/>
            <w:vAlign w:val="bottom"/>
            <w:shd w:val="clear" w:color="auto" w:fill="E5E5E5"/>
          </w:tcPr>
          <w:p>
            <w:pPr>
              <w:jc w:val="center"/>
              <w:ind w:left="10"/>
              <w:spacing w:after="0"/>
              <w:rPr>
                <w:sz w:val="20"/>
                <w:szCs w:val="20"/>
                <w:color w:val="auto"/>
              </w:rPr>
            </w:pPr>
            <w:r>
              <w:rPr>
                <w:rFonts w:ascii="Calibri" w:cs="Calibri" w:eastAsia="Calibri" w:hAnsi="Calibri"/>
                <w:sz w:val="18"/>
                <w:szCs w:val="18"/>
                <w:color w:val="auto"/>
                <w:w w:val="93"/>
              </w:rPr>
              <w:t>(A)</w:t>
            </w:r>
          </w:p>
        </w:tc>
        <w:tc>
          <w:tcPr>
            <w:tcW w:w="1760" w:type="dxa"/>
            <w:vAlign w:val="bottom"/>
            <w:shd w:val="clear" w:color="auto" w:fill="E5E5E5"/>
          </w:tcPr>
          <w:p>
            <w:pPr>
              <w:jc w:val="center"/>
              <w:spacing w:after="0"/>
              <w:rPr>
                <w:sz w:val="20"/>
                <w:szCs w:val="20"/>
                <w:color w:val="auto"/>
              </w:rPr>
            </w:pPr>
            <w:r>
              <w:rPr>
                <w:rFonts w:ascii="Calibri" w:cs="Calibri" w:eastAsia="Calibri" w:hAnsi="Calibri"/>
                <w:sz w:val="18"/>
                <w:szCs w:val="18"/>
                <w:color w:val="auto"/>
                <w:w w:val="93"/>
              </w:rPr>
              <w:t>(A)</w:t>
            </w:r>
          </w:p>
        </w:tc>
        <w:tc>
          <w:tcPr>
            <w:tcW w:w="1620" w:type="dxa"/>
            <w:vAlign w:val="bottom"/>
            <w:shd w:val="clear" w:color="auto" w:fill="E5E5E5"/>
          </w:tcPr>
          <w:p>
            <w:pPr>
              <w:jc w:val="center"/>
              <w:spacing w:after="0"/>
              <w:rPr>
                <w:sz w:val="20"/>
                <w:szCs w:val="20"/>
                <w:color w:val="auto"/>
              </w:rPr>
            </w:pPr>
            <w:r>
              <w:rPr>
                <w:rFonts w:ascii="Calibri" w:cs="Calibri" w:eastAsia="Calibri" w:hAnsi="Calibri"/>
                <w:sz w:val="18"/>
                <w:szCs w:val="18"/>
                <w:color w:val="auto"/>
              </w:rPr>
              <w:t>(A)</w:t>
            </w:r>
          </w:p>
        </w:tc>
        <w:tc>
          <w:tcPr>
            <w:tcW w:w="1520" w:type="dxa"/>
            <w:vAlign w:val="bottom"/>
            <w:shd w:val="clear" w:color="auto" w:fill="E5E5E5"/>
          </w:tcPr>
          <w:p>
            <w:pPr>
              <w:jc w:val="center"/>
              <w:spacing w:after="0"/>
              <w:rPr>
                <w:sz w:val="20"/>
                <w:szCs w:val="20"/>
                <w:color w:val="auto"/>
              </w:rPr>
            </w:pPr>
            <w:r>
              <w:rPr>
                <w:rFonts w:ascii="Calibri" w:cs="Calibri" w:eastAsia="Calibri" w:hAnsi="Calibri"/>
                <w:sz w:val="18"/>
                <w:szCs w:val="18"/>
                <w:color w:val="auto"/>
                <w:w w:val="93"/>
              </w:rPr>
              <w:t>(A)</w:t>
            </w:r>
          </w:p>
        </w:tc>
        <w:tc>
          <w:tcPr>
            <w:tcW w:w="1020" w:type="dxa"/>
            <w:vAlign w:val="bottom"/>
            <w:shd w:val="clear" w:color="auto" w:fill="E5E5E5"/>
          </w:tcPr>
          <w:p>
            <w:pPr>
              <w:jc w:val="center"/>
              <w:spacing w:after="0"/>
              <w:rPr>
                <w:sz w:val="20"/>
                <w:szCs w:val="20"/>
                <w:color w:val="auto"/>
              </w:rPr>
            </w:pPr>
            <w:r>
              <w:rPr>
                <w:rFonts w:ascii="Calibri" w:cs="Calibri" w:eastAsia="Calibri" w:hAnsi="Calibri"/>
                <w:sz w:val="18"/>
                <w:szCs w:val="18"/>
                <w:color w:val="auto"/>
                <w:w w:val="99"/>
              </w:rPr>
              <w:t>106%</w:t>
            </w:r>
          </w:p>
        </w:tc>
      </w:tr>
      <w:tr>
        <w:trPr>
          <w:trHeight w:val="64"/>
        </w:trPr>
        <w:tc>
          <w:tcPr>
            <w:tcW w:w="3700" w:type="dxa"/>
            <w:vAlign w:val="bottom"/>
            <w:shd w:val="clear" w:color="auto" w:fill="E5E5E5"/>
          </w:tcPr>
          <w:p>
            <w:pPr>
              <w:spacing w:after="0"/>
              <w:rPr>
                <w:sz w:val="5"/>
                <w:szCs w:val="5"/>
                <w:color w:val="auto"/>
              </w:rPr>
            </w:pPr>
          </w:p>
        </w:tc>
        <w:tc>
          <w:tcPr>
            <w:tcW w:w="1620" w:type="dxa"/>
            <w:vAlign w:val="bottom"/>
            <w:shd w:val="clear" w:color="auto" w:fill="E5E5E5"/>
          </w:tcPr>
          <w:p>
            <w:pPr>
              <w:spacing w:after="0"/>
              <w:rPr>
                <w:sz w:val="5"/>
                <w:szCs w:val="5"/>
                <w:color w:val="auto"/>
              </w:rPr>
            </w:pPr>
          </w:p>
        </w:tc>
        <w:tc>
          <w:tcPr>
            <w:tcW w:w="1760" w:type="dxa"/>
            <w:vAlign w:val="bottom"/>
            <w:shd w:val="clear" w:color="auto" w:fill="E5E5E5"/>
          </w:tcPr>
          <w:p>
            <w:pPr>
              <w:spacing w:after="0"/>
              <w:rPr>
                <w:sz w:val="5"/>
                <w:szCs w:val="5"/>
                <w:color w:val="auto"/>
              </w:rPr>
            </w:pPr>
          </w:p>
        </w:tc>
        <w:tc>
          <w:tcPr>
            <w:tcW w:w="1620" w:type="dxa"/>
            <w:vAlign w:val="bottom"/>
            <w:shd w:val="clear" w:color="auto" w:fill="E5E5E5"/>
          </w:tcPr>
          <w:p>
            <w:pPr>
              <w:spacing w:after="0"/>
              <w:rPr>
                <w:sz w:val="5"/>
                <w:szCs w:val="5"/>
                <w:color w:val="auto"/>
              </w:rPr>
            </w:pPr>
          </w:p>
        </w:tc>
        <w:tc>
          <w:tcPr>
            <w:tcW w:w="1520" w:type="dxa"/>
            <w:vAlign w:val="bottom"/>
            <w:shd w:val="clear" w:color="auto" w:fill="E5E5E5"/>
          </w:tcPr>
          <w:p>
            <w:pPr>
              <w:spacing w:after="0"/>
              <w:rPr>
                <w:sz w:val="5"/>
                <w:szCs w:val="5"/>
                <w:color w:val="auto"/>
              </w:rPr>
            </w:pPr>
          </w:p>
        </w:tc>
        <w:tc>
          <w:tcPr>
            <w:tcW w:w="1020" w:type="dxa"/>
            <w:vAlign w:val="bottom"/>
            <w:shd w:val="clear" w:color="auto" w:fill="E5E5E5"/>
          </w:tcPr>
          <w:p>
            <w:pPr>
              <w:spacing w:after="0"/>
              <w:rPr>
                <w:sz w:val="5"/>
                <w:szCs w:val="5"/>
                <w:color w:val="auto"/>
              </w:rPr>
            </w:pPr>
          </w:p>
        </w:tc>
      </w:tr>
      <w:tr>
        <w:trPr>
          <w:trHeight w:val="328"/>
        </w:trPr>
        <w:tc>
          <w:tcPr>
            <w:tcW w:w="3700" w:type="dxa"/>
            <w:vAlign w:val="bottom"/>
          </w:tcPr>
          <w:p>
            <w:pPr>
              <w:ind w:left="120"/>
              <w:spacing w:after="0"/>
              <w:rPr>
                <w:sz w:val="20"/>
                <w:szCs w:val="20"/>
                <w:color w:val="auto"/>
              </w:rPr>
            </w:pPr>
            <w:r>
              <w:rPr>
                <w:rFonts w:ascii="Calibri" w:cs="Calibri" w:eastAsia="Calibri" w:hAnsi="Calibri"/>
                <w:sz w:val="18"/>
                <w:szCs w:val="18"/>
                <w:color w:val="auto"/>
              </w:rPr>
              <w:t>Customer/Operatons Target (B)</w:t>
            </w:r>
          </w:p>
        </w:tc>
        <w:tc>
          <w:tcPr>
            <w:tcW w:w="16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64"/>
        </w:trPr>
        <w:tc>
          <w:tcPr>
            <w:tcW w:w="370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274"/>
        </w:trPr>
        <w:tc>
          <w:tcPr>
            <w:tcW w:w="3700" w:type="dxa"/>
            <w:vAlign w:val="bottom"/>
            <w:shd w:val="clear" w:color="auto" w:fill="E5E5E5"/>
          </w:tcPr>
          <w:p>
            <w:pPr>
              <w:ind w:left="240"/>
              <w:spacing w:after="0"/>
              <w:rPr>
                <w:sz w:val="20"/>
                <w:szCs w:val="20"/>
                <w:color w:val="auto"/>
              </w:rPr>
            </w:pPr>
            <w:r>
              <w:rPr>
                <w:rFonts w:ascii="Calibri" w:cs="Calibri" w:eastAsia="Calibri" w:hAnsi="Calibri"/>
                <w:sz w:val="18"/>
                <w:szCs w:val="18"/>
                <w:color w:val="auto"/>
              </w:rPr>
              <w:t>SAIDI (33%)</w:t>
            </w:r>
          </w:p>
        </w:tc>
        <w:tc>
          <w:tcPr>
            <w:tcW w:w="1620" w:type="dxa"/>
            <w:vAlign w:val="bottom"/>
            <w:shd w:val="clear" w:color="auto" w:fill="E5E5E5"/>
          </w:tcPr>
          <w:p>
            <w:pPr>
              <w:jc w:val="center"/>
              <w:ind w:left="10"/>
              <w:spacing w:after="0"/>
              <w:rPr>
                <w:sz w:val="20"/>
                <w:szCs w:val="20"/>
                <w:color w:val="auto"/>
              </w:rPr>
            </w:pPr>
            <w:r>
              <w:rPr>
                <w:rFonts w:ascii="Calibri" w:cs="Calibri" w:eastAsia="Calibri" w:hAnsi="Calibri"/>
                <w:sz w:val="18"/>
                <w:szCs w:val="18"/>
                <w:color w:val="auto"/>
                <w:w w:val="96"/>
              </w:rPr>
              <w:t>144 minutes</w:t>
            </w:r>
          </w:p>
        </w:tc>
        <w:tc>
          <w:tcPr>
            <w:tcW w:w="1760" w:type="dxa"/>
            <w:vAlign w:val="bottom"/>
            <w:shd w:val="clear" w:color="auto" w:fill="E5E5E5"/>
          </w:tcPr>
          <w:p>
            <w:pPr>
              <w:jc w:val="center"/>
              <w:spacing w:after="0"/>
              <w:rPr>
                <w:sz w:val="20"/>
                <w:szCs w:val="20"/>
                <w:color w:val="auto"/>
              </w:rPr>
            </w:pPr>
            <w:r>
              <w:rPr>
                <w:rFonts w:ascii="Calibri" w:cs="Calibri" w:eastAsia="Calibri" w:hAnsi="Calibri"/>
                <w:sz w:val="18"/>
                <w:szCs w:val="18"/>
                <w:color w:val="auto"/>
                <w:w w:val="96"/>
              </w:rPr>
              <w:t>128 minutes</w:t>
            </w:r>
          </w:p>
        </w:tc>
        <w:tc>
          <w:tcPr>
            <w:tcW w:w="1620" w:type="dxa"/>
            <w:vAlign w:val="bottom"/>
            <w:shd w:val="clear" w:color="auto" w:fill="E5E5E5"/>
          </w:tcPr>
          <w:p>
            <w:pPr>
              <w:jc w:val="center"/>
              <w:spacing w:after="0"/>
              <w:rPr>
                <w:sz w:val="20"/>
                <w:szCs w:val="20"/>
                <w:color w:val="auto"/>
              </w:rPr>
            </w:pPr>
            <w:r>
              <w:rPr>
                <w:rFonts w:ascii="Calibri" w:cs="Calibri" w:eastAsia="Calibri" w:hAnsi="Calibri"/>
                <w:sz w:val="18"/>
                <w:szCs w:val="18"/>
                <w:color w:val="auto"/>
                <w:w w:val="98"/>
              </w:rPr>
              <w:t>114 minutes</w:t>
            </w:r>
          </w:p>
        </w:tc>
        <w:tc>
          <w:tcPr>
            <w:tcW w:w="1520" w:type="dxa"/>
            <w:vAlign w:val="bottom"/>
            <w:shd w:val="clear" w:color="auto" w:fill="E5E5E5"/>
          </w:tcPr>
          <w:p>
            <w:pPr>
              <w:jc w:val="center"/>
              <w:spacing w:after="0"/>
              <w:rPr>
                <w:sz w:val="20"/>
                <w:szCs w:val="20"/>
                <w:color w:val="auto"/>
              </w:rPr>
            </w:pPr>
            <w:r>
              <w:rPr>
                <w:rFonts w:ascii="Calibri" w:cs="Calibri" w:eastAsia="Calibri" w:hAnsi="Calibri"/>
                <w:sz w:val="18"/>
                <w:szCs w:val="18"/>
                <w:color w:val="auto"/>
                <w:w w:val="97"/>
              </w:rPr>
              <w:t>(C)</w:t>
            </w:r>
          </w:p>
        </w:tc>
        <w:tc>
          <w:tcPr>
            <w:tcW w:w="1020" w:type="dxa"/>
            <w:vAlign w:val="bottom"/>
            <w:shd w:val="clear" w:color="auto" w:fill="E5E5E5"/>
          </w:tcPr>
          <w:p>
            <w:pPr>
              <w:jc w:val="center"/>
              <w:spacing w:after="0"/>
              <w:rPr>
                <w:sz w:val="20"/>
                <w:szCs w:val="20"/>
                <w:color w:val="auto"/>
              </w:rPr>
            </w:pPr>
            <w:r>
              <w:rPr>
                <w:rFonts w:ascii="Calibri" w:cs="Calibri" w:eastAsia="Calibri" w:hAnsi="Calibri"/>
                <w:sz w:val="18"/>
                <w:szCs w:val="18"/>
                <w:color w:val="auto"/>
                <w:w w:val="99"/>
              </w:rPr>
              <w:t>100%</w:t>
            </w:r>
          </w:p>
        </w:tc>
      </w:tr>
      <w:tr>
        <w:trPr>
          <w:trHeight w:val="64"/>
        </w:trPr>
        <w:tc>
          <w:tcPr>
            <w:tcW w:w="3700" w:type="dxa"/>
            <w:vAlign w:val="bottom"/>
            <w:shd w:val="clear" w:color="auto" w:fill="E5E5E5"/>
          </w:tcPr>
          <w:p>
            <w:pPr>
              <w:spacing w:after="0"/>
              <w:rPr>
                <w:sz w:val="5"/>
                <w:szCs w:val="5"/>
                <w:color w:val="auto"/>
              </w:rPr>
            </w:pPr>
          </w:p>
        </w:tc>
        <w:tc>
          <w:tcPr>
            <w:tcW w:w="1620" w:type="dxa"/>
            <w:vAlign w:val="bottom"/>
            <w:shd w:val="clear" w:color="auto" w:fill="E5E5E5"/>
          </w:tcPr>
          <w:p>
            <w:pPr>
              <w:spacing w:after="0"/>
              <w:rPr>
                <w:sz w:val="5"/>
                <w:szCs w:val="5"/>
                <w:color w:val="auto"/>
              </w:rPr>
            </w:pPr>
          </w:p>
        </w:tc>
        <w:tc>
          <w:tcPr>
            <w:tcW w:w="1760" w:type="dxa"/>
            <w:vAlign w:val="bottom"/>
            <w:shd w:val="clear" w:color="auto" w:fill="E5E5E5"/>
          </w:tcPr>
          <w:p>
            <w:pPr>
              <w:spacing w:after="0"/>
              <w:rPr>
                <w:sz w:val="5"/>
                <w:szCs w:val="5"/>
                <w:color w:val="auto"/>
              </w:rPr>
            </w:pPr>
          </w:p>
        </w:tc>
        <w:tc>
          <w:tcPr>
            <w:tcW w:w="1620" w:type="dxa"/>
            <w:vAlign w:val="bottom"/>
            <w:shd w:val="clear" w:color="auto" w:fill="E5E5E5"/>
          </w:tcPr>
          <w:p>
            <w:pPr>
              <w:spacing w:after="0"/>
              <w:rPr>
                <w:sz w:val="5"/>
                <w:szCs w:val="5"/>
                <w:color w:val="auto"/>
              </w:rPr>
            </w:pPr>
          </w:p>
        </w:tc>
        <w:tc>
          <w:tcPr>
            <w:tcW w:w="1520" w:type="dxa"/>
            <w:vAlign w:val="bottom"/>
            <w:shd w:val="clear" w:color="auto" w:fill="E5E5E5"/>
          </w:tcPr>
          <w:p>
            <w:pPr>
              <w:spacing w:after="0"/>
              <w:rPr>
                <w:sz w:val="5"/>
                <w:szCs w:val="5"/>
                <w:color w:val="auto"/>
              </w:rPr>
            </w:pPr>
          </w:p>
        </w:tc>
        <w:tc>
          <w:tcPr>
            <w:tcW w:w="1020" w:type="dxa"/>
            <w:vAlign w:val="bottom"/>
            <w:shd w:val="clear" w:color="auto" w:fill="E5E5E5"/>
          </w:tcPr>
          <w:p>
            <w:pPr>
              <w:spacing w:after="0"/>
              <w:rPr>
                <w:sz w:val="5"/>
                <w:szCs w:val="5"/>
                <w:color w:val="auto"/>
              </w:rPr>
            </w:pPr>
          </w:p>
        </w:tc>
      </w:tr>
      <w:tr>
        <w:trPr>
          <w:trHeight w:val="274"/>
        </w:trPr>
        <w:tc>
          <w:tcPr>
            <w:tcW w:w="3700" w:type="dxa"/>
            <w:vAlign w:val="bottom"/>
          </w:tcPr>
          <w:p>
            <w:pPr>
              <w:ind w:left="240"/>
              <w:spacing w:after="0"/>
              <w:rPr>
                <w:sz w:val="20"/>
                <w:szCs w:val="20"/>
                <w:color w:val="auto"/>
              </w:rPr>
            </w:pPr>
            <w:r>
              <w:rPr>
                <w:rFonts w:ascii="Calibri" w:cs="Calibri" w:eastAsia="Calibri" w:hAnsi="Calibri"/>
                <w:sz w:val="18"/>
                <w:szCs w:val="18"/>
                <w:color w:val="auto"/>
              </w:rPr>
              <w:t>Escalent Surveys</w:t>
            </w:r>
          </w:p>
        </w:tc>
        <w:tc>
          <w:tcPr>
            <w:tcW w:w="16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64"/>
        </w:trPr>
        <w:tc>
          <w:tcPr>
            <w:tcW w:w="370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318"/>
        </w:trPr>
        <w:tc>
          <w:tcPr>
            <w:tcW w:w="3700" w:type="dxa"/>
            <w:vAlign w:val="bottom"/>
            <w:tcBorders>
              <w:bottom w:val="single" w:sz="8" w:color="E5E5E5"/>
            </w:tcBorders>
            <w:shd w:val="clear" w:color="auto" w:fill="E5E5E5"/>
          </w:tcPr>
          <w:p>
            <w:pPr>
              <w:ind w:left="340"/>
              <w:spacing w:after="0"/>
              <w:rPr>
                <w:sz w:val="20"/>
                <w:szCs w:val="20"/>
                <w:color w:val="auto"/>
              </w:rPr>
            </w:pPr>
            <w:r>
              <w:rPr>
                <w:rFonts w:ascii="Calibri" w:cs="Calibri" w:eastAsia="Calibri" w:hAnsi="Calibri"/>
                <w:sz w:val="18"/>
                <w:szCs w:val="18"/>
                <w:color w:val="auto"/>
              </w:rPr>
              <w:t>Cogent Syndicated Residental Score (17%)</w:t>
            </w:r>
          </w:p>
        </w:tc>
        <w:tc>
          <w:tcPr>
            <w:tcW w:w="1620" w:type="dxa"/>
            <w:vAlign w:val="bottom"/>
            <w:tcBorders>
              <w:bottom w:val="single" w:sz="8" w:color="E5E5E5"/>
            </w:tcBorders>
            <w:shd w:val="clear" w:color="auto" w:fill="E5E5E5"/>
          </w:tcPr>
          <w:p>
            <w:pPr>
              <w:jc w:val="center"/>
              <w:ind w:left="10"/>
              <w:spacing w:after="0"/>
              <w:rPr>
                <w:sz w:val="20"/>
                <w:szCs w:val="20"/>
                <w:color w:val="auto"/>
              </w:rPr>
            </w:pPr>
            <w:r>
              <w:rPr>
                <w:rFonts w:ascii="Calibri" w:cs="Calibri" w:eastAsia="Calibri" w:hAnsi="Calibri"/>
                <w:sz w:val="18"/>
                <w:szCs w:val="18"/>
                <w:color w:val="auto"/>
                <w:w w:val="98"/>
              </w:rPr>
              <w:t>50</w:t>
            </w:r>
            <w:r>
              <w:rPr>
                <w:rFonts w:ascii="Calibri" w:cs="Calibri" w:eastAsia="Calibri" w:hAnsi="Calibri"/>
                <w:sz w:val="24"/>
                <w:szCs w:val="24"/>
                <w:color w:val="auto"/>
                <w:w w:val="98"/>
                <w:vertAlign w:val="superscript"/>
              </w:rPr>
              <w:t>th</w:t>
            </w:r>
            <w:r>
              <w:rPr>
                <w:rFonts w:ascii="Calibri" w:cs="Calibri" w:eastAsia="Calibri" w:hAnsi="Calibri"/>
                <w:sz w:val="18"/>
                <w:szCs w:val="18"/>
                <w:color w:val="auto"/>
                <w:w w:val="98"/>
              </w:rPr>
              <w:t xml:space="preserve"> percentle</w:t>
            </w:r>
          </w:p>
        </w:tc>
        <w:tc>
          <w:tcPr>
            <w:tcW w:w="1760" w:type="dxa"/>
            <w:vAlign w:val="bottom"/>
            <w:tcBorders>
              <w:bottom w:val="single" w:sz="8" w:color="E5E5E5"/>
            </w:tcBorders>
            <w:shd w:val="clear" w:color="auto" w:fill="E5E5E5"/>
          </w:tcPr>
          <w:p>
            <w:pPr>
              <w:jc w:val="center"/>
              <w:spacing w:after="0"/>
              <w:rPr>
                <w:sz w:val="20"/>
                <w:szCs w:val="20"/>
                <w:color w:val="auto"/>
              </w:rPr>
            </w:pPr>
            <w:r>
              <w:rPr>
                <w:rFonts w:ascii="Calibri" w:cs="Calibri" w:eastAsia="Calibri" w:hAnsi="Calibri"/>
                <w:sz w:val="18"/>
                <w:szCs w:val="18"/>
                <w:color w:val="auto"/>
                <w:w w:val="97"/>
              </w:rPr>
              <w:t>66.67</w:t>
            </w:r>
            <w:r>
              <w:rPr>
                <w:rFonts w:ascii="Calibri" w:cs="Calibri" w:eastAsia="Calibri" w:hAnsi="Calibri"/>
                <w:sz w:val="24"/>
                <w:szCs w:val="24"/>
                <w:color w:val="auto"/>
                <w:w w:val="97"/>
                <w:vertAlign w:val="superscript"/>
              </w:rPr>
              <w:t>th</w:t>
            </w:r>
            <w:r>
              <w:rPr>
                <w:rFonts w:ascii="Calibri" w:cs="Calibri" w:eastAsia="Calibri" w:hAnsi="Calibri"/>
                <w:sz w:val="18"/>
                <w:szCs w:val="18"/>
                <w:color w:val="auto"/>
                <w:w w:val="97"/>
              </w:rPr>
              <w:t xml:space="preserve"> percentle</w:t>
            </w:r>
          </w:p>
        </w:tc>
        <w:tc>
          <w:tcPr>
            <w:tcW w:w="1620" w:type="dxa"/>
            <w:vAlign w:val="bottom"/>
            <w:tcBorders>
              <w:bottom w:val="single" w:sz="8" w:color="E5E5E5"/>
            </w:tcBorders>
            <w:shd w:val="clear" w:color="auto" w:fill="E5E5E5"/>
          </w:tcPr>
          <w:p>
            <w:pPr>
              <w:jc w:val="center"/>
              <w:spacing w:after="0"/>
              <w:rPr>
                <w:sz w:val="20"/>
                <w:szCs w:val="20"/>
                <w:color w:val="auto"/>
              </w:rPr>
            </w:pPr>
            <w:r>
              <w:rPr>
                <w:rFonts w:ascii="Calibri" w:cs="Calibri" w:eastAsia="Calibri" w:hAnsi="Calibri"/>
                <w:sz w:val="18"/>
                <w:szCs w:val="18"/>
                <w:color w:val="auto"/>
                <w:w w:val="99"/>
              </w:rPr>
              <w:t>100</w:t>
            </w:r>
            <w:r>
              <w:rPr>
                <w:rFonts w:ascii="Calibri" w:cs="Calibri" w:eastAsia="Calibri" w:hAnsi="Calibri"/>
                <w:sz w:val="24"/>
                <w:szCs w:val="24"/>
                <w:color w:val="auto"/>
                <w:w w:val="99"/>
                <w:vertAlign w:val="superscript"/>
              </w:rPr>
              <w:t>th</w:t>
            </w:r>
            <w:r>
              <w:rPr>
                <w:rFonts w:ascii="Calibri" w:cs="Calibri" w:eastAsia="Calibri" w:hAnsi="Calibri"/>
                <w:sz w:val="18"/>
                <w:szCs w:val="18"/>
                <w:color w:val="auto"/>
                <w:w w:val="99"/>
              </w:rPr>
              <w:t xml:space="preserve"> percentle</w:t>
            </w:r>
          </w:p>
        </w:tc>
        <w:tc>
          <w:tcPr>
            <w:tcW w:w="1520" w:type="dxa"/>
            <w:vAlign w:val="bottom"/>
            <w:tcBorders>
              <w:bottom w:val="single" w:sz="8" w:color="E5E5E5"/>
            </w:tcBorders>
            <w:shd w:val="clear" w:color="auto" w:fill="E5E5E5"/>
          </w:tcPr>
          <w:p>
            <w:pPr>
              <w:jc w:val="center"/>
              <w:spacing w:after="0"/>
              <w:rPr>
                <w:sz w:val="20"/>
                <w:szCs w:val="20"/>
                <w:color w:val="auto"/>
              </w:rPr>
            </w:pPr>
            <w:r>
              <w:rPr>
                <w:rFonts w:ascii="Calibri" w:cs="Calibri" w:eastAsia="Calibri" w:hAnsi="Calibri"/>
                <w:sz w:val="18"/>
                <w:szCs w:val="18"/>
                <w:color w:val="auto"/>
                <w:w w:val="95"/>
              </w:rPr>
              <w:t>Did not meet</w:t>
            </w:r>
          </w:p>
        </w:tc>
        <w:tc>
          <w:tcPr>
            <w:tcW w:w="1020" w:type="dxa"/>
            <w:vAlign w:val="bottom"/>
            <w:tcBorders>
              <w:bottom w:val="single" w:sz="8" w:color="E5E5E5"/>
            </w:tcBorders>
            <w:shd w:val="clear" w:color="auto" w:fill="E5E5E5"/>
          </w:tcPr>
          <w:p>
            <w:pPr>
              <w:jc w:val="center"/>
              <w:spacing w:after="0"/>
              <w:rPr>
                <w:sz w:val="20"/>
                <w:szCs w:val="20"/>
                <w:color w:val="auto"/>
              </w:rPr>
            </w:pPr>
            <w:r>
              <w:rPr>
                <w:rFonts w:ascii="Calibri" w:cs="Calibri" w:eastAsia="Calibri" w:hAnsi="Calibri"/>
                <w:sz w:val="18"/>
                <w:szCs w:val="18"/>
                <w:color w:val="auto"/>
                <w:w w:val="99"/>
              </w:rPr>
              <w:t>0%</w:t>
            </w:r>
          </w:p>
        </w:tc>
      </w:tr>
      <w:tr>
        <w:trPr>
          <w:trHeight w:val="314"/>
        </w:trPr>
        <w:tc>
          <w:tcPr>
            <w:tcW w:w="3700" w:type="dxa"/>
            <w:vAlign w:val="bottom"/>
          </w:tcPr>
          <w:p>
            <w:pPr>
              <w:ind w:left="300"/>
              <w:spacing w:after="0"/>
              <w:rPr>
                <w:sz w:val="20"/>
                <w:szCs w:val="20"/>
                <w:color w:val="auto"/>
              </w:rPr>
            </w:pPr>
            <w:r>
              <w:rPr>
                <w:rFonts w:ascii="Calibri" w:cs="Calibri" w:eastAsia="Calibri" w:hAnsi="Calibri"/>
                <w:sz w:val="18"/>
                <w:szCs w:val="18"/>
                <w:color w:val="auto"/>
              </w:rPr>
              <w:t>Cogent Syndicated Business Score  (17%)</w:t>
            </w:r>
          </w:p>
        </w:tc>
        <w:tc>
          <w:tcPr>
            <w:tcW w:w="1620" w:type="dxa"/>
            <w:vAlign w:val="bottom"/>
          </w:tcPr>
          <w:p>
            <w:pPr>
              <w:jc w:val="center"/>
              <w:ind w:left="10"/>
              <w:spacing w:after="0"/>
              <w:rPr>
                <w:sz w:val="20"/>
                <w:szCs w:val="20"/>
                <w:color w:val="auto"/>
              </w:rPr>
            </w:pPr>
            <w:r>
              <w:rPr>
                <w:rFonts w:ascii="Calibri" w:cs="Calibri" w:eastAsia="Calibri" w:hAnsi="Calibri"/>
                <w:sz w:val="18"/>
                <w:szCs w:val="18"/>
                <w:color w:val="auto"/>
                <w:w w:val="98"/>
              </w:rPr>
              <w:t>50</w:t>
            </w:r>
            <w:r>
              <w:rPr>
                <w:rFonts w:ascii="Calibri" w:cs="Calibri" w:eastAsia="Calibri" w:hAnsi="Calibri"/>
                <w:sz w:val="24"/>
                <w:szCs w:val="24"/>
                <w:color w:val="auto"/>
                <w:w w:val="98"/>
                <w:vertAlign w:val="superscript"/>
              </w:rPr>
              <w:t>th</w:t>
            </w:r>
            <w:r>
              <w:rPr>
                <w:rFonts w:ascii="Calibri" w:cs="Calibri" w:eastAsia="Calibri" w:hAnsi="Calibri"/>
                <w:sz w:val="18"/>
                <w:szCs w:val="18"/>
                <w:color w:val="auto"/>
                <w:w w:val="98"/>
              </w:rPr>
              <w:t xml:space="preserve"> percentle</w:t>
            </w:r>
          </w:p>
        </w:tc>
        <w:tc>
          <w:tcPr>
            <w:tcW w:w="1760" w:type="dxa"/>
            <w:vAlign w:val="bottom"/>
          </w:tcPr>
          <w:p>
            <w:pPr>
              <w:jc w:val="center"/>
              <w:spacing w:after="0"/>
              <w:rPr>
                <w:sz w:val="20"/>
                <w:szCs w:val="20"/>
                <w:color w:val="auto"/>
              </w:rPr>
            </w:pPr>
            <w:r>
              <w:rPr>
                <w:rFonts w:ascii="Calibri" w:cs="Calibri" w:eastAsia="Calibri" w:hAnsi="Calibri"/>
                <w:sz w:val="18"/>
                <w:szCs w:val="18"/>
                <w:color w:val="auto"/>
                <w:w w:val="97"/>
              </w:rPr>
              <w:t>66.67</w:t>
            </w:r>
            <w:r>
              <w:rPr>
                <w:rFonts w:ascii="Calibri" w:cs="Calibri" w:eastAsia="Calibri" w:hAnsi="Calibri"/>
                <w:sz w:val="24"/>
                <w:szCs w:val="24"/>
                <w:color w:val="auto"/>
                <w:w w:val="97"/>
                <w:vertAlign w:val="superscript"/>
              </w:rPr>
              <w:t>th</w:t>
            </w:r>
            <w:r>
              <w:rPr>
                <w:rFonts w:ascii="Calibri" w:cs="Calibri" w:eastAsia="Calibri" w:hAnsi="Calibri"/>
                <w:sz w:val="18"/>
                <w:szCs w:val="18"/>
                <w:color w:val="auto"/>
                <w:w w:val="97"/>
              </w:rPr>
              <w:t xml:space="preserve"> percentle</w:t>
            </w:r>
          </w:p>
        </w:tc>
        <w:tc>
          <w:tcPr>
            <w:tcW w:w="1620" w:type="dxa"/>
            <w:vAlign w:val="bottom"/>
          </w:tcPr>
          <w:p>
            <w:pPr>
              <w:jc w:val="center"/>
              <w:spacing w:after="0"/>
              <w:rPr>
                <w:sz w:val="20"/>
                <w:szCs w:val="20"/>
                <w:color w:val="auto"/>
              </w:rPr>
            </w:pPr>
            <w:r>
              <w:rPr>
                <w:rFonts w:ascii="Calibri" w:cs="Calibri" w:eastAsia="Calibri" w:hAnsi="Calibri"/>
                <w:sz w:val="18"/>
                <w:szCs w:val="18"/>
                <w:color w:val="auto"/>
                <w:w w:val="99"/>
              </w:rPr>
              <w:t>100</w:t>
            </w:r>
            <w:r>
              <w:rPr>
                <w:rFonts w:ascii="Calibri" w:cs="Calibri" w:eastAsia="Calibri" w:hAnsi="Calibri"/>
                <w:sz w:val="24"/>
                <w:szCs w:val="24"/>
                <w:color w:val="auto"/>
                <w:w w:val="99"/>
                <w:vertAlign w:val="superscript"/>
              </w:rPr>
              <w:t>th</w:t>
            </w:r>
            <w:r>
              <w:rPr>
                <w:rFonts w:ascii="Calibri" w:cs="Calibri" w:eastAsia="Calibri" w:hAnsi="Calibri"/>
                <w:sz w:val="18"/>
                <w:szCs w:val="18"/>
                <w:color w:val="auto"/>
                <w:w w:val="99"/>
              </w:rPr>
              <w:t xml:space="preserve"> percentle</w:t>
            </w:r>
          </w:p>
        </w:tc>
        <w:tc>
          <w:tcPr>
            <w:tcW w:w="1520" w:type="dxa"/>
            <w:vAlign w:val="bottom"/>
          </w:tcPr>
          <w:p>
            <w:pPr>
              <w:jc w:val="center"/>
              <w:spacing w:after="0"/>
              <w:rPr>
                <w:sz w:val="20"/>
                <w:szCs w:val="20"/>
                <w:color w:val="auto"/>
              </w:rPr>
            </w:pPr>
            <w:r>
              <w:rPr>
                <w:rFonts w:ascii="Calibri" w:cs="Calibri" w:eastAsia="Calibri" w:hAnsi="Calibri"/>
                <w:sz w:val="18"/>
                <w:szCs w:val="18"/>
                <w:color w:val="auto"/>
                <w:w w:val="95"/>
              </w:rPr>
              <w:t>Did not meet</w:t>
            </w:r>
          </w:p>
        </w:tc>
        <w:tc>
          <w:tcPr>
            <w:tcW w:w="1020" w:type="dxa"/>
            <w:vAlign w:val="bottom"/>
          </w:tcPr>
          <w:p>
            <w:pPr>
              <w:jc w:val="center"/>
              <w:spacing w:after="0"/>
              <w:rPr>
                <w:sz w:val="20"/>
                <w:szCs w:val="20"/>
                <w:color w:val="auto"/>
              </w:rPr>
            </w:pPr>
            <w:r>
              <w:rPr>
                <w:rFonts w:ascii="Calibri" w:cs="Calibri" w:eastAsia="Calibri" w:hAnsi="Calibri"/>
                <w:sz w:val="18"/>
                <w:szCs w:val="18"/>
                <w:color w:val="auto"/>
                <w:w w:val="99"/>
              </w:rPr>
              <w:t>0%</w:t>
            </w:r>
          </w:p>
        </w:tc>
      </w:tr>
      <w:tr>
        <w:trPr>
          <w:trHeight w:val="23"/>
        </w:trPr>
        <w:tc>
          <w:tcPr>
            <w:tcW w:w="37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3"/>
        </w:trPr>
        <w:tc>
          <w:tcPr>
            <w:tcW w:w="3700" w:type="dxa"/>
            <w:vAlign w:val="bottom"/>
            <w:shd w:val="clear" w:color="auto" w:fill="E5E5E5"/>
          </w:tcPr>
          <w:p>
            <w:pPr>
              <w:ind w:left="240"/>
              <w:spacing w:after="0"/>
              <w:rPr>
                <w:sz w:val="20"/>
                <w:szCs w:val="20"/>
                <w:color w:val="auto"/>
              </w:rPr>
            </w:pPr>
            <w:r>
              <w:rPr>
                <w:rFonts w:ascii="Calibri" w:cs="Calibri" w:eastAsia="Calibri" w:hAnsi="Calibri"/>
                <w:sz w:val="18"/>
                <w:szCs w:val="18"/>
                <w:color w:val="auto"/>
              </w:rPr>
              <w:t>Equivalent Forced Outage Rate (33%)</w:t>
            </w:r>
          </w:p>
        </w:tc>
        <w:tc>
          <w:tcPr>
            <w:tcW w:w="1620" w:type="dxa"/>
            <w:vAlign w:val="bottom"/>
            <w:shd w:val="clear" w:color="auto" w:fill="E5E5E5"/>
          </w:tcPr>
          <w:p>
            <w:pPr>
              <w:jc w:val="center"/>
              <w:ind w:left="30"/>
              <w:spacing w:after="0"/>
              <w:rPr>
                <w:sz w:val="20"/>
                <w:szCs w:val="20"/>
                <w:color w:val="auto"/>
              </w:rPr>
            </w:pPr>
            <w:r>
              <w:rPr>
                <w:rFonts w:ascii="Calibri" w:cs="Calibri" w:eastAsia="Calibri" w:hAnsi="Calibri"/>
                <w:sz w:val="18"/>
                <w:szCs w:val="18"/>
                <w:color w:val="auto"/>
                <w:w w:val="99"/>
              </w:rPr>
              <w:t>(D)</w:t>
            </w:r>
          </w:p>
        </w:tc>
        <w:tc>
          <w:tcPr>
            <w:tcW w:w="1760" w:type="dxa"/>
            <w:vAlign w:val="bottom"/>
            <w:shd w:val="clear" w:color="auto" w:fill="E5E5E5"/>
          </w:tcPr>
          <w:p>
            <w:pPr>
              <w:jc w:val="center"/>
              <w:spacing w:after="0"/>
              <w:rPr>
                <w:sz w:val="20"/>
                <w:szCs w:val="20"/>
                <w:color w:val="auto"/>
              </w:rPr>
            </w:pPr>
            <w:r>
              <w:rPr>
                <w:rFonts w:ascii="Calibri" w:cs="Calibri" w:eastAsia="Calibri" w:hAnsi="Calibri"/>
                <w:sz w:val="18"/>
                <w:szCs w:val="18"/>
                <w:color w:val="auto"/>
                <w:w w:val="99"/>
              </w:rPr>
              <w:t>(D)</w:t>
            </w:r>
          </w:p>
        </w:tc>
        <w:tc>
          <w:tcPr>
            <w:tcW w:w="1620" w:type="dxa"/>
            <w:vAlign w:val="bottom"/>
            <w:shd w:val="clear" w:color="auto" w:fill="E5E5E5"/>
          </w:tcPr>
          <w:p>
            <w:pPr>
              <w:jc w:val="center"/>
              <w:spacing w:after="0"/>
              <w:rPr>
                <w:sz w:val="20"/>
                <w:szCs w:val="20"/>
                <w:color w:val="auto"/>
              </w:rPr>
            </w:pPr>
            <w:r>
              <w:rPr>
                <w:rFonts w:ascii="Calibri" w:cs="Calibri" w:eastAsia="Calibri" w:hAnsi="Calibri"/>
                <w:sz w:val="18"/>
                <w:szCs w:val="18"/>
                <w:color w:val="auto"/>
                <w:w w:val="99"/>
              </w:rPr>
              <w:t>(D)</w:t>
            </w:r>
          </w:p>
        </w:tc>
        <w:tc>
          <w:tcPr>
            <w:tcW w:w="1520" w:type="dxa"/>
            <w:vAlign w:val="bottom"/>
            <w:shd w:val="clear" w:color="auto" w:fill="E5E5E5"/>
          </w:tcPr>
          <w:p>
            <w:pPr>
              <w:jc w:val="center"/>
              <w:spacing w:after="0"/>
              <w:rPr>
                <w:sz w:val="20"/>
                <w:szCs w:val="20"/>
                <w:color w:val="auto"/>
              </w:rPr>
            </w:pPr>
            <w:r>
              <w:rPr>
                <w:rFonts w:ascii="Calibri" w:cs="Calibri" w:eastAsia="Calibri" w:hAnsi="Calibri"/>
                <w:sz w:val="18"/>
                <w:szCs w:val="18"/>
                <w:color w:val="auto"/>
                <w:w w:val="90"/>
              </w:rPr>
              <w:t>(D)</w:t>
            </w:r>
          </w:p>
        </w:tc>
        <w:tc>
          <w:tcPr>
            <w:tcW w:w="1020" w:type="dxa"/>
            <w:vAlign w:val="bottom"/>
            <w:shd w:val="clear" w:color="auto" w:fill="E5E5E5"/>
          </w:tcPr>
          <w:p>
            <w:pPr>
              <w:jc w:val="center"/>
              <w:spacing w:after="0"/>
              <w:rPr>
                <w:sz w:val="20"/>
                <w:szCs w:val="20"/>
                <w:color w:val="auto"/>
              </w:rPr>
            </w:pPr>
            <w:r>
              <w:rPr>
                <w:rFonts w:ascii="Calibri" w:cs="Calibri" w:eastAsia="Calibri" w:hAnsi="Calibri"/>
                <w:sz w:val="18"/>
                <w:szCs w:val="18"/>
                <w:color w:val="auto"/>
                <w:w w:val="99"/>
              </w:rPr>
              <w:t>115%</w:t>
            </w:r>
          </w:p>
        </w:tc>
      </w:tr>
      <w:tr>
        <w:trPr>
          <w:trHeight w:val="64"/>
        </w:trPr>
        <w:tc>
          <w:tcPr>
            <w:tcW w:w="3700" w:type="dxa"/>
            <w:vAlign w:val="bottom"/>
            <w:shd w:val="clear" w:color="auto" w:fill="E5E5E5"/>
          </w:tcPr>
          <w:p>
            <w:pPr>
              <w:spacing w:after="0"/>
              <w:rPr>
                <w:sz w:val="5"/>
                <w:szCs w:val="5"/>
                <w:color w:val="auto"/>
              </w:rPr>
            </w:pPr>
          </w:p>
        </w:tc>
        <w:tc>
          <w:tcPr>
            <w:tcW w:w="1620" w:type="dxa"/>
            <w:vAlign w:val="bottom"/>
            <w:shd w:val="clear" w:color="auto" w:fill="E5E5E5"/>
          </w:tcPr>
          <w:p>
            <w:pPr>
              <w:spacing w:after="0"/>
              <w:rPr>
                <w:sz w:val="5"/>
                <w:szCs w:val="5"/>
                <w:color w:val="auto"/>
              </w:rPr>
            </w:pPr>
          </w:p>
        </w:tc>
        <w:tc>
          <w:tcPr>
            <w:tcW w:w="1760" w:type="dxa"/>
            <w:vAlign w:val="bottom"/>
            <w:shd w:val="clear" w:color="auto" w:fill="E5E5E5"/>
          </w:tcPr>
          <w:p>
            <w:pPr>
              <w:spacing w:after="0"/>
              <w:rPr>
                <w:sz w:val="5"/>
                <w:szCs w:val="5"/>
                <w:color w:val="auto"/>
              </w:rPr>
            </w:pPr>
          </w:p>
        </w:tc>
        <w:tc>
          <w:tcPr>
            <w:tcW w:w="1620" w:type="dxa"/>
            <w:vAlign w:val="bottom"/>
            <w:shd w:val="clear" w:color="auto" w:fill="E5E5E5"/>
          </w:tcPr>
          <w:p>
            <w:pPr>
              <w:spacing w:after="0"/>
              <w:rPr>
                <w:sz w:val="5"/>
                <w:szCs w:val="5"/>
                <w:color w:val="auto"/>
              </w:rPr>
            </w:pPr>
          </w:p>
        </w:tc>
        <w:tc>
          <w:tcPr>
            <w:tcW w:w="1520" w:type="dxa"/>
            <w:vAlign w:val="bottom"/>
            <w:shd w:val="clear" w:color="auto" w:fill="E5E5E5"/>
          </w:tcPr>
          <w:p>
            <w:pPr>
              <w:spacing w:after="0"/>
              <w:rPr>
                <w:sz w:val="5"/>
                <w:szCs w:val="5"/>
                <w:color w:val="auto"/>
              </w:rPr>
            </w:pPr>
          </w:p>
        </w:tc>
        <w:tc>
          <w:tcPr>
            <w:tcW w:w="1020" w:type="dxa"/>
            <w:vAlign w:val="bottom"/>
            <w:shd w:val="clear" w:color="auto" w:fill="E5E5E5"/>
          </w:tcPr>
          <w:p>
            <w:pPr>
              <w:spacing w:after="0"/>
              <w:rPr>
                <w:sz w:val="5"/>
                <w:szCs w:val="5"/>
                <w:color w:val="auto"/>
              </w:rPr>
            </w:pPr>
          </w:p>
        </w:tc>
      </w:tr>
      <w:tr>
        <w:trPr>
          <w:trHeight w:val="273"/>
        </w:trPr>
        <w:tc>
          <w:tcPr>
            <w:tcW w:w="3700" w:type="dxa"/>
            <w:vAlign w:val="bottom"/>
          </w:tcPr>
          <w:p>
            <w:pPr>
              <w:ind w:left="120"/>
              <w:spacing w:after="0"/>
              <w:rPr>
                <w:sz w:val="20"/>
                <w:szCs w:val="20"/>
                <w:color w:val="auto"/>
              </w:rPr>
            </w:pPr>
            <w:r>
              <w:rPr>
                <w:rFonts w:ascii="Calibri" w:cs="Calibri" w:eastAsia="Calibri" w:hAnsi="Calibri"/>
                <w:sz w:val="18"/>
                <w:szCs w:val="18"/>
                <w:color w:val="auto"/>
              </w:rPr>
              <w:t>Environmental Target</w:t>
            </w:r>
          </w:p>
        </w:tc>
        <w:tc>
          <w:tcPr>
            <w:tcW w:w="1620" w:type="dxa"/>
            <w:vAlign w:val="bottom"/>
          </w:tcPr>
          <w:p>
            <w:pPr>
              <w:jc w:val="center"/>
              <w:ind w:left="10"/>
              <w:spacing w:after="0"/>
              <w:rPr>
                <w:sz w:val="20"/>
                <w:szCs w:val="20"/>
                <w:color w:val="auto"/>
              </w:rPr>
            </w:pPr>
            <w:r>
              <w:rPr>
                <w:rFonts w:ascii="Calibri" w:cs="Calibri" w:eastAsia="Calibri" w:hAnsi="Calibri"/>
                <w:sz w:val="18"/>
                <w:szCs w:val="18"/>
                <w:color w:val="auto"/>
              </w:rPr>
              <w:t>(E)</w:t>
            </w:r>
          </w:p>
        </w:tc>
        <w:tc>
          <w:tcPr>
            <w:tcW w:w="1760" w:type="dxa"/>
            <w:vAlign w:val="bottom"/>
          </w:tcPr>
          <w:p>
            <w:pPr>
              <w:jc w:val="center"/>
              <w:spacing w:after="0"/>
              <w:rPr>
                <w:sz w:val="20"/>
                <w:szCs w:val="20"/>
                <w:color w:val="auto"/>
              </w:rPr>
            </w:pPr>
            <w:r>
              <w:rPr>
                <w:rFonts w:ascii="Calibri" w:cs="Calibri" w:eastAsia="Calibri" w:hAnsi="Calibri"/>
                <w:sz w:val="18"/>
                <w:szCs w:val="18"/>
                <w:color w:val="auto"/>
              </w:rPr>
              <w:t>(E)</w:t>
            </w:r>
          </w:p>
        </w:tc>
        <w:tc>
          <w:tcPr>
            <w:tcW w:w="1620" w:type="dxa"/>
            <w:vAlign w:val="bottom"/>
          </w:tcPr>
          <w:p>
            <w:pPr>
              <w:jc w:val="center"/>
              <w:spacing w:after="0"/>
              <w:rPr>
                <w:sz w:val="20"/>
                <w:szCs w:val="20"/>
                <w:color w:val="auto"/>
              </w:rPr>
            </w:pPr>
            <w:r>
              <w:rPr>
                <w:rFonts w:ascii="Calibri" w:cs="Calibri" w:eastAsia="Calibri" w:hAnsi="Calibri"/>
                <w:sz w:val="18"/>
                <w:szCs w:val="18"/>
                <w:color w:val="auto"/>
                <w:w w:val="91"/>
              </w:rPr>
              <w:t>(E)</w:t>
            </w:r>
          </w:p>
        </w:tc>
        <w:tc>
          <w:tcPr>
            <w:tcW w:w="1520" w:type="dxa"/>
            <w:vAlign w:val="bottom"/>
          </w:tcPr>
          <w:p>
            <w:pPr>
              <w:jc w:val="center"/>
              <w:spacing w:after="0"/>
              <w:rPr>
                <w:sz w:val="20"/>
                <w:szCs w:val="20"/>
                <w:color w:val="auto"/>
              </w:rPr>
            </w:pPr>
            <w:r>
              <w:rPr>
                <w:rFonts w:ascii="Calibri" w:cs="Calibri" w:eastAsia="Calibri" w:hAnsi="Calibri"/>
                <w:sz w:val="18"/>
                <w:szCs w:val="18"/>
                <w:color w:val="auto"/>
              </w:rPr>
              <w:t>(E)</w:t>
            </w:r>
          </w:p>
        </w:tc>
        <w:tc>
          <w:tcPr>
            <w:tcW w:w="1020" w:type="dxa"/>
            <w:vAlign w:val="bottom"/>
          </w:tcPr>
          <w:p>
            <w:pPr>
              <w:jc w:val="center"/>
              <w:spacing w:after="0"/>
              <w:rPr>
                <w:sz w:val="20"/>
                <w:szCs w:val="20"/>
                <w:color w:val="auto"/>
              </w:rPr>
            </w:pPr>
            <w:r>
              <w:rPr>
                <w:rFonts w:ascii="Calibri" w:cs="Calibri" w:eastAsia="Calibri" w:hAnsi="Calibri"/>
                <w:sz w:val="18"/>
                <w:szCs w:val="18"/>
                <w:color w:val="auto"/>
                <w:w w:val="99"/>
              </w:rPr>
              <w:t>200%</w:t>
            </w:r>
          </w:p>
        </w:tc>
      </w:tr>
    </w:tbl>
    <w:p>
      <w:pPr>
        <w:spacing w:after="0" w:line="55" w:lineRule="exact"/>
        <w:rPr>
          <w:sz w:val="20"/>
          <w:szCs w:val="20"/>
          <w:color w:val="auto"/>
        </w:rPr>
      </w:pPr>
    </w:p>
    <w:p>
      <w:pPr>
        <w:jc w:val="both"/>
        <w:ind w:left="380" w:hanging="372"/>
        <w:spacing w:after="0" w:line="235" w:lineRule="auto"/>
        <w:tabs>
          <w:tab w:leader="none" w:pos="380" w:val="left"/>
        </w:tabs>
        <w:numPr>
          <w:ilvl w:val="0"/>
          <w:numId w:val="40"/>
        </w:numPr>
        <w:rPr>
          <w:rFonts w:ascii="Calibri" w:cs="Calibri" w:eastAsia="Calibri" w:hAnsi="Calibri"/>
          <w:sz w:val="18"/>
          <w:szCs w:val="18"/>
          <w:color w:val="auto"/>
        </w:rPr>
      </w:pPr>
      <w:r>
        <w:rPr>
          <w:rFonts w:ascii="Calibri" w:cs="Calibri" w:eastAsia="Calibri" w:hAnsi="Calibri"/>
          <w:sz w:val="18"/>
          <w:szCs w:val="18"/>
          <w:color w:val="auto"/>
        </w:rPr>
        <w:t>The Safety Target was based on the average of the quarterly results of the two goals: (i) OSHA recordable injury and illness rate; and (ii) Days Away, Restricted, or Transferred (“DART”) injury and illness rate. For the OSHA Recordable Injury and Illness, a minimum performance would be 0.59, target performance would be 0.41, and maximum performance would be 0. For the DART goal, minimum performance would be 0.41, target performance would be 0.23, and maximum performance would be 0. Results were calculated based on a quarterly rate with recordable incident results of 0.18, 0.17, 0.69, and 0.40 for the frst, second, third and fourth quarter of 2023, and DART results of 0.18, zero, 0.52, and 0.20 for the frst, second, third and fourth quarter of 2023, respectvely. As a result, the frst, second, third and fourth quarters resulted in a 139 percent, 179 percent, zero percent, and 108 percent payout, respectvely, for a total payout of 106 percent.</w:t>
      </w:r>
    </w:p>
    <w:p>
      <w:pPr>
        <w:spacing w:after="0" w:line="5" w:lineRule="exact"/>
        <w:rPr>
          <w:rFonts w:ascii="Calibri" w:cs="Calibri" w:eastAsia="Calibri" w:hAnsi="Calibri"/>
          <w:sz w:val="18"/>
          <w:szCs w:val="18"/>
          <w:color w:val="auto"/>
        </w:rPr>
      </w:pPr>
    </w:p>
    <w:p>
      <w:pPr>
        <w:jc w:val="both"/>
        <w:ind w:left="380" w:hanging="372"/>
        <w:spacing w:after="0" w:line="235" w:lineRule="auto"/>
        <w:tabs>
          <w:tab w:leader="none" w:pos="380" w:val="left"/>
        </w:tabs>
        <w:numPr>
          <w:ilvl w:val="0"/>
          <w:numId w:val="40"/>
        </w:numPr>
        <w:rPr>
          <w:rFonts w:ascii="Calibri" w:cs="Calibri" w:eastAsia="Calibri" w:hAnsi="Calibri"/>
          <w:sz w:val="18"/>
          <w:szCs w:val="18"/>
          <w:color w:val="auto"/>
        </w:rPr>
      </w:pPr>
      <w:r>
        <w:rPr>
          <w:rFonts w:ascii="Calibri" w:cs="Calibri" w:eastAsia="Calibri" w:hAnsi="Calibri"/>
          <w:sz w:val="18"/>
          <w:szCs w:val="18"/>
          <w:color w:val="auto"/>
        </w:rPr>
        <w:t>The weightngs for Customer/Operatons Target are System Average Interrupton Duraton Index (“SAIDI”) – 33.0 percent, Escalent - 34.0 percent (split evenly between Business and Residental score), and Equivalent Forced Outage Rate - 33.0 percent. Afer applying these weightngs, the overall Customer/Operatons Target payout was 71 percent.</w:t>
      </w:r>
    </w:p>
    <w:p>
      <w:pPr>
        <w:spacing w:after="0" w:line="2" w:lineRule="exact"/>
        <w:rPr>
          <w:rFonts w:ascii="Calibri" w:cs="Calibri" w:eastAsia="Calibri" w:hAnsi="Calibri"/>
          <w:sz w:val="18"/>
          <w:szCs w:val="18"/>
          <w:color w:val="auto"/>
        </w:rPr>
      </w:pPr>
    </w:p>
    <w:p>
      <w:pPr>
        <w:jc w:val="both"/>
        <w:ind w:left="380" w:hanging="372"/>
        <w:spacing w:after="0" w:line="235" w:lineRule="auto"/>
        <w:tabs>
          <w:tab w:leader="none" w:pos="380" w:val="left"/>
        </w:tabs>
        <w:numPr>
          <w:ilvl w:val="0"/>
          <w:numId w:val="40"/>
        </w:numPr>
        <w:rPr>
          <w:rFonts w:ascii="Calibri" w:cs="Calibri" w:eastAsia="Calibri" w:hAnsi="Calibri"/>
          <w:sz w:val="18"/>
          <w:szCs w:val="18"/>
          <w:color w:val="auto"/>
        </w:rPr>
      </w:pPr>
      <w:r>
        <w:rPr>
          <w:rFonts w:ascii="Calibri" w:cs="Calibri" w:eastAsia="Calibri" w:hAnsi="Calibri"/>
          <w:sz w:val="18"/>
          <w:szCs w:val="18"/>
          <w:color w:val="auto"/>
        </w:rPr>
        <w:t>Results were calculated based on a quarterly recordable average interrupton duraton rate with minimum performance levels of 27 minutes for the frst quarter, 45 minutes for the second quarter, 45 minutes for the third quarter, and 27 minutes for the fourth quarter; target performance levels of 24 minutes for the frst quarter, 40 minutes for the second quarter, 40 minutes for the third quarter and 24 minutes for the fourth quarter; and maximum performance levels of 21 minutes for the frst quarter, 36 minutes for the second quarter, 36 minutes for the third quarter, and 21 minutes for the fourth quarter. Actual results were 24 minutes, 40 minutes, 50 minutes, and 19 minutes for the frst, second, third and fourth quarters, respectvely. As a result, the frst, second, third and fourth quarters resulted in a 97 percent, 102 percent, zero percent, and 200 percent payout, respectvely, for a payout of 100 percent. Afer applying the 33 percent weightng, the total SAIDI payout was 33 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-2321560</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7" w:lineRule="exact"/>
        <w:rPr>
          <w:sz w:val="20"/>
          <w:szCs w:val="20"/>
          <w:color w:val="auto"/>
        </w:rPr>
      </w:pPr>
    </w:p>
    <w:p>
      <w:pPr>
        <w:spacing w:after="0"/>
        <w:tabs>
          <w:tab w:leader="none" w:pos="660" w:val="left"/>
        </w:tabs>
        <w:rPr>
          <w:sz w:val="20"/>
          <w:szCs w:val="20"/>
          <w:color w:val="auto"/>
        </w:rPr>
      </w:pPr>
      <w:r>
        <w:rPr>
          <w:rFonts w:ascii="Calibri" w:cs="Calibri" w:eastAsia="Calibri" w:hAnsi="Calibri"/>
          <w:sz w:val="18"/>
          <w:szCs w:val="18"/>
          <w:color w:val="auto"/>
        </w:rPr>
        <w:t>35</w:t>
      </w:r>
      <w:r>
        <w:rPr>
          <w:sz w:val="20"/>
          <w:szCs w:val="20"/>
          <w:color w:val="auto"/>
        </w:rPr>
        <w:tab/>
      </w:r>
      <w:r>
        <w:rPr>
          <w:rFonts w:ascii="Calibri" w:cs="Calibri" w:eastAsia="Calibri" w:hAnsi="Calibri"/>
          <w:sz w:val="18"/>
          <w:szCs w:val="18"/>
          <w:b w:val="1"/>
          <w:bCs w:val="1"/>
          <w:color w:val="EE2724"/>
        </w:rPr>
        <w:t xml:space="preserve">OGE Energy Corp. </w:t>
      </w:r>
      <w:r>
        <w:rPr>
          <w:rFonts w:ascii="Calibri" w:cs="Calibri" w:eastAsia="Calibri" w:hAnsi="Calibri"/>
          <w:sz w:val="18"/>
          <w:szCs w:val="18"/>
          <w:color w:val="00000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41" w:name="page42"/>
    <w:bookmarkEnd w:id="41"/>
    <w:p>
      <w:pPr>
        <w:jc w:val="both"/>
        <w:ind w:left="380" w:hanging="372"/>
        <w:spacing w:after="0" w:line="249" w:lineRule="auto"/>
        <w:tabs>
          <w:tab w:leader="none" w:pos="380" w:val="left"/>
        </w:tabs>
        <w:numPr>
          <w:ilvl w:val="0"/>
          <w:numId w:val="41"/>
        </w:numPr>
        <w:rPr>
          <w:rFonts w:ascii="Calibri" w:cs="Calibri" w:eastAsia="Calibri" w:hAnsi="Calibri"/>
          <w:sz w:val="17"/>
          <w:szCs w:val="17"/>
          <w:color w:val="auto"/>
        </w:rPr>
      </w:pPr>
      <w:r>
        <w:rPr>
          <w:rFonts w:ascii="Calibri" w:cs="Calibri" w:eastAsia="Calibri" w:hAnsi="Calibri"/>
          <w:sz w:val="17"/>
          <w:szCs w:val="17"/>
          <w:color w:val="auto"/>
        </w:rPr>
        <w:t>Performance is measured at the generaton unit level. For the coal units, the minimum, target, and maximum performance levels were 5.4 percent, 4.5 percent, and 2.9 percent, with actual performance exceeding the minimum level of performance. For the gas combined cycle units, the minimum, target, and maximum performance levels were 2.8 percent, 1.3 percent, and 0.6 percent, with actual performance exceeding the target level of performance. For the older gas units, the minimum, target, and maximum performance levels were 12.6 percent, 5.6 percent, and 2.7 percent with respect to the Seminole Units and Muskogee 4 and 5, and were 17.7 percent, 11.4 percent, and 2.8 percent with respect to Horseshoe Lake Units 6 and 8, in each case with actual performance exceeding the minimum level of performance. For the simple cycle units, the minimum, target, and maximum performance levels were 8.4 percent, 2.9 percent, and 0.7 percent, with actual performance exceeding the target level of performance. For wind renewables, the minimum, target, and maximum performance levels were 3.3 percent, 1.6 percent, and 1.0 percent, with actual performance exceeding the target level of performance. Based on the weightngs for generaton type as discussed below, the payout for Equivalent Forced Outage Rate was 115 percent. Afer applying the 33 percent weightng, the total Equivalent Forced Outage Rate payout was 38 percent.</w:t>
      </w:r>
    </w:p>
    <w:p>
      <w:pPr>
        <w:spacing w:after="0" w:line="6" w:lineRule="exact"/>
        <w:rPr>
          <w:rFonts w:ascii="Calibri" w:cs="Calibri" w:eastAsia="Calibri" w:hAnsi="Calibri"/>
          <w:sz w:val="17"/>
          <w:szCs w:val="17"/>
          <w:color w:val="auto"/>
        </w:rPr>
      </w:pPr>
    </w:p>
    <w:p>
      <w:pPr>
        <w:jc w:val="both"/>
        <w:ind w:left="380" w:hanging="372"/>
        <w:spacing w:after="0" w:line="235" w:lineRule="auto"/>
        <w:tabs>
          <w:tab w:leader="none" w:pos="380" w:val="left"/>
        </w:tabs>
        <w:numPr>
          <w:ilvl w:val="0"/>
          <w:numId w:val="41"/>
        </w:numPr>
        <w:rPr>
          <w:rFonts w:ascii="Calibri" w:cs="Calibri" w:eastAsia="Calibri" w:hAnsi="Calibri"/>
          <w:sz w:val="18"/>
          <w:szCs w:val="18"/>
          <w:color w:val="auto"/>
        </w:rPr>
      </w:pPr>
      <w:r>
        <w:rPr>
          <w:rFonts w:ascii="Calibri" w:cs="Calibri" w:eastAsia="Calibri" w:hAnsi="Calibri"/>
          <w:sz w:val="18"/>
          <w:szCs w:val="18"/>
          <w:color w:val="auto"/>
        </w:rPr>
        <w:t>Environmental Target was added as a new incentve measure for 2023 to refect the Company’s commitment to environmental excellence and adherence to environmental compliance. The Environmental Target was calculated based on environmental compliance penaltes paid (50 percent) and writen enforcement actons issued by a regulatory agency for fndings that result in an actual or potental environmental impact (50 percent). For environmental compliance penaltes paid, minimum performance would be no external audits, external inspecton reports, consent orders, or alternate enforcement leters that result in a penalty greater than $100,000; target performance would be no external audits, external inspecton reports, consent orders, or alternate enforcement leters that result in a penalty greater than $75,000; and maximum performance would be no external audits, external inspecton reports, consent orders, or alternate enforcement leters that result in a penalty greater than $25,000. For enforcement acton fndings that result in an actual or potental environmental impact, a minimum performance would be three enforcement actons, target performance would be two enforcement actons, and maximum performance no enforcement actons. Results were calculated based on environmental compliance results of no penaltes paid and no enforcement actons, resultng in a 200 percent payout.</w:t>
      </w:r>
    </w:p>
    <w:p>
      <w:pPr>
        <w:spacing w:after="0" w:line="224" w:lineRule="exact"/>
        <w:rPr>
          <w:sz w:val="20"/>
          <w:szCs w:val="20"/>
          <w:color w:val="auto"/>
        </w:rPr>
      </w:pPr>
    </w:p>
    <w:p>
      <w:pPr>
        <w:ind w:firstLine="374"/>
        <w:spacing w:after="0" w:line="235" w:lineRule="auto"/>
        <w:rPr>
          <w:sz w:val="20"/>
          <w:szCs w:val="20"/>
          <w:color w:val="auto"/>
        </w:rPr>
      </w:pPr>
      <w:r>
        <w:rPr>
          <w:rFonts w:ascii="Calibri" w:cs="Calibri" w:eastAsia="Calibri" w:hAnsi="Calibri"/>
          <w:sz w:val="18"/>
          <w:szCs w:val="18"/>
          <w:color w:val="auto"/>
        </w:rPr>
        <w:t>Except for the Environmental Target, which is new, the target levels of performance of the above 2023 Company performance goals were set at or above the target levels for 2022, subject to the calculaton changes discussed below.</w:t>
      </w:r>
    </w:p>
    <w:p>
      <w:pPr>
        <w:spacing w:after="0" w:line="123" w:lineRule="exact"/>
        <w:rPr>
          <w:sz w:val="20"/>
          <w:szCs w:val="20"/>
          <w:color w:val="auto"/>
        </w:rPr>
      </w:pPr>
    </w:p>
    <w:p>
      <w:pPr>
        <w:jc w:val="both"/>
        <w:ind w:left="1020" w:hanging="503"/>
        <w:spacing w:after="0" w:line="235" w:lineRule="auto"/>
        <w:tabs>
          <w:tab w:leader="none" w:pos="1020" w:val="left"/>
        </w:tabs>
        <w:numPr>
          <w:ilvl w:val="0"/>
          <w:numId w:val="42"/>
        </w:numPr>
        <w:rPr>
          <w:rFonts w:ascii="Times New Roman" w:cs="Times New Roman" w:eastAsia="Times New Roman" w:hAnsi="Times New Roman"/>
          <w:sz w:val="18"/>
          <w:szCs w:val="18"/>
          <w:color w:val="auto"/>
        </w:rPr>
      </w:pPr>
      <w:r>
        <w:rPr>
          <w:rFonts w:ascii="Calibri" w:cs="Calibri" w:eastAsia="Calibri" w:hAnsi="Calibri"/>
          <w:sz w:val="18"/>
          <w:szCs w:val="18"/>
          <w:color w:val="auto"/>
        </w:rPr>
        <w:t>Calculatons of the OG&amp;E Earnings Target and the O&amp;M Target were derived from the amounts reported in the Company’s 2023 fnancial statements, with the OG&amp;E Earnings Target being the reported net income of OG&amp;E for the year ended December 31, 2023, divided by the diluted average common shares outstanding for 2023 of the Company and with the O&amp;M Target being specifc O&amp;M expenses for various business units of the Company and OG&amp;E other than designated operatng, maintenance and other expenses that were approved by the Oklahoma Corporaton Commission or Arkansas Public Service Commission for recovery through a rider or similar mechanism.</w:t>
      </w:r>
    </w:p>
    <w:p>
      <w:pPr>
        <w:spacing w:after="0" w:line="125" w:lineRule="exact"/>
        <w:rPr>
          <w:rFonts w:ascii="Times New Roman" w:cs="Times New Roman" w:eastAsia="Times New Roman" w:hAnsi="Times New Roman"/>
          <w:sz w:val="18"/>
          <w:szCs w:val="18"/>
          <w:color w:val="auto"/>
        </w:rPr>
      </w:pPr>
    </w:p>
    <w:p>
      <w:pPr>
        <w:jc w:val="both"/>
        <w:ind w:left="1020" w:hanging="503"/>
        <w:spacing w:after="0" w:line="235" w:lineRule="auto"/>
        <w:tabs>
          <w:tab w:leader="none" w:pos="1020" w:val="left"/>
        </w:tabs>
        <w:numPr>
          <w:ilvl w:val="0"/>
          <w:numId w:val="42"/>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Customer/Operatons Target consists of the following three goals: (i) SAIDI, which is used by many electric utlites as an indicator of reliability and which measures the average duraton of specifed electric outages per customer served, and is calculated on a quarterly basis, (ii) Escalent surveys, which are the results of the surveys conducted by Escalent that are intended to measure the level of customer satsfacton primarily by the customers of larger electric utlites, including OG&amp;E, serving the Southern Region of the United States, and (iii) Equivalent Forced Outage Rate, which generally measures the occurrence of unscheduled outages of OG&amp;E’s electric generatng units that result in the unit having to shut down or to operate at a lower capacity. Each unit’s fnal payout will be weighted based upon the unit capacity and fuel type weightng at 37.5 percent, 42.5 percent, 5 percent, 10 percent, and 5 percent for coal, combined cycle, gas legacy, simple cycle, and wind renewable, respectvely.</w:t>
      </w:r>
    </w:p>
    <w:p>
      <w:pPr>
        <w:spacing w:after="0" w:line="223" w:lineRule="exact"/>
        <w:rPr>
          <w:sz w:val="20"/>
          <w:szCs w:val="20"/>
          <w:color w:val="auto"/>
        </w:rPr>
      </w:pPr>
    </w:p>
    <w:p>
      <w:pPr>
        <w:ind w:firstLine="374"/>
        <w:spacing w:after="0" w:line="235" w:lineRule="auto"/>
        <w:rPr>
          <w:sz w:val="20"/>
          <w:szCs w:val="20"/>
          <w:color w:val="auto"/>
        </w:rPr>
      </w:pPr>
      <w:r>
        <w:rPr>
          <w:rFonts w:ascii="Calibri" w:cs="Calibri" w:eastAsia="Calibri" w:hAnsi="Calibri"/>
          <w:sz w:val="18"/>
          <w:szCs w:val="18"/>
          <w:color w:val="auto"/>
        </w:rPr>
        <w:t>At the tme of setng the OG&amp;E Earnings Target and the O&amp;M Target, the Compensaton Commitee specifcally authorized limited exceptons to be used in calculatng the achievement of these performance goals, such as the following:</w:t>
      </w:r>
    </w:p>
    <w:p>
      <w:pPr>
        <w:spacing w:after="0" w:line="123" w:lineRule="exact"/>
        <w:rPr>
          <w:sz w:val="20"/>
          <w:szCs w:val="20"/>
          <w:color w:val="auto"/>
        </w:rPr>
      </w:pPr>
    </w:p>
    <w:p>
      <w:pPr>
        <w:ind w:left="1020" w:right="20" w:hanging="503"/>
        <w:spacing w:after="0" w:line="235" w:lineRule="auto"/>
        <w:tabs>
          <w:tab w:leader="none" w:pos="1020" w:val="left"/>
        </w:tabs>
        <w:numPr>
          <w:ilvl w:val="0"/>
          <w:numId w:val="43"/>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exclusion of any increases or decreases in revenues or expenses in excess of $5 million from the enactment in 2023 of any new federal or state law;</w:t>
      </w:r>
    </w:p>
    <w:p>
      <w:pPr>
        <w:spacing w:after="0" w:line="11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exclusion of any increases or decreases in revenues or expenses from any change in accountng principles occurring afer 2022;</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exclusion of certain net gains or losses in 2023 from the sale, other dispositon or impairment of any business or asset; and</w:t>
      </w:r>
    </w:p>
    <w:p>
      <w:pPr>
        <w:spacing w:after="0" w:line="172" w:lineRule="exact"/>
        <w:rPr>
          <w:sz w:val="20"/>
          <w:szCs w:val="20"/>
          <w:color w:val="auto"/>
        </w:rPr>
      </w:pPr>
    </w:p>
    <w:p>
      <w:pPr>
        <w:spacing w:after="0"/>
        <w:tabs>
          <w:tab w:leader="none" w:pos="660" w:val="left"/>
        </w:tabs>
        <w:rPr>
          <w:sz w:val="20"/>
          <w:szCs w:val="20"/>
          <w:color w:val="auto"/>
        </w:rPr>
      </w:pPr>
      <w:r>
        <w:rPr>
          <w:rFonts w:ascii="Calibri" w:cs="Calibri" w:eastAsia="Calibri" w:hAnsi="Calibri"/>
          <w:sz w:val="18"/>
          <w:szCs w:val="18"/>
          <w:color w:val="auto"/>
        </w:rPr>
        <w:t>36</w:t>
      </w:r>
      <w:r>
        <w:rPr>
          <w:sz w:val="20"/>
          <w:szCs w:val="20"/>
          <w:color w:val="auto"/>
        </w:rPr>
        <w:tab/>
      </w:r>
      <w:r>
        <w:rPr>
          <w:rFonts w:ascii="Calibri" w:cs="Calibri" w:eastAsia="Calibri" w:hAnsi="Calibri"/>
          <w:sz w:val="18"/>
          <w:szCs w:val="18"/>
          <w:b w:val="1"/>
          <w:bCs w:val="1"/>
          <w:color w:val="EE2724"/>
        </w:rPr>
        <w:t xml:space="preserve">OGE Energy Corp. </w:t>
      </w:r>
      <w:r>
        <w:rPr>
          <w:rFonts w:ascii="Calibri" w:cs="Calibri" w:eastAsia="Calibri" w:hAnsi="Calibri"/>
          <w:sz w:val="18"/>
          <w:szCs w:val="18"/>
          <w:color w:val="00000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42" w:name="page43"/>
    <w:bookmarkEnd w:id="42"/>
    <w:p>
      <w:pPr>
        <w:ind w:left="1020" w:hanging="503"/>
        <w:spacing w:after="0" w:line="235" w:lineRule="auto"/>
        <w:tabs>
          <w:tab w:leader="none" w:pos="1020" w:val="left"/>
        </w:tabs>
        <w:numPr>
          <w:ilvl w:val="0"/>
          <w:numId w:val="44"/>
        </w:numPr>
        <w:rPr>
          <w:rFonts w:ascii="Times New Roman" w:cs="Times New Roman" w:eastAsia="Times New Roman" w:hAnsi="Times New Roman"/>
          <w:sz w:val="18"/>
          <w:szCs w:val="18"/>
          <w:color w:val="auto"/>
        </w:rPr>
      </w:pPr>
      <w:r>
        <w:rPr>
          <w:rFonts w:ascii="Calibri" w:cs="Calibri" w:eastAsia="Calibri" w:hAnsi="Calibri"/>
          <w:sz w:val="18"/>
          <w:szCs w:val="18"/>
          <w:color w:val="auto"/>
        </w:rPr>
        <w:t>O&amp;M and other expenses aggregatng in excess of $250,000 in 2023 incurred in connecton with a transacton involving a sale or purchase price in excess of $10 million or a net book value in excess of $10 million.</w:t>
      </w:r>
    </w:p>
    <w:p>
      <w:pPr>
        <w:spacing w:after="0" w:line="218"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Although weather can create signifcant variability in both short-term and long-term incentve performance goals, the Compensaton Commitee does not normalize the actual results for weather. For 2023, the O&amp;M Target also specifcally provided that any payouts of short-term incentve compensaton above or below 100 percent of target would not be included as operatng expenses for purposes of calculatng performance of the O&amp;M Target.</w:t>
      </w:r>
    </w:p>
    <w:p>
      <w:pPr>
        <w:spacing w:after="0" w:line="219"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The Company believes that those exceptons, which were set by the Compensaton Commitee at the same tme the 2023 Company performance goals were set in February 2023, were appropriate as they represented items that were outside the Company’s control, that were one-tme events or that are not indicatve of the Company’s operatng performance. The percentage of the targeted amount that an executve ofcer ultmately received based on 2023 performance was subject to being decreased, but not increased, at the discreton of the Compensaton Commitee.</w:t>
      </w:r>
    </w:p>
    <w:p>
      <w:pPr>
        <w:spacing w:after="0" w:line="219" w:lineRule="exact"/>
        <w:rPr>
          <w:sz w:val="20"/>
          <w:szCs w:val="20"/>
          <w:color w:val="auto"/>
        </w:rPr>
      </w:pPr>
    </w:p>
    <w:p>
      <w:pPr>
        <w:jc w:val="both"/>
        <w:ind w:right="20" w:firstLine="374"/>
        <w:spacing w:after="0" w:line="235" w:lineRule="auto"/>
        <w:rPr>
          <w:sz w:val="20"/>
          <w:szCs w:val="20"/>
          <w:color w:val="auto"/>
        </w:rPr>
      </w:pPr>
      <w:r>
        <w:rPr>
          <w:rFonts w:ascii="Calibri" w:cs="Calibri" w:eastAsia="Calibri" w:hAnsi="Calibri"/>
          <w:sz w:val="18"/>
          <w:szCs w:val="18"/>
          <w:color w:val="auto"/>
        </w:rPr>
        <w:t>Payouts under the Annual Incentve Plan are in cash, and the amounts paid to the Company’s Named Executve Ofcers are refected in the Non-Equity Incentve Plan Compensaton column of the Summary Compensaton Table on page 43.</w:t>
      </w:r>
    </w:p>
    <w:p>
      <w:pPr>
        <w:spacing w:after="0" w:line="218"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b w:val="1"/>
          <w:bCs w:val="1"/>
          <w:color w:val="auto"/>
        </w:rPr>
        <w:t xml:space="preserve">Long-Term Incentve Compensaton. </w:t>
      </w:r>
      <w:r>
        <w:rPr>
          <w:rFonts w:ascii="Calibri" w:cs="Calibri" w:eastAsia="Calibri" w:hAnsi="Calibri"/>
          <w:sz w:val="18"/>
          <w:szCs w:val="18"/>
          <w:color w:val="auto"/>
        </w:rPr>
        <w:t>Long-term incentve awards also were made in 2023 under our Stock Incentve Plan. The Plan provides for the grant</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of any or all of the following types of awards: stock optons, SARs, restricted stock, restricted stock units and performance units; however, the Compensaton Commitee has not granted stock optons or SARs since 2004 and has no intenton to issue stock optons or SARs in the foreseeable future. For 2023, the Compensaton Commitee set a targeted amount of long-term incentve compensaton to be awarded each executve ofcer, which amount was expressed as a percentage of the individual’s 2023 salary. For 2023, the targeted amount ranged from 80 percent to 360 percent of the 2023 salaries for executve ofcers. Historically, the long-term incentve compensaton for the Company’s executve ofcers had been below, including in some cases signifcantly below, the median level of such awards granted to comparable executves in the Company Peer Group. For the Named Executve Ofcers, the 2023 targeted amounts of long-term incentve compensaton and the changes from 2022 were as follows: Mr. Trauschke, 360 percent of his 2023 salary (no change); Mr. Buckler, 150 percent of his 2023 salary (no change); Mr. Sultemeier, 130 percent of his 2023 salary (no change); Mr. Jones, 140 percent of his 2023 salary (an increase from 130 percent) and Ms. McQuiston, 80 percent of her 2023 salary (an increase from 75 percent). The targeted amount expressed as a percentage of salary for our combined group of Named Executve Ofcers was set at the median of the level of such award granted to a comparable group of executves in the Company Peer Group.</w:t>
      </w:r>
    </w:p>
    <w:p>
      <w:pPr>
        <w:spacing w:after="0" w:line="226"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The 2023 awards were granted to executve ofcers on February 21, 2023, immediately following the Compensaton Commitee’s meetng on such date. The total number of long-term incentve units granted was determined by taking the targeted amount of the executve’s long-term compensaton (expressed as a percentage of the executve’s approved 2023 base salary, and as determined above) and dividing that amount by $38.23, which was the average of the high and low price of a share of the Company’s Common Stock on the business day prior to Compensaton Commitee approval on February 21, 2023. The total number of long-term incentve units granted to each executve was then multplied by (i) 65 percent to provide the number of performance units to be granted and (ii) 35 percent to provide the number of restricted stock units to be granted. Using this valuaton method, the Named Executve Ofcers received a number of performance units and restricted stock units with an aggregate value at the date of grant from 80 percent to 360 percent of their approved 2023 base salaries. At the end of the performance period on December 31, 2025, the Compensaton Commitee will determine the number of 2023 performance units, if any, that have been earned (“Earned Performance Units”) based on the level of achievement of the TSR Performance Goal. Payouts of the Earned Performance Units will be in shares of the Company’s Common Stock equal in number to the Earned Performance Units, plus a cash payment equal to the amount of dividends that would have been paid during the performance period on such number of shares of the Company’s Common Stock. This payment of dividend equivalents will be made only with respect to Earned Performance Units, and dividend equivalents will not be paid on any unearned performance units. Following the end of the period, payouts of the restricted stock units that have vested will be made be in shares of the Company’s Common Stock equal in number to the vested restricted stock units, plus a cash payment equal to the amount of dividends that would have been paid during the period on such number of shares of the Company’s Common Stock.</w:t>
      </w:r>
    </w:p>
    <w:p>
      <w:pPr>
        <w:spacing w:after="0" w:line="229"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i w:val="1"/>
          <w:iCs w:val="1"/>
          <w:color w:val="auto"/>
        </w:rPr>
        <w:t xml:space="preserve">Terms of 2023 Performance Units Based on TSR Performance Goal. </w:t>
      </w:r>
      <w:r>
        <w:rPr>
          <w:rFonts w:ascii="Calibri" w:cs="Calibri" w:eastAsia="Calibri" w:hAnsi="Calibri"/>
          <w:sz w:val="18"/>
          <w:szCs w:val="18"/>
          <w:color w:val="auto"/>
        </w:rPr>
        <w:t>The terms of the performance units granted to each executve ofcer in 2023 enttle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the ofcer to receive from 0 percent to 200 percent of the performance units granted depending upon the Company’s TSR over the three-year period ending December 31, 2025 (defned as share price increase (decrease) since December 31, 2022, plus dividends paid during the three-year period, divided by share price at December 31,</w:t>
      </w:r>
    </w:p>
    <w:p>
      <w:pPr>
        <w:spacing w:after="0" w:line="174" w:lineRule="exact"/>
        <w:rPr>
          <w:sz w:val="20"/>
          <w:szCs w:val="20"/>
          <w:color w:val="auto"/>
        </w:rPr>
      </w:pPr>
    </w:p>
    <w:p>
      <w:pPr>
        <w:spacing w:after="0"/>
        <w:tabs>
          <w:tab w:leader="none" w:pos="660" w:val="left"/>
        </w:tabs>
        <w:rPr>
          <w:sz w:val="20"/>
          <w:szCs w:val="20"/>
          <w:color w:val="auto"/>
        </w:rPr>
      </w:pPr>
      <w:r>
        <w:rPr>
          <w:rFonts w:ascii="Calibri" w:cs="Calibri" w:eastAsia="Calibri" w:hAnsi="Calibri"/>
          <w:sz w:val="18"/>
          <w:szCs w:val="18"/>
          <w:color w:val="auto"/>
        </w:rPr>
        <w:t>37</w:t>
      </w:r>
      <w:r>
        <w:rPr>
          <w:sz w:val="20"/>
          <w:szCs w:val="20"/>
          <w:color w:val="auto"/>
        </w:rPr>
        <w:tab/>
      </w:r>
      <w:r>
        <w:rPr>
          <w:rFonts w:ascii="Calibri" w:cs="Calibri" w:eastAsia="Calibri" w:hAnsi="Calibri"/>
          <w:sz w:val="18"/>
          <w:szCs w:val="18"/>
          <w:b w:val="1"/>
          <w:bCs w:val="1"/>
          <w:color w:val="EE2724"/>
        </w:rPr>
        <w:t xml:space="preserve">OGE Energy Corp. </w:t>
      </w:r>
      <w:r>
        <w:rPr>
          <w:rFonts w:ascii="Calibri" w:cs="Calibri" w:eastAsia="Calibri" w:hAnsi="Calibri"/>
          <w:sz w:val="18"/>
          <w:szCs w:val="18"/>
          <w:color w:val="00000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43" w:name="page44"/>
    <w:bookmarkEnd w:id="43"/>
    <w:p>
      <w:pPr>
        <w:jc w:val="both"/>
        <w:spacing w:after="0" w:line="219" w:lineRule="auto"/>
        <w:rPr>
          <w:sz w:val="20"/>
          <w:szCs w:val="20"/>
          <w:color w:val="auto"/>
        </w:rPr>
      </w:pPr>
      <w:r>
        <w:rPr>
          <w:rFonts w:ascii="Calibri" w:cs="Calibri" w:eastAsia="Calibri" w:hAnsi="Calibri"/>
          <w:sz w:val="18"/>
          <w:szCs w:val="18"/>
          <w:color w:val="auto"/>
        </w:rPr>
        <w:t>2022) measured against the TSR for such period of a peer group selected by the Compensaton Commitee. The peer group for measuring the Company’s TSR performance consists of approximately 40 electric utlity holding companies and electric utlites in the EEI Index. At the end of the performance period on December 31, 2025, the terms of these performance units provide for payout of 100 percent of the performance units initally granted if the Company’s TSR is at the 50</w:t>
      </w:r>
      <w:r>
        <w:rPr>
          <w:rFonts w:ascii="Calibri" w:cs="Calibri" w:eastAsia="Calibri" w:hAnsi="Calibri"/>
          <w:sz w:val="24"/>
          <w:szCs w:val="24"/>
          <w:color w:val="auto"/>
          <w:vertAlign w:val="superscript"/>
        </w:rPr>
        <w:t>th</w:t>
      </w:r>
      <w:r>
        <w:rPr>
          <w:rFonts w:ascii="Calibri" w:cs="Calibri" w:eastAsia="Calibri" w:hAnsi="Calibri"/>
          <w:sz w:val="18"/>
          <w:szCs w:val="18"/>
          <w:color w:val="auto"/>
        </w:rPr>
        <w:t xml:space="preserve"> percentle of the peer group, with higher payouts for performance above the 50</w:t>
      </w:r>
      <w:r>
        <w:rPr>
          <w:rFonts w:ascii="Calibri" w:cs="Calibri" w:eastAsia="Calibri" w:hAnsi="Calibri"/>
          <w:sz w:val="24"/>
          <w:szCs w:val="24"/>
          <w:color w:val="auto"/>
          <w:vertAlign w:val="superscript"/>
        </w:rPr>
        <w:t>th</w:t>
      </w:r>
      <w:r>
        <w:rPr>
          <w:rFonts w:ascii="Calibri" w:cs="Calibri" w:eastAsia="Calibri" w:hAnsi="Calibri"/>
          <w:sz w:val="18"/>
          <w:szCs w:val="18"/>
          <w:color w:val="auto"/>
        </w:rPr>
        <w:t xml:space="preserve"> percentle up to 200 percent of the performance units granted if the Company’s TSR is at or above the 90</w:t>
      </w:r>
      <w:r>
        <w:rPr>
          <w:rFonts w:ascii="Calibri" w:cs="Calibri" w:eastAsia="Calibri" w:hAnsi="Calibri"/>
          <w:sz w:val="24"/>
          <w:szCs w:val="24"/>
          <w:color w:val="auto"/>
          <w:vertAlign w:val="superscript"/>
        </w:rPr>
        <w:t>th</w:t>
      </w:r>
      <w:r>
        <w:rPr>
          <w:rFonts w:ascii="Calibri" w:cs="Calibri" w:eastAsia="Calibri" w:hAnsi="Calibri"/>
          <w:sz w:val="18"/>
          <w:szCs w:val="18"/>
          <w:color w:val="auto"/>
        </w:rPr>
        <w:t xml:space="preserve"> percentle of the peer group. The terms of these performance units provide for payouts of less than 100 percent of the performance units granted if the Company’s TSR is below the 50</w:t>
      </w:r>
      <w:r>
        <w:rPr>
          <w:rFonts w:ascii="Calibri" w:cs="Calibri" w:eastAsia="Calibri" w:hAnsi="Calibri"/>
          <w:sz w:val="24"/>
          <w:szCs w:val="24"/>
          <w:color w:val="auto"/>
          <w:vertAlign w:val="superscript"/>
        </w:rPr>
        <w:t>th</w:t>
      </w:r>
      <w:r>
        <w:rPr>
          <w:rFonts w:ascii="Calibri" w:cs="Calibri" w:eastAsia="Calibri" w:hAnsi="Calibri"/>
          <w:sz w:val="18"/>
          <w:szCs w:val="18"/>
          <w:color w:val="auto"/>
        </w:rPr>
        <w:t xml:space="preserve"> percentle of the peer group, with a 50 percent payout for performance at the 25</w:t>
      </w:r>
      <w:r>
        <w:rPr>
          <w:rFonts w:ascii="Calibri" w:cs="Calibri" w:eastAsia="Calibri" w:hAnsi="Calibri"/>
          <w:sz w:val="24"/>
          <w:szCs w:val="24"/>
          <w:color w:val="auto"/>
          <w:vertAlign w:val="superscript"/>
        </w:rPr>
        <w:t>th</w:t>
      </w:r>
      <w:r>
        <w:rPr>
          <w:rFonts w:ascii="Calibri" w:cs="Calibri" w:eastAsia="Calibri" w:hAnsi="Calibri"/>
          <w:sz w:val="18"/>
          <w:szCs w:val="18"/>
          <w:color w:val="auto"/>
        </w:rPr>
        <w:t xml:space="preserve"> percentle and no payout for performance below the 25</w:t>
      </w:r>
      <w:r>
        <w:rPr>
          <w:rFonts w:ascii="Calibri" w:cs="Calibri" w:eastAsia="Calibri" w:hAnsi="Calibri"/>
          <w:sz w:val="24"/>
          <w:szCs w:val="24"/>
          <w:color w:val="auto"/>
          <w:vertAlign w:val="superscript"/>
        </w:rPr>
        <w:t>th</w:t>
      </w:r>
      <w:r>
        <w:rPr>
          <w:rFonts w:ascii="Calibri" w:cs="Calibri" w:eastAsia="Calibri" w:hAnsi="Calibri"/>
          <w:sz w:val="18"/>
          <w:szCs w:val="18"/>
          <w:color w:val="auto"/>
        </w:rPr>
        <w:t xml:space="preserve"> percentle.</w:t>
      </w:r>
    </w:p>
    <w:p>
      <w:pPr>
        <w:spacing w:after="0" w:line="165"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i w:val="1"/>
          <w:iCs w:val="1"/>
          <w:color w:val="auto"/>
        </w:rPr>
        <w:t xml:space="preserve">Terms of 2023 Restricted Stock Units. </w:t>
      </w:r>
      <w:r>
        <w:rPr>
          <w:rFonts w:ascii="Calibri" w:cs="Calibri" w:eastAsia="Calibri" w:hAnsi="Calibri"/>
          <w:sz w:val="18"/>
          <w:szCs w:val="18"/>
          <w:color w:val="auto"/>
        </w:rPr>
        <w:t>The restricted stock units have a vestng or restricted period that ends December 31, 2025. The restricted stock</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units will be forfeited if the partcipant terminates employment with the Company prior to the end of such restricted period, other than due to a change of control, or, solely at the discreton of the Compensaton Commitee, upon death, disability, retrement, or involuntary terminaton. As soon as practcable following December 31, 2025 (and in any event no later than March 15, 2026), restricted stock units that have vested will be paid out in shares of the Company’s Common Stock equal in number to the vested restricted stock units plus a cash payment equal to the amount of dividends that would have been paid during the period on such number of shares of the Company’s Common Stock.</w:t>
      </w:r>
    </w:p>
    <w:p>
      <w:pPr>
        <w:spacing w:after="0" w:line="221"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i w:val="1"/>
          <w:iCs w:val="1"/>
          <w:color w:val="auto"/>
        </w:rPr>
        <w:t xml:space="preserve">Payout of 2021 Performance Units. </w:t>
      </w:r>
      <w:r>
        <w:rPr>
          <w:rFonts w:ascii="Calibri" w:cs="Calibri" w:eastAsia="Calibri" w:hAnsi="Calibri"/>
          <w:sz w:val="18"/>
          <w:szCs w:val="18"/>
          <w:color w:val="auto"/>
        </w:rPr>
        <w:t>At the Compensaton Commitee’s meetng in February 2024, the Commitee determined payouts to executve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ofcers of the 2021 performance units awarded to them in February 2021 as part of their long-term compensaton for 2021. Payout of 75 percent of the long-term incentves awarded in 2021 was dependent on the achievement of a Company performance goal based on the Company’s relatve TSR for the three-year period ended December 31, 2023, as compared to the TSR for the same period of each of the utlity holding companies and gas and electric utlites in the EEI Index. For each of the 2021 performance units, the Compensaton Commitee established a minimum level of performance (below which no payout would be made), a target level of performance (at which a 100 percent payout would be made) and a maximum level of performance (at or above which a 200 percent payout would be made).</w:t>
      </w:r>
    </w:p>
    <w:p>
      <w:pPr>
        <w:spacing w:after="0" w:line="222"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The following table shows the minimum, target, and maximum levels of performance set by the Compensaton Commitee in February 2021 for the 2021 performance units based on TSR and the percentage payout based on the actual level of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6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Calibri" w:cs="Calibri" w:eastAsia="Calibri" w:hAnsi="Calibri"/>
                <w:sz w:val="18"/>
                <w:szCs w:val="18"/>
                <w:b w:val="1"/>
                <w:bCs w:val="1"/>
                <w:color w:val="auto"/>
                <w:w w:val="96"/>
              </w:rPr>
              <w:t>Actual</w:t>
            </w:r>
          </w:p>
        </w:tc>
        <w:tc>
          <w:tcPr>
            <w:tcW w:w="880" w:type="dxa"/>
            <w:vAlign w:val="bottom"/>
          </w:tcPr>
          <w:p>
            <w:pPr>
              <w:jc w:val="center"/>
              <w:spacing w:after="0"/>
              <w:rPr>
                <w:sz w:val="20"/>
                <w:szCs w:val="20"/>
                <w:color w:val="auto"/>
              </w:rPr>
            </w:pPr>
            <w:r>
              <w:rPr>
                <w:rFonts w:ascii="Calibri" w:cs="Calibri" w:eastAsia="Calibri" w:hAnsi="Calibri"/>
                <w:sz w:val="18"/>
                <w:szCs w:val="18"/>
                <w:b w:val="1"/>
                <w:bCs w:val="1"/>
                <w:color w:val="auto"/>
                <w:w w:val="91"/>
              </w:rPr>
              <w:t>%</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2060" w:type="dxa"/>
            <w:vAlign w:val="bottom"/>
          </w:tcPr>
          <w:p>
            <w:pPr>
              <w:jc w:val="center"/>
              <w:ind w:left="130"/>
              <w:spacing w:after="0" w:line="216" w:lineRule="exact"/>
              <w:rPr>
                <w:sz w:val="20"/>
                <w:szCs w:val="20"/>
                <w:color w:val="auto"/>
              </w:rPr>
            </w:pPr>
            <w:r>
              <w:rPr>
                <w:rFonts w:ascii="Calibri" w:cs="Calibri" w:eastAsia="Calibri" w:hAnsi="Calibri"/>
                <w:sz w:val="18"/>
                <w:szCs w:val="18"/>
                <w:b w:val="1"/>
                <w:bCs w:val="1"/>
                <w:color w:val="auto"/>
                <w:w w:val="98"/>
              </w:rPr>
              <w:t>Minimum</w:t>
            </w:r>
          </w:p>
        </w:tc>
        <w:tc>
          <w:tcPr>
            <w:tcW w:w="186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5"/>
              </w:rPr>
              <w:t>Target</w:t>
            </w:r>
          </w:p>
        </w:tc>
        <w:tc>
          <w:tcPr>
            <w:tcW w:w="184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6"/>
              </w:rPr>
              <w:t>Maximum</w:t>
            </w:r>
          </w:p>
        </w:tc>
        <w:tc>
          <w:tcPr>
            <w:tcW w:w="194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7"/>
              </w:rPr>
              <w:t>Performance</w:t>
            </w:r>
          </w:p>
        </w:tc>
        <w:tc>
          <w:tcPr>
            <w:tcW w:w="88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8"/>
              </w:rPr>
              <w:t>Payout</w:t>
            </w:r>
          </w:p>
        </w:tc>
        <w:tc>
          <w:tcPr>
            <w:tcW w:w="0" w:type="dxa"/>
            <w:vAlign w:val="bottom"/>
          </w:tcPr>
          <w:p>
            <w:pPr>
              <w:spacing w:after="0"/>
              <w:rPr>
                <w:sz w:val="1"/>
                <w:szCs w:val="1"/>
                <w:color w:val="auto"/>
              </w:rPr>
            </w:pPr>
          </w:p>
        </w:tc>
      </w:tr>
      <w:tr>
        <w:trPr>
          <w:trHeight w:val="64"/>
        </w:trPr>
        <w:tc>
          <w:tcPr>
            <w:tcW w:w="2660" w:type="dxa"/>
            <w:vAlign w:val="bottom"/>
            <w:tcBorders>
              <w:bottom w:val="single" w:sz="8" w:color="auto"/>
            </w:tcBorders>
          </w:tcPr>
          <w:p>
            <w:pPr>
              <w:spacing w:after="0"/>
              <w:rPr>
                <w:sz w:val="5"/>
                <w:szCs w:val="5"/>
                <w:color w:val="auto"/>
              </w:rPr>
            </w:pPr>
          </w:p>
        </w:tc>
        <w:tc>
          <w:tcPr>
            <w:tcW w:w="2060" w:type="dxa"/>
            <w:vAlign w:val="bottom"/>
            <w:tcBorders>
              <w:bottom w:val="single" w:sz="8" w:color="auto"/>
            </w:tcBorders>
          </w:tcPr>
          <w:p>
            <w:pPr>
              <w:spacing w:after="0"/>
              <w:rPr>
                <w:sz w:val="5"/>
                <w:szCs w:val="5"/>
                <w:color w:val="auto"/>
              </w:rPr>
            </w:pPr>
          </w:p>
        </w:tc>
        <w:tc>
          <w:tcPr>
            <w:tcW w:w="1860" w:type="dxa"/>
            <w:vAlign w:val="bottom"/>
            <w:tcBorders>
              <w:bottom w:val="single" w:sz="8" w:color="auto"/>
            </w:tcBorders>
          </w:tcPr>
          <w:p>
            <w:pPr>
              <w:spacing w:after="0"/>
              <w:rPr>
                <w:sz w:val="5"/>
                <w:szCs w:val="5"/>
                <w:color w:val="auto"/>
              </w:rPr>
            </w:pPr>
          </w:p>
        </w:tc>
        <w:tc>
          <w:tcPr>
            <w:tcW w:w="184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2660" w:type="dxa"/>
            <w:vAlign w:val="bottom"/>
            <w:vMerge w:val="restart"/>
            <w:shd w:val="clear" w:color="auto" w:fill="E5E5E5"/>
          </w:tcPr>
          <w:p>
            <w:pPr>
              <w:ind w:left="560"/>
              <w:spacing w:after="0"/>
              <w:rPr>
                <w:sz w:val="20"/>
                <w:szCs w:val="20"/>
                <w:color w:val="auto"/>
              </w:rPr>
            </w:pPr>
            <w:r>
              <w:rPr>
                <w:rFonts w:ascii="Calibri" w:cs="Calibri" w:eastAsia="Calibri" w:hAnsi="Calibri"/>
                <w:sz w:val="18"/>
                <w:szCs w:val="18"/>
                <w:color w:val="auto"/>
              </w:rPr>
              <w:t>Total Shareholder Return</w:t>
            </w:r>
          </w:p>
        </w:tc>
        <w:tc>
          <w:tcPr>
            <w:tcW w:w="2060" w:type="dxa"/>
            <w:vAlign w:val="bottom"/>
            <w:shd w:val="clear" w:color="auto" w:fill="E5E5E5"/>
          </w:tcPr>
          <w:p>
            <w:pPr>
              <w:jc w:val="center"/>
              <w:ind w:left="90"/>
              <w:spacing w:after="0" w:line="281" w:lineRule="exact"/>
              <w:rPr>
                <w:sz w:val="20"/>
                <w:szCs w:val="20"/>
                <w:color w:val="auto"/>
              </w:rPr>
            </w:pPr>
            <w:r>
              <w:rPr>
                <w:rFonts w:ascii="Calibri" w:cs="Calibri" w:eastAsia="Calibri" w:hAnsi="Calibri"/>
                <w:sz w:val="18"/>
                <w:szCs w:val="18"/>
                <w:color w:val="auto"/>
                <w:w w:val="98"/>
              </w:rPr>
              <w:t>25</w:t>
            </w:r>
            <w:r>
              <w:rPr>
                <w:rFonts w:ascii="Calibri" w:cs="Calibri" w:eastAsia="Calibri" w:hAnsi="Calibri"/>
                <w:sz w:val="24"/>
                <w:szCs w:val="24"/>
                <w:color w:val="auto"/>
                <w:w w:val="98"/>
                <w:vertAlign w:val="superscript"/>
              </w:rPr>
              <w:t>th</w:t>
            </w:r>
            <w:r>
              <w:rPr>
                <w:rFonts w:ascii="Calibri" w:cs="Calibri" w:eastAsia="Calibri" w:hAnsi="Calibri"/>
                <w:sz w:val="18"/>
                <w:szCs w:val="18"/>
                <w:color w:val="auto"/>
                <w:w w:val="98"/>
              </w:rPr>
              <w:t xml:space="preserve"> percentle of peer</w:t>
            </w:r>
          </w:p>
        </w:tc>
        <w:tc>
          <w:tcPr>
            <w:tcW w:w="1860" w:type="dxa"/>
            <w:vAlign w:val="bottom"/>
            <w:shd w:val="clear" w:color="auto" w:fill="E5E5E5"/>
          </w:tcPr>
          <w:p>
            <w:pPr>
              <w:jc w:val="center"/>
              <w:spacing w:after="0" w:line="281" w:lineRule="exact"/>
              <w:rPr>
                <w:sz w:val="20"/>
                <w:szCs w:val="20"/>
                <w:color w:val="auto"/>
              </w:rPr>
            </w:pPr>
            <w:r>
              <w:rPr>
                <w:rFonts w:ascii="Calibri" w:cs="Calibri" w:eastAsia="Calibri" w:hAnsi="Calibri"/>
                <w:sz w:val="18"/>
                <w:szCs w:val="18"/>
                <w:color w:val="auto"/>
                <w:w w:val="98"/>
              </w:rPr>
              <w:t>50</w:t>
            </w:r>
            <w:r>
              <w:rPr>
                <w:rFonts w:ascii="Calibri" w:cs="Calibri" w:eastAsia="Calibri" w:hAnsi="Calibri"/>
                <w:sz w:val="24"/>
                <w:szCs w:val="24"/>
                <w:color w:val="auto"/>
                <w:w w:val="98"/>
                <w:vertAlign w:val="superscript"/>
              </w:rPr>
              <w:t>th</w:t>
            </w:r>
            <w:r>
              <w:rPr>
                <w:rFonts w:ascii="Calibri" w:cs="Calibri" w:eastAsia="Calibri" w:hAnsi="Calibri"/>
                <w:sz w:val="18"/>
                <w:szCs w:val="18"/>
                <w:color w:val="auto"/>
                <w:w w:val="98"/>
              </w:rPr>
              <w:t xml:space="preserve"> percentle of peer</w:t>
            </w:r>
          </w:p>
        </w:tc>
        <w:tc>
          <w:tcPr>
            <w:tcW w:w="1840" w:type="dxa"/>
            <w:vAlign w:val="bottom"/>
            <w:shd w:val="clear" w:color="auto" w:fill="E5E5E5"/>
          </w:tcPr>
          <w:p>
            <w:pPr>
              <w:jc w:val="center"/>
              <w:spacing w:after="0" w:line="281" w:lineRule="exact"/>
              <w:rPr>
                <w:sz w:val="20"/>
                <w:szCs w:val="20"/>
                <w:color w:val="auto"/>
              </w:rPr>
            </w:pPr>
            <w:r>
              <w:rPr>
                <w:rFonts w:ascii="Calibri" w:cs="Calibri" w:eastAsia="Calibri" w:hAnsi="Calibri"/>
                <w:sz w:val="18"/>
                <w:szCs w:val="18"/>
                <w:color w:val="auto"/>
                <w:w w:val="97"/>
              </w:rPr>
              <w:t>90</w:t>
            </w:r>
            <w:r>
              <w:rPr>
                <w:rFonts w:ascii="Calibri" w:cs="Calibri" w:eastAsia="Calibri" w:hAnsi="Calibri"/>
                <w:sz w:val="24"/>
                <w:szCs w:val="24"/>
                <w:color w:val="auto"/>
                <w:w w:val="97"/>
                <w:vertAlign w:val="superscript"/>
              </w:rPr>
              <w:t>th</w:t>
            </w:r>
            <w:r>
              <w:rPr>
                <w:rFonts w:ascii="Calibri" w:cs="Calibri" w:eastAsia="Calibri" w:hAnsi="Calibri"/>
                <w:sz w:val="18"/>
                <w:szCs w:val="18"/>
                <w:color w:val="auto"/>
                <w:w w:val="97"/>
              </w:rPr>
              <w:t xml:space="preserve"> percentle of peer</w:t>
            </w:r>
          </w:p>
        </w:tc>
        <w:tc>
          <w:tcPr>
            <w:tcW w:w="1940" w:type="dxa"/>
            <w:vAlign w:val="bottom"/>
            <w:shd w:val="clear" w:color="auto" w:fill="E5E5E5"/>
          </w:tcPr>
          <w:p>
            <w:pPr>
              <w:jc w:val="center"/>
              <w:spacing w:after="0" w:line="281" w:lineRule="exact"/>
              <w:rPr>
                <w:sz w:val="20"/>
                <w:szCs w:val="20"/>
                <w:color w:val="auto"/>
              </w:rPr>
            </w:pPr>
            <w:r>
              <w:rPr>
                <w:rFonts w:ascii="Calibri" w:cs="Calibri" w:eastAsia="Calibri" w:hAnsi="Calibri"/>
                <w:sz w:val="18"/>
                <w:szCs w:val="18"/>
                <w:color w:val="auto"/>
                <w:w w:val="96"/>
              </w:rPr>
              <w:t>Above 70</w:t>
            </w:r>
            <w:r>
              <w:rPr>
                <w:rFonts w:ascii="Calibri" w:cs="Calibri" w:eastAsia="Calibri" w:hAnsi="Calibri"/>
                <w:sz w:val="24"/>
                <w:szCs w:val="24"/>
                <w:color w:val="auto"/>
                <w:w w:val="96"/>
                <w:vertAlign w:val="superscript"/>
              </w:rPr>
              <w:t>th</w:t>
            </w:r>
            <w:r>
              <w:rPr>
                <w:rFonts w:ascii="Calibri" w:cs="Calibri" w:eastAsia="Calibri" w:hAnsi="Calibri"/>
                <w:sz w:val="18"/>
                <w:szCs w:val="18"/>
                <w:color w:val="auto"/>
                <w:w w:val="96"/>
              </w:rPr>
              <w:t xml:space="preserve"> percentle of</w:t>
            </w:r>
          </w:p>
        </w:tc>
        <w:tc>
          <w:tcPr>
            <w:tcW w:w="880" w:type="dxa"/>
            <w:vAlign w:val="bottom"/>
            <w:vMerge w:val="restart"/>
            <w:shd w:val="clear" w:color="auto" w:fill="E5E5E5"/>
          </w:tcPr>
          <w:p>
            <w:pPr>
              <w:jc w:val="center"/>
              <w:spacing w:after="0"/>
              <w:rPr>
                <w:sz w:val="20"/>
                <w:szCs w:val="20"/>
                <w:color w:val="auto"/>
              </w:rPr>
            </w:pPr>
            <w:r>
              <w:rPr>
                <w:rFonts w:ascii="Calibri" w:cs="Calibri" w:eastAsia="Calibri" w:hAnsi="Calibri"/>
                <w:sz w:val="18"/>
                <w:szCs w:val="18"/>
                <w:color w:val="auto"/>
                <w:w w:val="95"/>
              </w:rPr>
              <w:t>154.48%</w:t>
            </w:r>
          </w:p>
        </w:tc>
        <w:tc>
          <w:tcPr>
            <w:tcW w:w="0" w:type="dxa"/>
            <w:vAlign w:val="bottom"/>
          </w:tcPr>
          <w:p>
            <w:pPr>
              <w:spacing w:after="0"/>
              <w:rPr>
                <w:sz w:val="1"/>
                <w:szCs w:val="1"/>
                <w:color w:val="auto"/>
              </w:rPr>
            </w:pPr>
          </w:p>
        </w:tc>
      </w:tr>
      <w:tr>
        <w:trPr>
          <w:trHeight w:val="107"/>
        </w:trPr>
        <w:tc>
          <w:tcPr>
            <w:tcW w:w="2660" w:type="dxa"/>
            <w:vAlign w:val="bottom"/>
            <w:vMerge w:val="continue"/>
            <w:shd w:val="clear" w:color="auto" w:fill="E5E5E5"/>
          </w:tcPr>
          <w:p>
            <w:pPr>
              <w:spacing w:after="0"/>
              <w:rPr>
                <w:sz w:val="9"/>
                <w:szCs w:val="9"/>
                <w:color w:val="auto"/>
              </w:rPr>
            </w:pPr>
          </w:p>
        </w:tc>
        <w:tc>
          <w:tcPr>
            <w:tcW w:w="2060" w:type="dxa"/>
            <w:vAlign w:val="bottom"/>
            <w:vMerge w:val="restart"/>
            <w:shd w:val="clear" w:color="auto" w:fill="E5E5E5"/>
          </w:tcPr>
          <w:p>
            <w:pPr>
              <w:jc w:val="center"/>
              <w:ind w:left="150"/>
              <w:spacing w:after="0" w:line="215" w:lineRule="exact"/>
              <w:rPr>
                <w:sz w:val="20"/>
                <w:szCs w:val="20"/>
                <w:color w:val="auto"/>
              </w:rPr>
            </w:pPr>
            <w:r>
              <w:rPr>
                <w:rFonts w:ascii="Calibri" w:cs="Calibri" w:eastAsia="Calibri" w:hAnsi="Calibri"/>
                <w:sz w:val="18"/>
                <w:szCs w:val="18"/>
                <w:color w:val="auto"/>
                <w:w w:val="97"/>
              </w:rPr>
              <w:t>group</w:t>
            </w:r>
          </w:p>
        </w:tc>
        <w:tc>
          <w:tcPr>
            <w:tcW w:w="1860" w:type="dxa"/>
            <w:vAlign w:val="bottom"/>
            <w:vMerge w:val="restart"/>
            <w:shd w:val="clear" w:color="auto" w:fill="E5E5E5"/>
          </w:tcPr>
          <w:p>
            <w:pPr>
              <w:jc w:val="center"/>
              <w:spacing w:after="0" w:line="215" w:lineRule="exact"/>
              <w:rPr>
                <w:sz w:val="20"/>
                <w:szCs w:val="20"/>
                <w:color w:val="auto"/>
              </w:rPr>
            </w:pPr>
            <w:r>
              <w:rPr>
                <w:rFonts w:ascii="Calibri" w:cs="Calibri" w:eastAsia="Calibri" w:hAnsi="Calibri"/>
                <w:sz w:val="18"/>
                <w:szCs w:val="18"/>
                <w:color w:val="auto"/>
                <w:w w:val="97"/>
              </w:rPr>
              <w:t>group</w:t>
            </w:r>
          </w:p>
        </w:tc>
        <w:tc>
          <w:tcPr>
            <w:tcW w:w="1840" w:type="dxa"/>
            <w:vAlign w:val="bottom"/>
            <w:vMerge w:val="restart"/>
            <w:shd w:val="clear" w:color="auto" w:fill="E5E5E5"/>
          </w:tcPr>
          <w:p>
            <w:pPr>
              <w:jc w:val="center"/>
              <w:spacing w:after="0" w:line="215" w:lineRule="exact"/>
              <w:rPr>
                <w:sz w:val="20"/>
                <w:szCs w:val="20"/>
                <w:color w:val="auto"/>
              </w:rPr>
            </w:pPr>
            <w:r>
              <w:rPr>
                <w:rFonts w:ascii="Calibri" w:cs="Calibri" w:eastAsia="Calibri" w:hAnsi="Calibri"/>
                <w:sz w:val="18"/>
                <w:szCs w:val="18"/>
                <w:color w:val="auto"/>
                <w:w w:val="97"/>
              </w:rPr>
              <w:t>group</w:t>
            </w:r>
          </w:p>
        </w:tc>
        <w:tc>
          <w:tcPr>
            <w:tcW w:w="1940" w:type="dxa"/>
            <w:vAlign w:val="bottom"/>
            <w:vMerge w:val="restart"/>
            <w:shd w:val="clear" w:color="auto" w:fill="E5E5E5"/>
          </w:tcPr>
          <w:p>
            <w:pPr>
              <w:jc w:val="center"/>
              <w:spacing w:after="0" w:line="215" w:lineRule="exact"/>
              <w:rPr>
                <w:sz w:val="20"/>
                <w:szCs w:val="20"/>
                <w:color w:val="auto"/>
              </w:rPr>
            </w:pPr>
            <w:r>
              <w:rPr>
                <w:rFonts w:ascii="Calibri" w:cs="Calibri" w:eastAsia="Calibri" w:hAnsi="Calibri"/>
                <w:sz w:val="18"/>
                <w:szCs w:val="18"/>
                <w:color w:val="auto"/>
                <w:w w:val="96"/>
              </w:rPr>
              <w:t>peer group</w:t>
            </w:r>
          </w:p>
        </w:tc>
        <w:tc>
          <w:tcPr>
            <w:tcW w:w="880" w:type="dxa"/>
            <w:vAlign w:val="bottom"/>
            <w:vMerge w:val="continue"/>
            <w:shd w:val="clear" w:color="auto" w:fill="E5E5E5"/>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60" w:type="dxa"/>
            <w:vAlign w:val="bottom"/>
            <w:shd w:val="clear" w:color="auto" w:fill="E5E5E5"/>
          </w:tcPr>
          <w:p>
            <w:pPr>
              <w:spacing w:after="0"/>
              <w:rPr>
                <w:sz w:val="9"/>
                <w:szCs w:val="9"/>
                <w:color w:val="auto"/>
              </w:rPr>
            </w:pPr>
          </w:p>
        </w:tc>
        <w:tc>
          <w:tcPr>
            <w:tcW w:w="2060" w:type="dxa"/>
            <w:vAlign w:val="bottom"/>
            <w:vMerge w:val="continue"/>
            <w:shd w:val="clear" w:color="auto" w:fill="E5E5E5"/>
          </w:tcPr>
          <w:p>
            <w:pPr>
              <w:spacing w:after="0"/>
              <w:rPr>
                <w:sz w:val="9"/>
                <w:szCs w:val="9"/>
                <w:color w:val="auto"/>
              </w:rPr>
            </w:pPr>
          </w:p>
        </w:tc>
        <w:tc>
          <w:tcPr>
            <w:tcW w:w="1860" w:type="dxa"/>
            <w:vAlign w:val="bottom"/>
            <w:vMerge w:val="continue"/>
            <w:shd w:val="clear" w:color="auto" w:fill="E5E5E5"/>
          </w:tcPr>
          <w:p>
            <w:pPr>
              <w:spacing w:after="0"/>
              <w:rPr>
                <w:sz w:val="9"/>
                <w:szCs w:val="9"/>
                <w:color w:val="auto"/>
              </w:rPr>
            </w:pPr>
          </w:p>
        </w:tc>
        <w:tc>
          <w:tcPr>
            <w:tcW w:w="1840" w:type="dxa"/>
            <w:vAlign w:val="bottom"/>
            <w:vMerge w:val="continue"/>
            <w:shd w:val="clear" w:color="auto" w:fill="E5E5E5"/>
          </w:tcPr>
          <w:p>
            <w:pPr>
              <w:spacing w:after="0"/>
              <w:rPr>
                <w:sz w:val="9"/>
                <w:szCs w:val="9"/>
                <w:color w:val="auto"/>
              </w:rPr>
            </w:pPr>
          </w:p>
        </w:tc>
        <w:tc>
          <w:tcPr>
            <w:tcW w:w="1940" w:type="dxa"/>
            <w:vAlign w:val="bottom"/>
            <w:vMerge w:val="continue"/>
            <w:shd w:val="clear" w:color="auto" w:fill="E5E5E5"/>
          </w:tcPr>
          <w:p>
            <w:pPr>
              <w:spacing w:after="0"/>
              <w:rPr>
                <w:sz w:val="9"/>
                <w:szCs w:val="9"/>
                <w:color w:val="auto"/>
              </w:rPr>
            </w:pPr>
          </w:p>
        </w:tc>
        <w:tc>
          <w:tcPr>
            <w:tcW w:w="880" w:type="dxa"/>
            <w:vAlign w:val="bottom"/>
            <w:shd w:val="clear" w:color="auto" w:fill="E5E5E5"/>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660" w:type="dxa"/>
            <w:vAlign w:val="bottom"/>
            <w:tcBorders>
              <w:bottom w:val="single" w:sz="8" w:color="auto"/>
            </w:tcBorders>
            <w:shd w:val="clear" w:color="auto" w:fill="E5E5E5"/>
          </w:tcPr>
          <w:p>
            <w:pPr>
              <w:spacing w:after="0"/>
              <w:rPr>
                <w:sz w:val="11"/>
                <w:szCs w:val="11"/>
                <w:color w:val="auto"/>
              </w:rPr>
            </w:pPr>
          </w:p>
        </w:tc>
        <w:tc>
          <w:tcPr>
            <w:tcW w:w="2060" w:type="dxa"/>
            <w:vAlign w:val="bottom"/>
            <w:tcBorders>
              <w:bottom w:val="single" w:sz="8" w:color="auto"/>
            </w:tcBorders>
            <w:shd w:val="clear" w:color="auto" w:fill="E5E5E5"/>
          </w:tcPr>
          <w:p>
            <w:pPr>
              <w:spacing w:after="0"/>
              <w:rPr>
                <w:sz w:val="11"/>
                <w:szCs w:val="11"/>
                <w:color w:val="auto"/>
              </w:rPr>
            </w:pPr>
          </w:p>
        </w:tc>
        <w:tc>
          <w:tcPr>
            <w:tcW w:w="1860" w:type="dxa"/>
            <w:vAlign w:val="bottom"/>
            <w:tcBorders>
              <w:bottom w:val="single" w:sz="8" w:color="auto"/>
            </w:tcBorders>
            <w:shd w:val="clear" w:color="auto" w:fill="E5E5E5"/>
          </w:tcPr>
          <w:p>
            <w:pPr>
              <w:spacing w:after="0"/>
              <w:rPr>
                <w:sz w:val="11"/>
                <w:szCs w:val="11"/>
                <w:color w:val="auto"/>
              </w:rPr>
            </w:pPr>
          </w:p>
        </w:tc>
        <w:tc>
          <w:tcPr>
            <w:tcW w:w="1840" w:type="dxa"/>
            <w:vAlign w:val="bottom"/>
            <w:tcBorders>
              <w:bottom w:val="single" w:sz="8" w:color="auto"/>
            </w:tcBorders>
            <w:shd w:val="clear" w:color="auto" w:fill="E5E5E5"/>
          </w:tcPr>
          <w:p>
            <w:pPr>
              <w:spacing w:after="0"/>
              <w:rPr>
                <w:sz w:val="11"/>
                <w:szCs w:val="11"/>
                <w:color w:val="auto"/>
              </w:rPr>
            </w:pPr>
          </w:p>
        </w:tc>
        <w:tc>
          <w:tcPr>
            <w:tcW w:w="1940" w:type="dxa"/>
            <w:vAlign w:val="bottom"/>
            <w:tcBorders>
              <w:bottom w:val="single" w:sz="8" w:color="auto"/>
            </w:tcBorders>
            <w:shd w:val="clear" w:color="auto" w:fill="E5E5E5"/>
          </w:tcPr>
          <w:p>
            <w:pPr>
              <w:spacing w:after="0"/>
              <w:rPr>
                <w:sz w:val="11"/>
                <w:szCs w:val="11"/>
                <w:color w:val="auto"/>
              </w:rPr>
            </w:pPr>
          </w:p>
        </w:tc>
        <w:tc>
          <w:tcPr>
            <w:tcW w:w="880" w:type="dxa"/>
            <w:vAlign w:val="bottom"/>
            <w:tcBorders>
              <w:bottom w:val="single" w:sz="8" w:color="auto"/>
            </w:tcBorders>
            <w:shd w:val="clear" w:color="auto" w:fill="E5E5E5"/>
          </w:tcPr>
          <w:p>
            <w:pPr>
              <w:spacing w:after="0"/>
              <w:rPr>
                <w:sz w:val="11"/>
                <w:szCs w:val="11"/>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firstLine="374"/>
        <w:spacing w:after="0" w:line="215" w:lineRule="auto"/>
        <w:rPr>
          <w:sz w:val="20"/>
          <w:szCs w:val="20"/>
          <w:color w:val="auto"/>
        </w:rPr>
      </w:pPr>
      <w:r>
        <w:rPr>
          <w:rFonts w:ascii="Calibri" w:cs="Calibri" w:eastAsia="Calibri" w:hAnsi="Calibri"/>
          <w:sz w:val="18"/>
          <w:szCs w:val="18"/>
          <w:color w:val="auto"/>
        </w:rPr>
        <w:t>The Company’s TSR for the three-year period ending December 31, 2023, was at the 72</w:t>
      </w:r>
      <w:r>
        <w:rPr>
          <w:rFonts w:ascii="Calibri" w:cs="Calibri" w:eastAsia="Calibri" w:hAnsi="Calibri"/>
          <w:sz w:val="24"/>
          <w:szCs w:val="24"/>
          <w:color w:val="auto"/>
          <w:vertAlign w:val="superscript"/>
        </w:rPr>
        <w:t>nd</w:t>
      </w:r>
      <w:r>
        <w:rPr>
          <w:rFonts w:ascii="Calibri" w:cs="Calibri" w:eastAsia="Calibri" w:hAnsi="Calibri"/>
          <w:sz w:val="18"/>
          <w:szCs w:val="18"/>
          <w:color w:val="auto"/>
        </w:rPr>
        <w:t xml:space="preserve"> percentle of the peer group. This level of performance resulted in an approximately 154 percent payout of the 2021 performance units, which is refected in the Stock Awards - Value Realized on Vestng column of the 2023 Opton Exercises and Stock Vested Table on page 46.</w:t>
      </w:r>
    </w:p>
    <w:p>
      <w:pPr>
        <w:spacing w:after="0" w:line="219" w:lineRule="exact"/>
        <w:rPr>
          <w:sz w:val="20"/>
          <w:szCs w:val="20"/>
          <w:color w:val="auto"/>
        </w:rPr>
      </w:pPr>
    </w:p>
    <w:p>
      <w:pPr>
        <w:jc w:val="both"/>
        <w:ind w:firstLine="374"/>
        <w:spacing w:after="0" w:line="252" w:lineRule="auto"/>
        <w:rPr>
          <w:sz w:val="20"/>
          <w:szCs w:val="20"/>
          <w:color w:val="auto"/>
        </w:rPr>
      </w:pPr>
      <w:r>
        <w:rPr>
          <w:rFonts w:ascii="Calibri" w:cs="Calibri" w:eastAsia="Calibri" w:hAnsi="Calibri"/>
          <w:sz w:val="17"/>
          <w:szCs w:val="17"/>
          <w:i w:val="1"/>
          <w:iCs w:val="1"/>
          <w:color w:val="auto"/>
        </w:rPr>
        <w:t xml:space="preserve">Payout of 2021 Restricted Stock Units. </w:t>
      </w:r>
      <w:r>
        <w:rPr>
          <w:rFonts w:ascii="Calibri" w:cs="Calibri" w:eastAsia="Calibri" w:hAnsi="Calibri"/>
          <w:sz w:val="17"/>
          <w:szCs w:val="17"/>
          <w:color w:val="auto"/>
        </w:rPr>
        <w:t>The 2021 restricted stock units vestng or restricted period ended December 31, 2023. As long as a partcipant’s</w:t>
      </w:r>
      <w:r>
        <w:rPr>
          <w:rFonts w:ascii="Calibri" w:cs="Calibri" w:eastAsia="Calibri" w:hAnsi="Calibri"/>
          <w:sz w:val="17"/>
          <w:szCs w:val="17"/>
          <w:i w:val="1"/>
          <w:iCs w:val="1"/>
          <w:color w:val="auto"/>
        </w:rPr>
        <w:t xml:space="preserve"> </w:t>
      </w:r>
      <w:r>
        <w:rPr>
          <w:rFonts w:ascii="Calibri" w:cs="Calibri" w:eastAsia="Calibri" w:hAnsi="Calibri"/>
          <w:sz w:val="17"/>
          <w:szCs w:val="17"/>
          <w:color w:val="auto"/>
        </w:rPr>
        <w:t>employment with the Company was not terminated prior to the end of such restricted period, that partcipant’s restricted stock units vested and were paid out on January 2, 2024, in shares of the Company’s Common Stock equal in number to the vested restricted stock units. The payouts of the 2021 restricted stock units are refected in the Stock Awards - Value Realized on Vestng column of the 2023 Opton Exercises and Stock Vested Table on page 46.</w:t>
      </w:r>
    </w:p>
    <w:p>
      <w:pPr>
        <w:spacing w:after="0" w:line="208"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b w:val="1"/>
          <w:bCs w:val="1"/>
          <w:color w:val="auto"/>
        </w:rPr>
        <w:t>CEO Compensaton</w:t>
      </w:r>
      <w:r>
        <w:rPr>
          <w:rFonts w:ascii="Calibri" w:cs="Calibri" w:eastAsia="Calibri" w:hAnsi="Calibri"/>
          <w:sz w:val="18"/>
          <w:szCs w:val="18"/>
          <w:color w:val="auto"/>
        </w:rPr>
        <w:t>. The 2023 compensaton for Mr. Trauschke consisted generally of the same components as the compensaton for other executve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ofcers and was based on the same compensaton principles and policies that were used in setng compensaton for other executve ofcers, including an evaluaton of Mr. Trauschke’s performance. Afer considering all factors and recommendatons in setng Mr. Trauschke’s 2023 compensaton in December 2022, the Compensaton Commitee set Mr. Trauschke’s salary for 2023 at $1,158,292, which represented a fve percent increase from 2022, kept his targeted award under the Annual Incentve Plan at 110 percent of his 2023 salary and his targeted amount of long-term compensaton at 360 percent of his 2023 salary. The overall result was that Mr. Trauschke’s approved 2023 salary, targeted award under the Annual Incentve Plan and targeted amount of long-term compensaton on a combined basis was fve percent</w:t>
      </w:r>
    </w:p>
    <w:p>
      <w:pPr>
        <w:spacing w:after="0" w:line="177" w:lineRule="exact"/>
        <w:rPr>
          <w:sz w:val="20"/>
          <w:szCs w:val="20"/>
          <w:color w:val="auto"/>
        </w:rPr>
      </w:pPr>
    </w:p>
    <w:p>
      <w:pPr>
        <w:spacing w:after="0"/>
        <w:tabs>
          <w:tab w:leader="none" w:pos="660" w:val="left"/>
        </w:tabs>
        <w:rPr>
          <w:sz w:val="20"/>
          <w:szCs w:val="20"/>
          <w:color w:val="auto"/>
        </w:rPr>
      </w:pPr>
      <w:r>
        <w:rPr>
          <w:rFonts w:ascii="Calibri" w:cs="Calibri" w:eastAsia="Calibri" w:hAnsi="Calibri"/>
          <w:sz w:val="18"/>
          <w:szCs w:val="18"/>
          <w:color w:val="auto"/>
        </w:rPr>
        <w:t>38</w:t>
      </w:r>
      <w:r>
        <w:rPr>
          <w:sz w:val="20"/>
          <w:szCs w:val="20"/>
          <w:color w:val="auto"/>
        </w:rPr>
        <w:tab/>
      </w:r>
      <w:r>
        <w:rPr>
          <w:rFonts w:ascii="Calibri" w:cs="Calibri" w:eastAsia="Calibri" w:hAnsi="Calibri"/>
          <w:sz w:val="18"/>
          <w:szCs w:val="18"/>
          <w:b w:val="1"/>
          <w:bCs w:val="1"/>
          <w:color w:val="EE2724"/>
        </w:rPr>
        <w:t xml:space="preserve">OGE Energy Corp. </w:t>
      </w:r>
      <w:r>
        <w:rPr>
          <w:rFonts w:ascii="Calibri" w:cs="Calibri" w:eastAsia="Calibri" w:hAnsi="Calibri"/>
          <w:sz w:val="18"/>
          <w:szCs w:val="18"/>
          <w:color w:val="00000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44" w:name="page45"/>
    <w:bookmarkEnd w:id="44"/>
    <w:p>
      <w:pPr>
        <w:jc w:val="both"/>
        <w:spacing w:after="0" w:line="235" w:lineRule="auto"/>
        <w:rPr>
          <w:sz w:val="20"/>
          <w:szCs w:val="20"/>
          <w:color w:val="auto"/>
        </w:rPr>
      </w:pPr>
      <w:r>
        <w:rPr>
          <w:rFonts w:ascii="Calibri" w:cs="Calibri" w:eastAsia="Calibri" w:hAnsi="Calibri"/>
          <w:sz w:val="18"/>
          <w:szCs w:val="18"/>
          <w:color w:val="auto"/>
        </w:rPr>
        <w:t>above the median of such aggregated amount for a CEO in the Company Peer Group. Like other Named Executve Ofcers, Mr. Trauschke’s targeted amount of long-term compensaton was awarded in performance units and restricted stock units based on the closing price of the Company’s Common Stock on February 21, 2023, and resulted in the grant of 70,987 performance units and 38,175 restricted stock units to Mr. Trauschke. The terms of these performance units and restricted stock units are identcal to those awarded other executves of the Company and are described above.</w:t>
      </w:r>
    </w:p>
    <w:p>
      <w:pPr>
        <w:spacing w:after="0" w:line="219" w:lineRule="exact"/>
        <w:rPr>
          <w:sz w:val="20"/>
          <w:szCs w:val="20"/>
          <w:color w:val="auto"/>
        </w:rPr>
      </w:pPr>
    </w:p>
    <w:p>
      <w:pPr>
        <w:jc w:val="both"/>
        <w:ind w:firstLine="438"/>
        <w:spacing w:after="0" w:line="251" w:lineRule="auto"/>
        <w:rPr>
          <w:sz w:val="20"/>
          <w:szCs w:val="20"/>
          <w:color w:val="auto"/>
        </w:rPr>
      </w:pPr>
      <w:r>
        <w:rPr>
          <w:rFonts w:ascii="Calibri" w:cs="Calibri" w:eastAsia="Calibri" w:hAnsi="Calibri"/>
          <w:sz w:val="17"/>
          <w:szCs w:val="17"/>
          <w:color w:val="auto"/>
        </w:rPr>
        <w:t>As a result of 2023 performance of the corporate goals described above, Mr. Trauschke was enttled to a payout of $1,485,597 under the Annual Incentve Plan, representng approximately 117 percent of his targeted award and 128 percent of his salary paid in 2023. Like other executve ofcers, Mr. Trauschke received in February 2024 a payout of approximately 154 percent of performance units previously granted to Mr. Trauschke in February 2021 based on the Company’s TSR for the three years ended December 31, 2023. All 27,383 of the restricted stock units granted to Mr. Trauschke in 2021 vested at December 31, 2023 and were paid out on January 2, 2024 in shares of the Company’s Common Stock equal in number to the vested restricted stock units. These payouts are refected in the Stock Awards - Value Realized on Vestng column of the 2023 Opton Exercises and Stock Vested Table on page 46.</w:t>
      </w:r>
    </w:p>
    <w:p>
      <w:pPr>
        <w:spacing w:after="0" w:line="210"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b w:val="1"/>
          <w:bCs w:val="1"/>
          <w:color w:val="auto"/>
        </w:rPr>
        <w:t xml:space="preserve">CEO Pay Rato. </w:t>
      </w:r>
      <w:r>
        <w:rPr>
          <w:rFonts w:ascii="Calibri" w:cs="Calibri" w:eastAsia="Calibri" w:hAnsi="Calibri"/>
          <w:sz w:val="18"/>
          <w:szCs w:val="18"/>
          <w:color w:val="auto"/>
        </w:rPr>
        <w:t>As required by the rules of the SEC, we are providing the following informaton about the relatonship of the annual total compensaton</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of our employees and the annual total compensaton of Mr. Sean Trauschke, our Chairman, President and CEO.</w:t>
      </w:r>
    </w:p>
    <w:p>
      <w:pPr>
        <w:spacing w:after="0" w:line="218"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To identfy the “median employee” from our employee populaton, we compared the amount of gross earnings as of December 31, 2022, as refected in our payroll records, which includes all salary, wages and short and long-term incentve payments received during 2022. We included all employees, whether employed on a full-tme or part-tme basis, with the exclusion of interns. We did not make any assumptons, adjustments, or estmates with respect to such compensaton, and we did not annualize the compensaton for any full-tme employees that were not employed by us for all of 2022. As permited by the rules of the SEC, we may identfy our median employee for purposes of providing pay rato disclosure once every three years and calculate and disclose total compensaton for that employee each year, provided that, during the last completed fscal year, there has been no change in the employee populaton or employee compensaton arrangements that the Company reasonably believes would result in a signifcant change to the pay rato disclosure. We have reviewed the changes in our employee populaton and employee compensatory arrangements and, based on that review, determined that there has been no change in our employee populaton or employee compensatory arrangements that would signifcantly impact our pay rato disclosure. Accordingly, we will be using the same "median employee" for purposes of calculatng the CEO pay rato for 2023.</w:t>
      </w:r>
    </w:p>
    <w:p>
      <w:pPr>
        <w:spacing w:after="0" w:line="224"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For our median employee, we combined all of the elements of such employee’s compensaton for 2023 in accordance with the requirements of Item 402(c)(2)(x) of Regulaton S-K, resultng in annual total compensaton of $133,392. With respect to the annual total compensaton of our CEO, we used the amount reported in the “Total” column (column (j)) of our 2023 Summary Compensaton Table included in this Proxy Statement on page 43. The annual total compensaton of our CEO, as reported in the Summary Compensaton Table included below, was $8,435,166. Based on this informaton, for 2023, the rato of the annual total compensaton of Mr. Trauschke, our CEO, to the median of the annual total compensaton of all employees was 63 to 1.</w:t>
      </w:r>
    </w:p>
    <w:p>
      <w:pPr>
        <w:spacing w:after="0" w:line="220"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We believe that the pay rato described above is a reasonable estmate calculated in a manner consistent with Item 402(u) of Regulaton S-K. The pay rato may vary over tme as ofcer compensaton is more variable and includes more “at risk” components of compensaton than that of our median employee, due to the compensaton of our ofcers depending more heavily on the actual performance of the Company. Further, in years when a new median employee is selected, the rato may vary if the previously selected median employee had promoted within the organizaton afer inital selecton.</w:t>
      </w:r>
    </w:p>
    <w:p>
      <w:pPr>
        <w:spacing w:after="0" w:line="219"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Because the SEC rules for identfying the median employee allow companies to adopt a variety of methodologies, to apply certain exclusions, and to make reasonable estmates and assumptons that refect their employee populatons and compensaton practces, the pay rato reported by other companies may not be comparable to the pay rato reported for our company.</w:t>
      </w:r>
    </w:p>
    <w:p>
      <w:pPr>
        <w:spacing w:after="0" w:line="219"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b w:val="1"/>
          <w:bCs w:val="1"/>
          <w:color w:val="auto"/>
        </w:rPr>
        <w:t xml:space="preserve">Other Benefts. </w:t>
      </w:r>
      <w:r>
        <w:rPr>
          <w:rFonts w:ascii="Calibri" w:cs="Calibri" w:eastAsia="Calibri" w:hAnsi="Calibri"/>
          <w:sz w:val="18"/>
          <w:szCs w:val="18"/>
          <w:color w:val="auto"/>
        </w:rPr>
        <w:t>As noted above, the key components of our executve compensaton program are salary, annual incentve awards and long-term</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incentve awards. A signifcant amount of our employees, including executve ofcers, are eligible to partcipate in our qualifed defned beneft retrement plan (“Pension Plan”) and certain employees are eligible to partcipate in the Company’s supplemental retrement plan to the Pension Plan (“Restoraton of Retrement Income Plan”) that enables</w:t>
      </w:r>
    </w:p>
    <w:p>
      <w:pPr>
        <w:spacing w:after="0" w:line="174" w:lineRule="exact"/>
        <w:rPr>
          <w:sz w:val="20"/>
          <w:szCs w:val="20"/>
          <w:color w:val="auto"/>
        </w:rPr>
      </w:pPr>
    </w:p>
    <w:p>
      <w:pPr>
        <w:spacing w:after="0"/>
        <w:tabs>
          <w:tab w:leader="none" w:pos="660" w:val="left"/>
        </w:tabs>
        <w:rPr>
          <w:sz w:val="20"/>
          <w:szCs w:val="20"/>
          <w:color w:val="auto"/>
        </w:rPr>
      </w:pPr>
      <w:r>
        <w:rPr>
          <w:rFonts w:ascii="Calibri" w:cs="Calibri" w:eastAsia="Calibri" w:hAnsi="Calibri"/>
          <w:sz w:val="18"/>
          <w:szCs w:val="18"/>
          <w:color w:val="auto"/>
        </w:rPr>
        <w:t>39</w:t>
      </w:r>
      <w:r>
        <w:rPr>
          <w:sz w:val="20"/>
          <w:szCs w:val="20"/>
          <w:color w:val="auto"/>
        </w:rPr>
        <w:tab/>
      </w:r>
      <w:r>
        <w:rPr>
          <w:rFonts w:ascii="Calibri" w:cs="Calibri" w:eastAsia="Calibri" w:hAnsi="Calibri"/>
          <w:sz w:val="18"/>
          <w:szCs w:val="18"/>
          <w:b w:val="1"/>
          <w:bCs w:val="1"/>
          <w:color w:val="EE2724"/>
        </w:rPr>
        <w:t xml:space="preserve">OGE Energy Corp. </w:t>
      </w:r>
      <w:r>
        <w:rPr>
          <w:rFonts w:ascii="Calibri" w:cs="Calibri" w:eastAsia="Calibri" w:hAnsi="Calibri"/>
          <w:sz w:val="18"/>
          <w:szCs w:val="18"/>
          <w:color w:val="00000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45" w:name="page46"/>
    <w:bookmarkEnd w:id="45"/>
    <w:p>
      <w:pPr>
        <w:jc w:val="both"/>
        <w:spacing w:after="0" w:line="251" w:lineRule="auto"/>
        <w:rPr>
          <w:sz w:val="20"/>
          <w:szCs w:val="20"/>
          <w:color w:val="auto"/>
        </w:rPr>
      </w:pPr>
      <w:r>
        <w:rPr>
          <w:rFonts w:ascii="Calibri" w:cs="Calibri" w:eastAsia="Calibri" w:hAnsi="Calibri"/>
          <w:sz w:val="17"/>
          <w:szCs w:val="17"/>
          <w:color w:val="auto"/>
        </w:rPr>
        <w:t>partcipants, including executve ofcers, to receive the same benefts that they would have received under the Company’s Pension Plan in the absence of limitatons imposed by the federal tax laws. In additon, the supplemental executve retrement plan (“SERP”), which originally was adopted in 1993 and most recently amended in 2021, provides a supplemental executve retrement plan in order to atract and retain lateral hires or other executves designated by the Compensaton Commitee who may not otherwise qualify for a sufcient level of benefts under the Company’s Pension Plan and Restoraton of Retrement Income Plan. The SERP is an unfunded plan that is not subject to the beneft limits imposed by the Internal Revenue Code. Mr. Trauschke was designated as a partcipant in the SERP in 2019 and currently is the only employee of the Company that partcipates in the SERP. For additonal informaton on the Pension Plan, Restoraton of Retrement Income Plan and the SERP (including the 2021 amendment to the SERP), see the 2023 Pension Benefts Table on page 46.</w:t>
      </w:r>
    </w:p>
    <w:p>
      <w:pPr>
        <w:spacing w:after="0" w:line="209"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Almost all employees of the Company, including executve ofcers, also are eligible to partcipate in our 401(k) Plan. Partcipants may contribute each pay period any whole percentage between two percent and 75 percent of their compensaton, as defned in the 401(k) Plan, for that pay period. Partcipants who have atained age 50 before the close of a year are allowed to make additonal contributons referred to as “Catch-Up Contributons,” subject to certain limitatons of the Internal Revenue Code of 1986 (“Code”). Partcipants may designate, at their discreton, all or any porton of their contributons as: (i) a before-tax contributon under Secton 401(k) of the Code subject to the limitatons thereof; (ii) an afer-tax Roth contributon; or (iii) a contributon made on a non-Roth afer-tax basis. The 401(k) Plan also includes an eligible automatc contributon arrangement and provides for a qualifed default investment alternatve consistent with the U.S. Department of Labor regulatons. Partcipants may elect, in accordance with the 401(k) Plan procedures, to have their future salary deferral rate to be automatcally increased annually on a date and in an amount as specifed by the partcipant in such electon. For employees hired or rehired on or afer December 1, 2009, the Company contributes to the 401(k) Plan, on behalf of each partcipant, 200 percent of the partcipant’s contributons up to fve percent of compensaton. The Company contributon for employees hired or rehired before December 1, 2009 varies depending on the partcipant’s hire date, electon with respect to partcipaton in the Pension Plan and, in some cases, years of service.</w:t>
      </w:r>
    </w:p>
    <w:p>
      <w:pPr>
        <w:spacing w:after="0" w:line="225"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No Company contributons are made with respect to a partcipant’s Catch-Up Contributons, rollover contributons, or with respect to a partcipant’s contributons based on overtme payments, pay-in-lieu of overtme for exempt personnel, special lump-sum recogniton awards and lump-sum merit awards included in compensaton for determining the amount of partcipant contributons. Once made, the Company’s contributon may be directed to any available investment opton in the 401(k) Plan. The Company match contributons vest over a three-year period. Afer two years of service, partcipants become 20 percent vested in their Company contributon account and become fully vested on completng three years of service. In additon, partcipants fully vest when they are eligible for normal or early retrement under the Pension Plan, in the event of their terminaton due to death or permanent disability or upon atainment of age 65 while employed by the Company or its afliates. The Company also maintains a nonqualifed Deferred Compensaton Plan that is described below under “2023 Nonqualifed Deferred Compensaton Table.”</w:t>
      </w:r>
    </w:p>
    <w:p>
      <w:pPr>
        <w:spacing w:after="0" w:line="223"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The Company also ofers executve ofcers a limited number of perquisites. These include payment of social membership dues at dining and country clubs for certain executve ofcers, an annual physical exam for all executve ofcers, a relocaton program and, in the case of Mr. Trauschke, use of a Company car. The relocaton program is ofered through a third-party relocaton company for employees who relocate at the Company’s request and, in appropriate circumstances, to new employees who relocated in connecton with their employment by the Company. The relocaton program provides for various levels of benefts. For full-tme employees above a certain pay level (i.e., a salary at or above approximately $60,000 per year), the program covers the cost of most of the reasonable expenses associated with relocaton, including, but not limited to, costs of selling a current residence, home fnding, temporary living and transportaton and storage of household goods. The value of the perquisites received by each executve ofcer was less than $12,000 in 2023. The Compensaton Commitee reviews annually the perquisites provided to ofcers and believes that the perquisites provided to ofcers in 2023 were reasonable.</w:t>
      </w:r>
    </w:p>
    <w:p>
      <w:pPr>
        <w:spacing w:after="0" w:line="183"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b w:val="1"/>
          <w:bCs w:val="1"/>
          <w:color w:val="auto"/>
        </w:rPr>
        <w:t xml:space="preserve">Change-of-Control Agreements and other Arrangements. </w:t>
      </w:r>
      <w:r>
        <w:rPr>
          <w:rFonts w:ascii="Calibri" w:cs="Calibri" w:eastAsia="Calibri" w:hAnsi="Calibri"/>
          <w:sz w:val="18"/>
          <w:szCs w:val="18"/>
          <w:color w:val="auto"/>
        </w:rPr>
        <w:t>None of the Company’s executve ofcers has an employment agreement with the Company.</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Each of the executve ofcers has a change of control agreement that becomes efectve upon a change of control. As explained in detail below under the heading “Potental Payments upon Terminaton or Change of Control,” if an executve ofcer’s employment is terminated by the Company “without cause” following a change of control, the executve ofcer is enttled to the following payments: (i) all accrued and unpaid compensaton and a prorated annual incentve payout and (ii) a severance payment equal to 2.99 tmes the sum of such ofcer’s (a) annual base salary and (b) highest recent annual incentve payout. The change of control agreements are considered to be double trigger agreements because payment will only be made following a change of control and terminaton of employment. The 2.99 tmes multple for change-of-control payments</w:t>
      </w:r>
    </w:p>
    <w:p>
      <w:pPr>
        <w:spacing w:after="0" w:line="177" w:lineRule="exact"/>
        <w:rPr>
          <w:sz w:val="20"/>
          <w:szCs w:val="20"/>
          <w:color w:val="auto"/>
        </w:rPr>
      </w:pPr>
    </w:p>
    <w:p>
      <w:pPr>
        <w:spacing w:after="0"/>
        <w:tabs>
          <w:tab w:leader="none" w:pos="660" w:val="left"/>
        </w:tabs>
        <w:rPr>
          <w:sz w:val="20"/>
          <w:szCs w:val="20"/>
          <w:color w:val="auto"/>
        </w:rPr>
      </w:pPr>
      <w:r>
        <w:rPr>
          <w:rFonts w:ascii="Calibri" w:cs="Calibri" w:eastAsia="Calibri" w:hAnsi="Calibri"/>
          <w:sz w:val="18"/>
          <w:szCs w:val="18"/>
          <w:color w:val="auto"/>
        </w:rPr>
        <w:t>40</w:t>
      </w:r>
      <w:r>
        <w:rPr>
          <w:sz w:val="20"/>
          <w:szCs w:val="20"/>
          <w:color w:val="auto"/>
        </w:rPr>
        <w:tab/>
      </w:r>
      <w:r>
        <w:rPr>
          <w:rFonts w:ascii="Calibri" w:cs="Calibri" w:eastAsia="Calibri" w:hAnsi="Calibri"/>
          <w:sz w:val="18"/>
          <w:szCs w:val="18"/>
          <w:b w:val="1"/>
          <w:bCs w:val="1"/>
          <w:color w:val="EE2724"/>
        </w:rPr>
        <w:t xml:space="preserve">OGE Energy Corp. </w:t>
      </w:r>
      <w:r>
        <w:rPr>
          <w:rFonts w:ascii="Calibri" w:cs="Calibri" w:eastAsia="Calibri" w:hAnsi="Calibri"/>
          <w:sz w:val="18"/>
          <w:szCs w:val="18"/>
          <w:color w:val="00000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46" w:name="page47"/>
    <w:bookmarkEnd w:id="46"/>
    <w:p>
      <w:pPr>
        <w:jc w:val="both"/>
        <w:spacing w:after="0" w:line="251" w:lineRule="auto"/>
        <w:rPr>
          <w:sz w:val="20"/>
          <w:szCs w:val="20"/>
          <w:color w:val="auto"/>
        </w:rPr>
      </w:pPr>
      <w:r>
        <w:rPr>
          <w:rFonts w:ascii="Calibri" w:cs="Calibri" w:eastAsia="Calibri" w:hAnsi="Calibri"/>
          <w:sz w:val="17"/>
          <w:szCs w:val="17"/>
          <w:color w:val="auto"/>
        </w:rPr>
        <w:t>was selected because at the tme it was considered standard. Although many companies also include provisions for tax gross-up payments to cover any excise taxes on excess parachute payments, the Company’s Board of Directors decided not to include this additonal beneft in the Company’s agreements. Instead, as explained on page 54, under the Company’s agreements if the excise tax would be imposed, the change-of-control payments will be reduced to a point where no excise tax would be payable, if such reducton would result in a greater afer-tax payment. Previously, the Company had change of control agreements in place that contained the ability for the executve to terminate voluntarily for any reason during the 30-day period immediately following the one-year anniversary of the change of control. This type of provision, sometmes referred to as a modifed double-trigger, was eliminated for executves hired afer January 1, 2009, and, with the consent of the afected executves, was eliminated in February 2012 for executve ofcers hired prior to January 1, 2009.</w:t>
      </w:r>
    </w:p>
    <w:p>
      <w:pPr>
        <w:spacing w:after="0" w:line="204" w:lineRule="exact"/>
        <w:rPr>
          <w:sz w:val="20"/>
          <w:szCs w:val="20"/>
          <w:color w:val="auto"/>
        </w:rPr>
      </w:pPr>
    </w:p>
    <w:p>
      <w:pPr>
        <w:ind w:left="380"/>
        <w:spacing w:after="0"/>
        <w:rPr>
          <w:sz w:val="20"/>
          <w:szCs w:val="20"/>
          <w:color w:val="auto"/>
        </w:rPr>
      </w:pPr>
      <w:r>
        <w:rPr>
          <w:rFonts w:ascii="Calibri" w:cs="Calibri" w:eastAsia="Calibri" w:hAnsi="Calibri"/>
          <w:sz w:val="18"/>
          <w:szCs w:val="18"/>
          <w:color w:val="auto"/>
        </w:rPr>
        <w:t>For more informaton regarding the change of control agreements, please see “Potental Payments upon Terminaton or Change of Control” below.</w:t>
      </w:r>
    </w:p>
    <w:p>
      <w:pPr>
        <w:spacing w:after="0" w:line="217"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In additon, pursuant to the terms of the Company’s incentve compensaton plans, upon a change of control, all performance units will vest and be paid out immediately in cash as if the applicable performance goals had been satsfed at target levels; all restricted stock units will vest and be paid out immediately in cash; and any annual incentve award outstanding for the year in which the partcipant’s terminaton occurs for any reason, other than cause, within 24 months afer the change of control will be paid in cash at target level on a prorated basis.</w:t>
      </w:r>
    </w:p>
    <w:p>
      <w:pPr>
        <w:spacing w:after="0" w:line="219"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b w:val="1"/>
          <w:bCs w:val="1"/>
          <w:color w:val="auto"/>
        </w:rPr>
        <w:t xml:space="preserve">Stock Ownership Guidelines. </w:t>
      </w:r>
      <w:r>
        <w:rPr>
          <w:rFonts w:ascii="Calibri" w:cs="Calibri" w:eastAsia="Calibri" w:hAnsi="Calibri"/>
          <w:sz w:val="18"/>
          <w:szCs w:val="18"/>
          <w:color w:val="auto"/>
        </w:rPr>
        <w:t>In an efort to further align management’s interests with those of the shareholders, the Compensaton Commitee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recommended, and the Board of Directors has adopted, stock ownership guidelines for the ofcers of the Company and the Company’s Board of Directors. The Compensaton Commitee reviews the stock ownership guidelines each year, and has, from tme to tme, revised such guidelines. The Compensaton Commitee believes that linking a signifcant porton of an ofcer’s current and potental future net worth to the Company’s success, as refected in the ownership of the Company’s Common Stock and the price of the Company’s Common Stock, helps to ensure that ofcers have a stake similar to that of the Company’s shareholders. The share ownership guideline for each executve is based on the executve’s positon. For 2023, the guideline for Chairman and CEO was 5.0 tmes base salary, and the guidelines for other Company ofcers (including the other Named Executve Ofcers) ranged from 2.0 to 3.0 tmes their base salaries. Each executve is expected to achieve the applicable ownership guideline within 5 years of his or her most recent promoton. Similar guidelines are in place for members of the Board of Directors at a level equal to the aggregate of their 5 most recent annual equity retainer grants.</w:t>
      </w:r>
    </w:p>
    <w:p>
      <w:pPr>
        <w:spacing w:after="0" w:line="224"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b w:val="1"/>
          <w:bCs w:val="1"/>
          <w:color w:val="auto"/>
        </w:rPr>
        <w:t xml:space="preserve">Financial Restatement and Clawback Policy. </w:t>
      </w:r>
      <w:r>
        <w:rPr>
          <w:rFonts w:ascii="Calibri" w:cs="Calibri" w:eastAsia="Calibri" w:hAnsi="Calibri"/>
          <w:sz w:val="18"/>
          <w:szCs w:val="18"/>
          <w:color w:val="auto"/>
        </w:rPr>
        <w:t>The Company has adopted an Incentve Compensaton Clawback Policy that is intended to satsfy the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requirements of Secton 303A.14 of the Listed Company Manual of the NYSE that was adopted to implement Rule 10D-1 under the Securites Exchange Act of 1934. The Policy provides that the Company shall recover from each executve ofcer, reasonably promptly following an accountng restatement, the amount of Incentve-based Compensaton (as defned in the Policy) that exceeds the amount of Incentve-based Compensaton that otherwise would have been received had it been determined based on the restated amounts, computed without regard to any taxes paid.</w:t>
      </w:r>
    </w:p>
    <w:p>
      <w:pPr>
        <w:spacing w:after="0" w:line="220"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b w:val="1"/>
          <w:bCs w:val="1"/>
          <w:color w:val="auto"/>
        </w:rPr>
        <w:t xml:space="preserve">No Hedging. </w:t>
      </w:r>
      <w:r>
        <w:rPr>
          <w:rFonts w:ascii="Calibri" w:cs="Calibri" w:eastAsia="Calibri" w:hAnsi="Calibri"/>
          <w:sz w:val="18"/>
          <w:szCs w:val="18"/>
          <w:color w:val="auto"/>
        </w:rPr>
        <w:t>Our insider trading policy prohibits our directors, executve ofcers, and other designated persons from engaging in hedging or</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monetzaton transactons with respect of the Company’s securites, such as prepaid variable forward contracts, equity swaps, collars, and exchange funds.</w:t>
      </w:r>
    </w:p>
    <w:p>
      <w:pPr>
        <w:spacing w:after="0" w:line="218"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b w:val="1"/>
          <w:bCs w:val="1"/>
          <w:color w:val="auto"/>
        </w:rPr>
        <w:t xml:space="preserve">No Share Recycling Under Stock Incentve Plan. </w:t>
      </w:r>
      <w:r>
        <w:rPr>
          <w:rFonts w:ascii="Calibri" w:cs="Calibri" w:eastAsia="Calibri" w:hAnsi="Calibri"/>
          <w:sz w:val="18"/>
          <w:szCs w:val="18"/>
          <w:color w:val="auto"/>
        </w:rPr>
        <w:t>The Company may not reissue any shares under the Plan that the Company retains as payment of the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exercise price of stock optons or SARs or to satsfy the withholding or employment taxes due upon the grant, exercise, vestng or distributon of stock optons or SARs. The Company has never issued SARs under its existng or any prior Stock Incentve Plan and has not issued any stock optons since 2004. The Compensaton Commitee has no intenton of authorizing the issuance of stock optons or SARs in the foreseeable future.</w:t>
      </w:r>
    </w:p>
    <w:p>
      <w:pPr>
        <w:spacing w:after="0" w:line="219"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b w:val="1"/>
          <w:bCs w:val="1"/>
          <w:color w:val="auto"/>
        </w:rPr>
        <w:t>Risk Assessment</w:t>
      </w:r>
      <w:r>
        <w:rPr>
          <w:rFonts w:ascii="Calibri" w:cs="Calibri" w:eastAsia="Calibri" w:hAnsi="Calibri"/>
          <w:sz w:val="18"/>
          <w:szCs w:val="18"/>
          <w:color w:val="auto"/>
        </w:rPr>
        <w:t>. The profle of our compensaton programs is designed to motvate performance while not promotng behaviors that create undue risk.</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Specifcally, the Compensaton Commitee reviews, with the assistance of Mercer, its compensaton consultant, various factors that balance performance and risk in establishing executve compensaton programs, setng compensaton levels, and selectng performance goals for payouts of annual awards under the Company’s Annual Incentve Plan and long-term goals under the Company’s Stock Incentve Plan. Specifcally, awards under the Annual Incentve Plan provide ofcers an opportunity to earn an annual cash incentve payout for achieving specifed Company performance-based goals established for the year. These Company performance goals typically are ted to earnings and measures of operatng</w:t>
      </w:r>
    </w:p>
    <w:p>
      <w:pPr>
        <w:spacing w:after="0" w:line="176" w:lineRule="exact"/>
        <w:rPr>
          <w:sz w:val="20"/>
          <w:szCs w:val="20"/>
          <w:color w:val="auto"/>
        </w:rPr>
      </w:pPr>
    </w:p>
    <w:p>
      <w:pPr>
        <w:spacing w:after="0"/>
        <w:tabs>
          <w:tab w:leader="none" w:pos="660" w:val="left"/>
        </w:tabs>
        <w:rPr>
          <w:sz w:val="20"/>
          <w:szCs w:val="20"/>
          <w:color w:val="auto"/>
        </w:rPr>
      </w:pPr>
      <w:r>
        <w:rPr>
          <w:rFonts w:ascii="Calibri" w:cs="Calibri" w:eastAsia="Calibri" w:hAnsi="Calibri"/>
          <w:sz w:val="18"/>
          <w:szCs w:val="18"/>
          <w:color w:val="auto"/>
        </w:rPr>
        <w:t>41</w:t>
      </w:r>
      <w:r>
        <w:rPr>
          <w:sz w:val="20"/>
          <w:szCs w:val="20"/>
          <w:color w:val="auto"/>
        </w:rPr>
        <w:tab/>
      </w:r>
      <w:r>
        <w:rPr>
          <w:rFonts w:ascii="Calibri" w:cs="Calibri" w:eastAsia="Calibri" w:hAnsi="Calibri"/>
          <w:sz w:val="18"/>
          <w:szCs w:val="18"/>
          <w:b w:val="1"/>
          <w:bCs w:val="1"/>
          <w:color w:val="EE2724"/>
        </w:rPr>
        <w:t xml:space="preserve">OGE Energy Corp. </w:t>
      </w:r>
      <w:r>
        <w:rPr>
          <w:rFonts w:ascii="Calibri" w:cs="Calibri" w:eastAsia="Calibri" w:hAnsi="Calibri"/>
          <w:sz w:val="18"/>
          <w:szCs w:val="18"/>
          <w:color w:val="00000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47" w:name="page48"/>
    <w:bookmarkEnd w:id="47"/>
    <w:p>
      <w:pPr>
        <w:jc w:val="both"/>
        <w:spacing w:after="0" w:line="235" w:lineRule="auto"/>
        <w:rPr>
          <w:sz w:val="20"/>
          <w:szCs w:val="20"/>
          <w:color w:val="auto"/>
        </w:rPr>
      </w:pPr>
      <w:r>
        <w:rPr>
          <w:rFonts w:ascii="Calibri" w:cs="Calibri" w:eastAsia="Calibri" w:hAnsi="Calibri"/>
          <w:sz w:val="18"/>
          <w:szCs w:val="18"/>
          <w:color w:val="auto"/>
        </w:rPr>
        <w:t>performance. Awards under the Stock Incentve Plan are equity-based and, for the performance-based components, require the achievement, typically over a three-year period, of specifc Company performance goals that are ted directly to the performance of the Company’s Common Stock or to factors that afect the performance of the Company’s Common Stock. The Compensaton Commitee believes that the following features of our policies and practces serve to mitgate material risks arising from our compensaton policies and practces:</w:t>
      </w:r>
    </w:p>
    <w:p>
      <w:pPr>
        <w:spacing w:after="0" w:line="111" w:lineRule="exact"/>
        <w:rPr>
          <w:sz w:val="20"/>
          <w:szCs w:val="20"/>
          <w:color w:val="auto"/>
        </w:rPr>
      </w:pPr>
    </w:p>
    <w:p>
      <w:pPr>
        <w:ind w:left="1020" w:right="20" w:hanging="503"/>
        <w:spacing w:after="0" w:line="235" w:lineRule="auto"/>
        <w:tabs>
          <w:tab w:leader="none" w:pos="1020" w:val="left"/>
        </w:tabs>
        <w:numPr>
          <w:ilvl w:val="0"/>
          <w:numId w:val="45"/>
        </w:numPr>
        <w:rPr>
          <w:rFonts w:ascii="Times New Roman" w:cs="Times New Roman" w:eastAsia="Times New Roman" w:hAnsi="Times New Roman"/>
          <w:sz w:val="14"/>
          <w:szCs w:val="14"/>
          <w:color w:val="auto"/>
        </w:rPr>
      </w:pPr>
      <w:r>
        <w:rPr>
          <w:rFonts w:ascii="Calibri" w:cs="Calibri" w:eastAsia="Calibri" w:hAnsi="Calibri"/>
          <w:sz w:val="18"/>
          <w:szCs w:val="18"/>
          <w:color w:val="auto"/>
        </w:rPr>
        <w:t>Performance goals are clear, easily identfable and are based on measures that are generally accepted in the industry, such as earnings, operatng and maintenance expenses and TSR.</w:t>
      </w:r>
    </w:p>
    <w:p>
      <w:pPr>
        <w:spacing w:after="0" w:line="104"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45"/>
        </w:numPr>
        <w:rPr>
          <w:rFonts w:ascii="Times New Roman" w:cs="Times New Roman" w:eastAsia="Times New Roman" w:hAnsi="Times New Roman"/>
          <w:sz w:val="14"/>
          <w:szCs w:val="14"/>
          <w:color w:val="auto"/>
        </w:rPr>
      </w:pPr>
      <w:r>
        <w:rPr>
          <w:rFonts w:ascii="Calibri" w:cs="Calibri" w:eastAsia="Calibri" w:hAnsi="Calibri"/>
          <w:sz w:val="18"/>
          <w:szCs w:val="18"/>
          <w:color w:val="auto"/>
        </w:rPr>
        <w:t>Long-term incentves have three-year vestng periods to encourage long-term decision making and value creaton.</w:t>
      </w:r>
    </w:p>
    <w:p>
      <w:pPr>
        <w:spacing w:after="0" w:line="104"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45"/>
        </w:numPr>
        <w:rPr>
          <w:rFonts w:ascii="Times New Roman" w:cs="Times New Roman" w:eastAsia="Times New Roman" w:hAnsi="Times New Roman"/>
          <w:sz w:val="14"/>
          <w:szCs w:val="14"/>
          <w:color w:val="auto"/>
        </w:rPr>
      </w:pPr>
      <w:r>
        <w:rPr>
          <w:rFonts w:ascii="Calibri" w:cs="Calibri" w:eastAsia="Calibri" w:hAnsi="Calibri"/>
          <w:sz w:val="18"/>
          <w:szCs w:val="18"/>
          <w:color w:val="auto"/>
        </w:rPr>
        <w:t>The Company’s annual and long-term plans were approved by shareholders.</w:t>
      </w:r>
    </w:p>
    <w:p>
      <w:pPr>
        <w:spacing w:after="0" w:line="104"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45"/>
        </w:numPr>
        <w:rPr>
          <w:rFonts w:ascii="Times New Roman" w:cs="Times New Roman" w:eastAsia="Times New Roman" w:hAnsi="Times New Roman"/>
          <w:sz w:val="14"/>
          <w:szCs w:val="14"/>
          <w:color w:val="auto"/>
        </w:rPr>
      </w:pPr>
      <w:r>
        <w:rPr>
          <w:rFonts w:ascii="Calibri" w:cs="Calibri" w:eastAsia="Calibri" w:hAnsi="Calibri"/>
          <w:sz w:val="18"/>
          <w:szCs w:val="18"/>
          <w:color w:val="auto"/>
        </w:rPr>
        <w:t>The plans have limits on maximum payouts.</w:t>
      </w:r>
    </w:p>
    <w:p>
      <w:pPr>
        <w:spacing w:after="0" w:line="104"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45"/>
        </w:numPr>
        <w:rPr>
          <w:rFonts w:ascii="Times New Roman" w:cs="Times New Roman" w:eastAsia="Times New Roman" w:hAnsi="Times New Roman"/>
          <w:sz w:val="14"/>
          <w:szCs w:val="14"/>
          <w:color w:val="auto"/>
        </w:rPr>
      </w:pPr>
      <w:r>
        <w:rPr>
          <w:rFonts w:ascii="Calibri" w:cs="Calibri" w:eastAsia="Calibri" w:hAnsi="Calibri"/>
          <w:sz w:val="18"/>
          <w:szCs w:val="18"/>
          <w:color w:val="auto"/>
        </w:rPr>
        <w:t>The calculatons of the level of performance for determining amount of payouts are checked and confrmed by Internal Audit.</w:t>
      </w:r>
    </w:p>
    <w:p>
      <w:pPr>
        <w:spacing w:after="0" w:line="104"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45"/>
        </w:numPr>
        <w:rPr>
          <w:rFonts w:ascii="Times New Roman" w:cs="Times New Roman" w:eastAsia="Times New Roman" w:hAnsi="Times New Roman"/>
          <w:sz w:val="14"/>
          <w:szCs w:val="14"/>
          <w:color w:val="auto"/>
        </w:rPr>
      </w:pPr>
      <w:r>
        <w:rPr>
          <w:rFonts w:ascii="Calibri" w:cs="Calibri" w:eastAsia="Calibri" w:hAnsi="Calibri"/>
          <w:sz w:val="18"/>
          <w:szCs w:val="18"/>
          <w:color w:val="auto"/>
        </w:rPr>
        <w:t>The Compensaton Commitee must approve the payouts and can reduce the payouts.</w:t>
      </w:r>
    </w:p>
    <w:p>
      <w:pPr>
        <w:spacing w:after="0" w:line="109" w:lineRule="exact"/>
        <w:rPr>
          <w:rFonts w:ascii="Times New Roman" w:cs="Times New Roman" w:eastAsia="Times New Roman" w:hAnsi="Times New Roman"/>
          <w:sz w:val="14"/>
          <w:szCs w:val="14"/>
          <w:color w:val="auto"/>
        </w:rPr>
      </w:pPr>
    </w:p>
    <w:p>
      <w:pPr>
        <w:ind w:left="1020" w:right="20" w:hanging="503"/>
        <w:spacing w:after="0" w:line="235" w:lineRule="auto"/>
        <w:tabs>
          <w:tab w:leader="none" w:pos="1020" w:val="left"/>
        </w:tabs>
        <w:numPr>
          <w:ilvl w:val="0"/>
          <w:numId w:val="45"/>
        </w:numPr>
        <w:rPr>
          <w:rFonts w:ascii="Times New Roman" w:cs="Times New Roman" w:eastAsia="Times New Roman" w:hAnsi="Times New Roman"/>
          <w:sz w:val="14"/>
          <w:szCs w:val="14"/>
          <w:color w:val="auto"/>
        </w:rPr>
      </w:pPr>
      <w:r>
        <w:rPr>
          <w:rFonts w:ascii="Calibri" w:cs="Calibri" w:eastAsia="Calibri" w:hAnsi="Calibri"/>
          <w:sz w:val="18"/>
          <w:szCs w:val="18"/>
          <w:color w:val="auto"/>
        </w:rPr>
        <w:t>Our stock ownership guidelines are designed to promote executve ofcers having a substantal stake in the Company so that executves’ interests are long-term in nature and therefore aligned with shareholders.</w:t>
      </w:r>
    </w:p>
    <w:p>
      <w:pPr>
        <w:spacing w:after="0" w:line="109" w:lineRule="exact"/>
        <w:rPr>
          <w:rFonts w:ascii="Times New Roman" w:cs="Times New Roman" w:eastAsia="Times New Roman" w:hAnsi="Times New Roman"/>
          <w:sz w:val="14"/>
          <w:szCs w:val="14"/>
          <w:color w:val="auto"/>
        </w:rPr>
      </w:pPr>
    </w:p>
    <w:p>
      <w:pPr>
        <w:ind w:left="1020" w:hanging="503"/>
        <w:spacing w:after="0" w:line="235" w:lineRule="auto"/>
        <w:tabs>
          <w:tab w:leader="none" w:pos="1020" w:val="left"/>
        </w:tabs>
        <w:numPr>
          <w:ilvl w:val="0"/>
          <w:numId w:val="45"/>
        </w:numPr>
        <w:rPr>
          <w:rFonts w:ascii="Times New Roman" w:cs="Times New Roman" w:eastAsia="Times New Roman" w:hAnsi="Times New Roman"/>
          <w:sz w:val="14"/>
          <w:szCs w:val="14"/>
          <w:color w:val="auto"/>
        </w:rPr>
      </w:pPr>
      <w:r>
        <w:rPr>
          <w:rFonts w:ascii="Calibri" w:cs="Calibri" w:eastAsia="Calibri" w:hAnsi="Calibri"/>
          <w:sz w:val="18"/>
          <w:szCs w:val="18"/>
          <w:color w:val="auto"/>
        </w:rPr>
        <w:t>Clawback policies are in place, giving us the right to pursue and recoup incentve awards that were earned based on certain fnancial results that were subsequently the subject of certain restatements.</w:t>
      </w:r>
    </w:p>
    <w:p>
      <w:pPr>
        <w:spacing w:after="0" w:line="213" w:lineRule="exact"/>
        <w:rPr>
          <w:sz w:val="20"/>
          <w:szCs w:val="20"/>
          <w:color w:val="auto"/>
        </w:rPr>
      </w:pPr>
    </w:p>
    <w:p>
      <w:pPr>
        <w:ind w:left="380"/>
        <w:spacing w:after="0"/>
        <w:rPr>
          <w:sz w:val="20"/>
          <w:szCs w:val="20"/>
          <w:color w:val="auto"/>
        </w:rPr>
      </w:pPr>
      <w:r>
        <w:rPr>
          <w:rFonts w:ascii="Calibri" w:cs="Calibri" w:eastAsia="Calibri" w:hAnsi="Calibri"/>
          <w:sz w:val="18"/>
          <w:szCs w:val="18"/>
          <w:b w:val="1"/>
          <w:bCs w:val="1"/>
          <w:color w:val="auto"/>
        </w:rPr>
        <w:t>Tax and Accountng Issues.</w:t>
      </w:r>
    </w:p>
    <w:p>
      <w:pPr>
        <w:spacing w:after="0" w:line="217"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i w:val="1"/>
          <w:iCs w:val="1"/>
          <w:color w:val="auto"/>
        </w:rPr>
        <w:t>Deductbility of Executve Compensaton</w:t>
      </w:r>
      <w:r>
        <w:rPr>
          <w:rFonts w:ascii="Calibri" w:cs="Calibri" w:eastAsia="Calibri" w:hAnsi="Calibri"/>
          <w:sz w:val="18"/>
          <w:szCs w:val="18"/>
          <w:color w:val="auto"/>
        </w:rPr>
        <w:t>. A federal tax law (Secton 162(m)) currently limits our ability to deduct certain executves’ compensaton in</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excess of $1,000,000. The 2017 Tax Cuts and Jobs Act eliminated an excepton to this deducton limitaton for “performance-based compensaton” generally, and we do not expect to have further compensaton arrangements that will be able to qualify for certain grandfather provisions regarding the deductbility of “performance-based compensaton” under this excepton. The Compensaton Commitee reserves the right to pay compensaton that exceeds Secton 162(m)’s deductbility limit.</w:t>
      </w:r>
    </w:p>
    <w:p>
      <w:pPr>
        <w:spacing w:after="0" w:line="220"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i w:val="1"/>
          <w:iCs w:val="1"/>
          <w:color w:val="auto"/>
        </w:rPr>
        <w:t xml:space="preserve">Nonqualifed Deferred Compensaton. </w:t>
      </w:r>
      <w:r>
        <w:rPr>
          <w:rFonts w:ascii="Calibri" w:cs="Calibri" w:eastAsia="Calibri" w:hAnsi="Calibri"/>
          <w:sz w:val="18"/>
          <w:szCs w:val="18"/>
          <w:color w:val="auto"/>
        </w:rPr>
        <w:t>The Company’s various employee plans comply with the tax rules applicable to nonqualifed deferred</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compensaton arrangements. A more detailed discussion of the Company’s nonqualifed deferred compensaton arrangements is provided below under the heading “2023 Nonqualifed Deferred Compensaton Table.”</w:t>
      </w:r>
    </w:p>
    <w:p>
      <w:pPr>
        <w:spacing w:after="0" w:line="173" w:lineRule="exact"/>
        <w:rPr>
          <w:sz w:val="20"/>
          <w:szCs w:val="20"/>
          <w:color w:val="auto"/>
        </w:rPr>
      </w:pPr>
    </w:p>
    <w:p>
      <w:pPr>
        <w:spacing w:after="0"/>
        <w:tabs>
          <w:tab w:leader="none" w:pos="660" w:val="left"/>
        </w:tabs>
        <w:rPr>
          <w:sz w:val="20"/>
          <w:szCs w:val="20"/>
          <w:color w:val="auto"/>
        </w:rPr>
      </w:pPr>
      <w:r>
        <w:rPr>
          <w:rFonts w:ascii="Calibri" w:cs="Calibri" w:eastAsia="Calibri" w:hAnsi="Calibri"/>
          <w:sz w:val="18"/>
          <w:szCs w:val="18"/>
          <w:color w:val="auto"/>
        </w:rPr>
        <w:t>42</w:t>
      </w:r>
      <w:r>
        <w:rPr>
          <w:sz w:val="20"/>
          <w:szCs w:val="20"/>
          <w:color w:val="auto"/>
        </w:rPr>
        <w:tab/>
      </w:r>
      <w:r>
        <w:rPr>
          <w:rFonts w:ascii="Calibri" w:cs="Calibri" w:eastAsia="Calibri" w:hAnsi="Calibri"/>
          <w:sz w:val="18"/>
          <w:szCs w:val="18"/>
          <w:b w:val="1"/>
          <w:bCs w:val="1"/>
          <w:color w:val="EE2724"/>
        </w:rPr>
        <w:t xml:space="preserve">OGE Energy Corp. </w:t>
      </w:r>
      <w:r>
        <w:rPr>
          <w:rFonts w:ascii="Calibri" w:cs="Calibri" w:eastAsia="Calibri" w:hAnsi="Calibri"/>
          <w:sz w:val="18"/>
          <w:szCs w:val="18"/>
          <w:color w:val="00000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48" w:name="page49"/>
    <w:bookmarkEnd w:id="48"/>
    <w:p>
      <w:pPr>
        <w:ind w:left="60"/>
        <w:spacing w:after="0"/>
        <w:rPr>
          <w:sz w:val="20"/>
          <w:szCs w:val="20"/>
          <w:color w:val="auto"/>
        </w:rPr>
      </w:pPr>
      <w:r>
        <w:rPr>
          <w:rFonts w:ascii="Calibri" w:cs="Calibri" w:eastAsia="Calibri" w:hAnsi="Calibri"/>
          <w:sz w:val="22"/>
          <w:szCs w:val="22"/>
          <w:b w:val="1"/>
          <w:bCs w:val="1"/>
          <w:color w:val="auto"/>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8" w:lineRule="exact"/>
        <w:rPr>
          <w:sz w:val="20"/>
          <w:szCs w:val="20"/>
          <w:color w:val="auto"/>
        </w:rPr>
      </w:pPr>
    </w:p>
    <w:p>
      <w:pPr>
        <w:ind w:right="20" w:firstLine="374"/>
        <w:spacing w:after="0" w:line="235" w:lineRule="auto"/>
        <w:rPr>
          <w:sz w:val="20"/>
          <w:szCs w:val="20"/>
          <w:color w:val="auto"/>
        </w:rPr>
      </w:pPr>
      <w:r>
        <w:rPr>
          <w:rFonts w:ascii="Calibri" w:cs="Calibri" w:eastAsia="Calibri" w:hAnsi="Calibri"/>
          <w:sz w:val="18"/>
          <w:szCs w:val="18"/>
          <w:color w:val="auto"/>
        </w:rPr>
        <w:t>The following table provides informaton regarding compensaton paid or to be paid by us or any of our subsidiaries to the president and CEO, the chief fnancial ofcer and the three other most highly compensated executve ofcers at December 31, 2023.</w:t>
      </w:r>
    </w:p>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0"/>
        </w:trPr>
        <w:tc>
          <w:tcPr>
            <w:tcW w:w="2280" w:type="dxa"/>
            <w:vAlign w:val="bottom"/>
            <w:tcBorders>
              <w:top w:val="single" w:sz="8" w:color="auto"/>
              <w:left w:val="single" w:sz="8" w:color="auto"/>
              <w:right w:val="single" w:sz="8" w:color="auto"/>
            </w:tcBorders>
          </w:tcPr>
          <w:p>
            <w:pPr>
              <w:jc w:val="center"/>
              <w:spacing w:after="0"/>
              <w:rPr>
                <w:sz w:val="20"/>
                <w:szCs w:val="20"/>
                <w:color w:val="auto"/>
              </w:rPr>
            </w:pPr>
            <w:r>
              <w:rPr>
                <w:rFonts w:ascii="Calibri" w:cs="Calibri" w:eastAsia="Calibri" w:hAnsi="Calibri"/>
                <w:sz w:val="14"/>
                <w:szCs w:val="14"/>
                <w:color w:val="auto"/>
              </w:rPr>
              <w:t>Name and</w:t>
            </w:r>
          </w:p>
        </w:tc>
        <w:tc>
          <w:tcPr>
            <w:tcW w:w="1240" w:type="dxa"/>
            <w:vAlign w:val="bottom"/>
            <w:tcBorders>
              <w:top w:val="single" w:sz="8" w:color="auto"/>
              <w:right w:val="single" w:sz="8" w:color="auto"/>
            </w:tcBorders>
          </w:tcPr>
          <w:p>
            <w:pPr>
              <w:jc w:val="right"/>
              <w:ind w:right="508"/>
              <w:spacing w:after="0"/>
              <w:rPr>
                <w:sz w:val="20"/>
                <w:szCs w:val="20"/>
                <w:color w:val="auto"/>
              </w:rPr>
            </w:pPr>
            <w:r>
              <w:rPr>
                <w:rFonts w:ascii="Calibri" w:cs="Calibri" w:eastAsia="Calibri" w:hAnsi="Calibri"/>
                <w:sz w:val="14"/>
                <w:szCs w:val="14"/>
                <w:color w:val="auto"/>
              </w:rPr>
              <w:t>Year</w:t>
            </w: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right w:val="single" w:sz="8" w:color="auto"/>
            </w:tcBorders>
          </w:tcPr>
          <w:p>
            <w:pPr>
              <w:jc w:val="center"/>
              <w:ind w:right="208"/>
              <w:spacing w:after="0"/>
              <w:rPr>
                <w:sz w:val="20"/>
                <w:szCs w:val="20"/>
                <w:color w:val="auto"/>
              </w:rPr>
            </w:pPr>
            <w:r>
              <w:rPr>
                <w:rFonts w:ascii="Calibri" w:cs="Calibri" w:eastAsia="Calibri" w:hAnsi="Calibri"/>
                <w:sz w:val="14"/>
                <w:szCs w:val="14"/>
                <w:color w:val="auto"/>
              </w:rPr>
              <w:t>Salary</w:t>
            </w: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right w:val="single" w:sz="8" w:color="auto"/>
            </w:tcBorders>
          </w:tcPr>
          <w:p>
            <w:pPr>
              <w:jc w:val="center"/>
              <w:ind w:right="228"/>
              <w:spacing w:after="0"/>
              <w:rPr>
                <w:sz w:val="20"/>
                <w:szCs w:val="20"/>
                <w:color w:val="auto"/>
              </w:rPr>
            </w:pPr>
            <w:r>
              <w:rPr>
                <w:rFonts w:ascii="Calibri" w:cs="Calibri" w:eastAsia="Calibri" w:hAnsi="Calibri"/>
                <w:sz w:val="14"/>
                <w:szCs w:val="14"/>
                <w:color w:val="auto"/>
              </w:rPr>
              <w:t>Bonus</w:t>
            </w: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right w:val="single" w:sz="8" w:color="auto"/>
            </w:tcBorders>
          </w:tcPr>
          <w:p>
            <w:pPr>
              <w:jc w:val="center"/>
              <w:ind w:right="208"/>
              <w:spacing w:after="0"/>
              <w:rPr>
                <w:sz w:val="20"/>
                <w:szCs w:val="20"/>
                <w:color w:val="auto"/>
              </w:rPr>
            </w:pPr>
            <w:r>
              <w:rPr>
                <w:rFonts w:ascii="Calibri" w:cs="Calibri" w:eastAsia="Calibri" w:hAnsi="Calibri"/>
                <w:sz w:val="14"/>
                <w:szCs w:val="14"/>
                <w:color w:val="auto"/>
                <w:w w:val="97"/>
              </w:rPr>
              <w:t>Stock</w:t>
            </w: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right w:val="single" w:sz="8" w:color="auto"/>
            </w:tcBorders>
          </w:tcPr>
          <w:p>
            <w:pPr>
              <w:jc w:val="center"/>
              <w:ind w:right="228"/>
              <w:spacing w:after="0"/>
              <w:rPr>
                <w:sz w:val="20"/>
                <w:szCs w:val="20"/>
                <w:color w:val="auto"/>
              </w:rPr>
            </w:pPr>
            <w:r>
              <w:rPr>
                <w:rFonts w:ascii="Calibri" w:cs="Calibri" w:eastAsia="Calibri" w:hAnsi="Calibri"/>
                <w:sz w:val="14"/>
                <w:szCs w:val="14"/>
                <w:color w:val="auto"/>
              </w:rPr>
              <w:t>Opton</w:t>
            </w: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right w:val="single" w:sz="8" w:color="auto"/>
            </w:tcBorders>
          </w:tcPr>
          <w:p>
            <w:pPr>
              <w:jc w:val="center"/>
              <w:ind w:right="168"/>
              <w:spacing w:after="0"/>
              <w:rPr>
                <w:sz w:val="20"/>
                <w:szCs w:val="20"/>
                <w:color w:val="auto"/>
              </w:rPr>
            </w:pPr>
            <w:r>
              <w:rPr>
                <w:rFonts w:ascii="Calibri" w:cs="Calibri" w:eastAsia="Calibri" w:hAnsi="Calibri"/>
                <w:sz w:val="14"/>
                <w:szCs w:val="14"/>
                <w:color w:val="auto"/>
              </w:rPr>
              <w:t>Non-Equity</w:t>
            </w:r>
          </w:p>
        </w:tc>
        <w:tc>
          <w:tcPr>
            <w:tcW w:w="80" w:type="dxa"/>
            <w:vAlign w:val="bottom"/>
            <w:tcBorders>
              <w:top w:val="single" w:sz="8" w:color="auto"/>
            </w:tcBorders>
          </w:tcPr>
          <w:p>
            <w:pPr>
              <w:spacing w:after="0"/>
              <w:rPr>
                <w:sz w:val="16"/>
                <w:szCs w:val="16"/>
                <w:color w:val="auto"/>
              </w:rPr>
            </w:pPr>
          </w:p>
        </w:tc>
        <w:tc>
          <w:tcPr>
            <w:tcW w:w="980" w:type="dxa"/>
            <w:vAlign w:val="bottom"/>
            <w:tcBorders>
              <w:top w:val="single" w:sz="8" w:color="auto"/>
              <w:right w:val="single" w:sz="8" w:color="auto"/>
            </w:tcBorders>
          </w:tcPr>
          <w:p>
            <w:pPr>
              <w:jc w:val="center"/>
              <w:ind w:right="168"/>
              <w:spacing w:after="0"/>
              <w:rPr>
                <w:sz w:val="20"/>
                <w:szCs w:val="20"/>
                <w:color w:val="auto"/>
              </w:rPr>
            </w:pPr>
            <w:r>
              <w:rPr>
                <w:rFonts w:ascii="Calibri" w:cs="Calibri" w:eastAsia="Calibri" w:hAnsi="Calibri"/>
                <w:sz w:val="14"/>
                <w:szCs w:val="14"/>
                <w:color w:val="auto"/>
              </w:rPr>
              <w:t>Change in</w:t>
            </w: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right w:val="single" w:sz="8" w:color="auto"/>
            </w:tcBorders>
          </w:tcPr>
          <w:p>
            <w:pPr>
              <w:jc w:val="center"/>
              <w:ind w:right="148"/>
              <w:spacing w:after="0"/>
              <w:rPr>
                <w:sz w:val="20"/>
                <w:szCs w:val="20"/>
                <w:color w:val="auto"/>
              </w:rPr>
            </w:pPr>
            <w:r>
              <w:rPr>
                <w:rFonts w:ascii="Calibri" w:cs="Calibri" w:eastAsia="Calibri" w:hAnsi="Calibri"/>
                <w:sz w:val="14"/>
                <w:szCs w:val="14"/>
                <w:color w:val="auto"/>
              </w:rPr>
              <w:t>All Other</w:t>
            </w: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right w:val="single" w:sz="8" w:color="auto"/>
            </w:tcBorders>
          </w:tcPr>
          <w:p>
            <w:pPr>
              <w:jc w:val="center"/>
              <w:ind w:right="208"/>
              <w:spacing w:after="0"/>
              <w:rPr>
                <w:sz w:val="20"/>
                <w:szCs w:val="20"/>
                <w:color w:val="auto"/>
              </w:rPr>
            </w:pPr>
            <w:r>
              <w:rPr>
                <w:rFonts w:ascii="Calibri" w:cs="Calibri" w:eastAsia="Calibri" w:hAnsi="Calibri"/>
                <w:sz w:val="14"/>
                <w:szCs w:val="14"/>
                <w:color w:val="auto"/>
                <w:w w:val="97"/>
              </w:rPr>
              <w:t>Total</w:t>
            </w:r>
          </w:p>
        </w:tc>
      </w:tr>
      <w:tr>
        <w:trPr>
          <w:trHeight w:val="171"/>
        </w:trPr>
        <w:tc>
          <w:tcPr>
            <w:tcW w:w="2280" w:type="dxa"/>
            <w:vAlign w:val="bottom"/>
            <w:tcBorders>
              <w:left w:val="single" w:sz="8" w:color="auto"/>
              <w:right w:val="single" w:sz="8" w:color="auto"/>
            </w:tcBorders>
          </w:tcPr>
          <w:p>
            <w:pPr>
              <w:jc w:val="center"/>
              <w:spacing w:after="0"/>
              <w:rPr>
                <w:sz w:val="20"/>
                <w:szCs w:val="20"/>
                <w:color w:val="auto"/>
              </w:rPr>
            </w:pPr>
            <w:r>
              <w:rPr>
                <w:rFonts w:ascii="Calibri" w:cs="Calibri" w:eastAsia="Calibri" w:hAnsi="Calibri"/>
                <w:sz w:val="14"/>
                <w:szCs w:val="14"/>
                <w:color w:val="auto"/>
              </w:rPr>
              <w:t>Principal Positon</w:t>
            </w:r>
          </w:p>
        </w:tc>
        <w:tc>
          <w:tcPr>
            <w:tcW w:w="124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Borders>
              <w:right w:val="single" w:sz="8" w:color="auto"/>
            </w:tcBorders>
          </w:tcPr>
          <w:p>
            <w:pPr>
              <w:jc w:val="center"/>
              <w:ind w:right="168"/>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820" w:type="dxa"/>
            <w:vAlign w:val="bottom"/>
            <w:tcBorders>
              <w:right w:val="single" w:sz="8" w:color="auto"/>
            </w:tcBorders>
          </w:tcPr>
          <w:p>
            <w:pPr>
              <w:jc w:val="center"/>
              <w:ind w:right="188"/>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4"/>
                <w:szCs w:val="14"/>
                <w:color w:val="auto"/>
              </w:rPr>
            </w:pPr>
          </w:p>
        </w:tc>
        <w:tc>
          <w:tcPr>
            <w:tcW w:w="740" w:type="dxa"/>
            <w:vAlign w:val="bottom"/>
            <w:tcBorders>
              <w:right w:val="single" w:sz="8" w:color="auto"/>
            </w:tcBorders>
          </w:tcPr>
          <w:p>
            <w:pPr>
              <w:jc w:val="center"/>
              <w:ind w:right="188"/>
              <w:spacing w:after="0"/>
              <w:rPr>
                <w:sz w:val="20"/>
                <w:szCs w:val="20"/>
                <w:color w:val="auto"/>
              </w:rPr>
            </w:pPr>
            <w:r>
              <w:rPr>
                <w:rFonts w:ascii="Calibri" w:cs="Calibri" w:eastAsia="Calibri" w:hAnsi="Calibri"/>
                <w:sz w:val="14"/>
                <w:szCs w:val="14"/>
                <w:color w:val="auto"/>
              </w:rPr>
              <w:t>Awards</w:t>
            </w:r>
          </w:p>
        </w:tc>
        <w:tc>
          <w:tcPr>
            <w:tcW w:w="120" w:type="dxa"/>
            <w:vAlign w:val="bottom"/>
          </w:tcPr>
          <w:p>
            <w:pPr>
              <w:spacing w:after="0"/>
              <w:rPr>
                <w:sz w:val="14"/>
                <w:szCs w:val="14"/>
                <w:color w:val="auto"/>
              </w:rPr>
            </w:pPr>
          </w:p>
        </w:tc>
        <w:tc>
          <w:tcPr>
            <w:tcW w:w="820" w:type="dxa"/>
            <w:vAlign w:val="bottom"/>
            <w:tcBorders>
              <w:right w:val="single" w:sz="8" w:color="auto"/>
            </w:tcBorders>
          </w:tcPr>
          <w:p>
            <w:pPr>
              <w:jc w:val="center"/>
              <w:ind w:right="188"/>
              <w:spacing w:after="0"/>
              <w:rPr>
                <w:sz w:val="20"/>
                <w:szCs w:val="20"/>
                <w:color w:val="auto"/>
              </w:rPr>
            </w:pPr>
            <w:r>
              <w:rPr>
                <w:rFonts w:ascii="Calibri" w:cs="Calibri" w:eastAsia="Calibri" w:hAnsi="Calibri"/>
                <w:sz w:val="14"/>
                <w:szCs w:val="14"/>
                <w:color w:val="auto"/>
              </w:rPr>
              <w:t>Awards</w:t>
            </w:r>
          </w:p>
        </w:tc>
        <w:tc>
          <w:tcPr>
            <w:tcW w:w="80" w:type="dxa"/>
            <w:vAlign w:val="bottom"/>
          </w:tcPr>
          <w:p>
            <w:pPr>
              <w:spacing w:after="0"/>
              <w:rPr>
                <w:sz w:val="14"/>
                <w:szCs w:val="14"/>
                <w:color w:val="auto"/>
              </w:rPr>
            </w:pPr>
          </w:p>
        </w:tc>
        <w:tc>
          <w:tcPr>
            <w:tcW w:w="1020" w:type="dxa"/>
            <w:vAlign w:val="bottom"/>
            <w:tcBorders>
              <w:right w:val="single" w:sz="8" w:color="auto"/>
            </w:tcBorders>
          </w:tcPr>
          <w:p>
            <w:pPr>
              <w:jc w:val="center"/>
              <w:ind w:right="128"/>
              <w:spacing w:after="0"/>
              <w:rPr>
                <w:sz w:val="20"/>
                <w:szCs w:val="20"/>
                <w:color w:val="auto"/>
              </w:rPr>
            </w:pPr>
            <w:r>
              <w:rPr>
                <w:rFonts w:ascii="Calibri" w:cs="Calibri" w:eastAsia="Calibri" w:hAnsi="Calibri"/>
                <w:sz w:val="14"/>
                <w:szCs w:val="14"/>
                <w:color w:val="auto"/>
              </w:rPr>
              <w:t>Incentve Plan</w:t>
            </w:r>
          </w:p>
        </w:tc>
        <w:tc>
          <w:tcPr>
            <w:tcW w:w="1060" w:type="dxa"/>
            <w:vAlign w:val="bottom"/>
            <w:tcBorders>
              <w:right w:val="single" w:sz="8" w:color="auto"/>
            </w:tcBorders>
            <w:gridSpan w:val="2"/>
          </w:tcPr>
          <w:p>
            <w:pPr>
              <w:jc w:val="center"/>
              <w:ind w:right="88"/>
              <w:spacing w:after="0"/>
              <w:rPr>
                <w:sz w:val="20"/>
                <w:szCs w:val="20"/>
                <w:color w:val="auto"/>
              </w:rPr>
            </w:pPr>
            <w:r>
              <w:rPr>
                <w:rFonts w:ascii="Calibri" w:cs="Calibri" w:eastAsia="Calibri" w:hAnsi="Calibri"/>
                <w:sz w:val="14"/>
                <w:szCs w:val="14"/>
                <w:color w:val="auto"/>
              </w:rPr>
              <w:t>Pension Value</w:t>
            </w:r>
          </w:p>
        </w:tc>
        <w:tc>
          <w:tcPr>
            <w:tcW w:w="880" w:type="dxa"/>
            <w:vAlign w:val="bottom"/>
            <w:tcBorders>
              <w:right w:val="single" w:sz="8" w:color="auto"/>
            </w:tcBorders>
            <w:gridSpan w:val="2"/>
          </w:tcPr>
          <w:p>
            <w:pPr>
              <w:jc w:val="center"/>
              <w:ind w:right="48"/>
              <w:spacing w:after="0"/>
              <w:rPr>
                <w:sz w:val="20"/>
                <w:szCs w:val="20"/>
                <w:color w:val="auto"/>
              </w:rPr>
            </w:pPr>
            <w:r>
              <w:rPr>
                <w:rFonts w:ascii="Calibri" w:cs="Calibri" w:eastAsia="Calibri" w:hAnsi="Calibri"/>
                <w:sz w:val="14"/>
                <w:szCs w:val="14"/>
                <w:color w:val="auto"/>
              </w:rPr>
              <w:t>Compensat</w:t>
            </w:r>
          </w:p>
        </w:tc>
        <w:tc>
          <w:tcPr>
            <w:tcW w:w="160" w:type="dxa"/>
            <w:vAlign w:val="bottom"/>
          </w:tcPr>
          <w:p>
            <w:pPr>
              <w:spacing w:after="0"/>
              <w:rPr>
                <w:sz w:val="14"/>
                <w:szCs w:val="14"/>
                <w:color w:val="auto"/>
              </w:rPr>
            </w:pPr>
          </w:p>
        </w:tc>
        <w:tc>
          <w:tcPr>
            <w:tcW w:w="800" w:type="dxa"/>
            <w:vAlign w:val="bottom"/>
            <w:tcBorders>
              <w:right w:val="single" w:sz="8" w:color="auto"/>
            </w:tcBorders>
          </w:tcPr>
          <w:p>
            <w:pPr>
              <w:jc w:val="center"/>
              <w:ind w:right="208"/>
              <w:spacing w:after="0"/>
              <w:rPr>
                <w:sz w:val="20"/>
                <w:szCs w:val="20"/>
                <w:color w:val="auto"/>
              </w:rPr>
            </w:pPr>
            <w:r>
              <w:rPr>
                <w:rFonts w:ascii="Calibri" w:cs="Calibri" w:eastAsia="Calibri" w:hAnsi="Calibri"/>
                <w:sz w:val="14"/>
                <w:szCs w:val="14"/>
                <w:color w:val="auto"/>
              </w:rPr>
              <w:t>($)</w:t>
            </w:r>
          </w:p>
        </w:tc>
      </w:tr>
      <w:tr>
        <w:trPr>
          <w:trHeight w:val="176"/>
        </w:trPr>
        <w:tc>
          <w:tcPr>
            <w:tcW w:w="2280" w:type="dxa"/>
            <w:vAlign w:val="bottom"/>
            <w:tcBorders>
              <w:left w:val="single" w:sz="8" w:color="auto"/>
              <w:right w:val="single" w:sz="8" w:color="auto"/>
            </w:tcBorders>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right w:val="single" w:sz="8" w:color="auto"/>
            </w:tcBorders>
          </w:tcPr>
          <w:p>
            <w:pPr>
              <w:jc w:val="right"/>
              <w:ind w:right="248"/>
              <w:spacing w:after="0"/>
              <w:rPr>
                <w:sz w:val="20"/>
                <w:szCs w:val="20"/>
                <w:color w:val="auto"/>
              </w:rPr>
            </w:pPr>
            <w:r>
              <w:rPr>
                <w:rFonts w:ascii="Calibri" w:cs="Calibri" w:eastAsia="Calibri" w:hAnsi="Calibri"/>
                <w:sz w:val="14"/>
                <w:szCs w:val="14"/>
                <w:color w:val="auto"/>
              </w:rPr>
              <w:t>($)(1)</w:t>
            </w:r>
          </w:p>
        </w:tc>
        <w:tc>
          <w:tcPr>
            <w:tcW w:w="120" w:type="dxa"/>
            <w:vAlign w:val="bottom"/>
          </w:tcPr>
          <w:p>
            <w:pPr>
              <w:spacing w:after="0"/>
              <w:rPr>
                <w:sz w:val="15"/>
                <w:szCs w:val="15"/>
                <w:color w:val="auto"/>
              </w:rPr>
            </w:pPr>
          </w:p>
        </w:tc>
        <w:tc>
          <w:tcPr>
            <w:tcW w:w="820" w:type="dxa"/>
            <w:vAlign w:val="bottom"/>
            <w:tcBorders>
              <w:right w:val="single" w:sz="8" w:color="auto"/>
            </w:tcBorders>
          </w:tcPr>
          <w:p>
            <w:pPr>
              <w:ind w:left="220"/>
              <w:spacing w:after="0"/>
              <w:rPr>
                <w:sz w:val="20"/>
                <w:szCs w:val="20"/>
                <w:color w:val="auto"/>
              </w:rPr>
            </w:pPr>
            <w:r>
              <w:rPr>
                <w:rFonts w:ascii="Calibri" w:cs="Calibri" w:eastAsia="Calibri" w:hAnsi="Calibri"/>
                <w:sz w:val="14"/>
                <w:szCs w:val="14"/>
                <w:color w:val="auto"/>
              </w:rPr>
              <w:t>($)</w:t>
            </w:r>
          </w:p>
        </w:tc>
        <w:tc>
          <w:tcPr>
            <w:tcW w:w="1100" w:type="dxa"/>
            <w:vAlign w:val="bottom"/>
            <w:tcBorders>
              <w:right w:val="single" w:sz="8" w:color="auto"/>
            </w:tcBorders>
            <w:gridSpan w:val="2"/>
          </w:tcPr>
          <w:p>
            <w:pPr>
              <w:jc w:val="center"/>
              <w:ind w:right="48"/>
              <w:spacing w:after="0"/>
              <w:rPr>
                <w:sz w:val="20"/>
                <w:szCs w:val="20"/>
                <w:color w:val="auto"/>
              </w:rPr>
            </w:pPr>
            <w:r>
              <w:rPr>
                <w:rFonts w:ascii="Calibri" w:cs="Calibri" w:eastAsia="Calibri" w:hAnsi="Calibri"/>
                <w:sz w:val="14"/>
                <w:szCs w:val="14"/>
                <w:color w:val="auto"/>
              </w:rPr>
              <w:t>Compensaton</w:t>
            </w:r>
          </w:p>
        </w:tc>
        <w:tc>
          <w:tcPr>
            <w:tcW w:w="80" w:type="dxa"/>
            <w:vAlign w:val="bottom"/>
          </w:tcPr>
          <w:p>
            <w:pPr>
              <w:spacing w:after="0"/>
              <w:rPr>
                <w:sz w:val="15"/>
                <w:szCs w:val="15"/>
                <w:color w:val="auto"/>
              </w:rPr>
            </w:pPr>
          </w:p>
        </w:tc>
        <w:tc>
          <w:tcPr>
            <w:tcW w:w="980" w:type="dxa"/>
            <w:vAlign w:val="bottom"/>
            <w:tcBorders>
              <w:right w:val="single" w:sz="8" w:color="auto"/>
            </w:tcBorders>
          </w:tcPr>
          <w:p>
            <w:pPr>
              <w:jc w:val="center"/>
              <w:ind w:right="168"/>
              <w:spacing w:after="0"/>
              <w:rPr>
                <w:sz w:val="20"/>
                <w:szCs w:val="20"/>
                <w:color w:val="auto"/>
              </w:rPr>
            </w:pPr>
            <w:r>
              <w:rPr>
                <w:rFonts w:ascii="Calibri" w:cs="Calibri" w:eastAsia="Calibri" w:hAnsi="Calibri"/>
                <w:sz w:val="14"/>
                <w:szCs w:val="14"/>
                <w:color w:val="auto"/>
              </w:rPr>
              <w:t>and</w:t>
            </w:r>
          </w:p>
        </w:tc>
        <w:tc>
          <w:tcPr>
            <w:tcW w:w="100" w:type="dxa"/>
            <w:vAlign w:val="bottom"/>
          </w:tcPr>
          <w:p>
            <w:pPr>
              <w:spacing w:after="0"/>
              <w:rPr>
                <w:sz w:val="15"/>
                <w:szCs w:val="15"/>
                <w:color w:val="auto"/>
              </w:rPr>
            </w:pPr>
          </w:p>
        </w:tc>
        <w:tc>
          <w:tcPr>
            <w:tcW w:w="780" w:type="dxa"/>
            <w:vAlign w:val="bottom"/>
            <w:tcBorders>
              <w:right w:val="single" w:sz="8" w:color="auto"/>
            </w:tcBorders>
          </w:tcPr>
          <w:p>
            <w:pPr>
              <w:jc w:val="center"/>
              <w:ind w:right="148"/>
              <w:spacing w:after="0"/>
              <w:rPr>
                <w:sz w:val="20"/>
                <w:szCs w:val="20"/>
                <w:color w:val="auto"/>
              </w:rPr>
            </w:pPr>
            <w:r>
              <w:rPr>
                <w:rFonts w:ascii="Calibri" w:cs="Calibri" w:eastAsia="Calibri" w:hAnsi="Calibri"/>
                <w:sz w:val="14"/>
                <w:szCs w:val="14"/>
                <w:color w:val="auto"/>
              </w:rPr>
              <w:t>on</w:t>
            </w:r>
          </w:p>
        </w:tc>
        <w:tc>
          <w:tcPr>
            <w:tcW w:w="16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r>
      <w:tr>
        <w:trPr>
          <w:trHeight w:val="175"/>
        </w:trPr>
        <w:tc>
          <w:tcPr>
            <w:tcW w:w="2280" w:type="dxa"/>
            <w:vAlign w:val="bottom"/>
            <w:tcBorders>
              <w:left w:val="single" w:sz="8" w:color="auto"/>
              <w:right w:val="single" w:sz="8" w:color="auto"/>
            </w:tcBorders>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Borders>
              <w:right w:val="single" w:sz="8" w:color="auto"/>
            </w:tcBorders>
          </w:tcPr>
          <w:p>
            <w:pPr>
              <w:jc w:val="center"/>
              <w:ind w:right="108"/>
              <w:spacing w:after="0"/>
              <w:rPr>
                <w:sz w:val="20"/>
                <w:szCs w:val="20"/>
                <w:color w:val="auto"/>
              </w:rPr>
            </w:pPr>
            <w:r>
              <w:rPr>
                <w:rFonts w:ascii="Calibri" w:cs="Calibri" w:eastAsia="Calibri" w:hAnsi="Calibri"/>
                <w:sz w:val="14"/>
                <w:szCs w:val="14"/>
                <w:color w:val="auto"/>
              </w:rPr>
              <w:t>($)(2)</w:t>
            </w:r>
          </w:p>
        </w:tc>
        <w:tc>
          <w:tcPr>
            <w:tcW w:w="80" w:type="dxa"/>
            <w:vAlign w:val="bottom"/>
          </w:tcPr>
          <w:p>
            <w:pPr>
              <w:spacing w:after="0"/>
              <w:rPr>
                <w:sz w:val="15"/>
                <w:szCs w:val="15"/>
                <w:color w:val="auto"/>
              </w:rPr>
            </w:pPr>
          </w:p>
        </w:tc>
        <w:tc>
          <w:tcPr>
            <w:tcW w:w="980" w:type="dxa"/>
            <w:vAlign w:val="bottom"/>
            <w:tcBorders>
              <w:right w:val="single" w:sz="8" w:color="auto"/>
            </w:tcBorders>
          </w:tcPr>
          <w:p>
            <w:pPr>
              <w:jc w:val="center"/>
              <w:ind w:right="128"/>
              <w:spacing w:after="0"/>
              <w:rPr>
                <w:sz w:val="20"/>
                <w:szCs w:val="20"/>
                <w:color w:val="auto"/>
              </w:rPr>
            </w:pPr>
            <w:r>
              <w:rPr>
                <w:rFonts w:ascii="Calibri" w:cs="Calibri" w:eastAsia="Calibri" w:hAnsi="Calibri"/>
                <w:sz w:val="14"/>
                <w:szCs w:val="14"/>
                <w:color w:val="auto"/>
              </w:rPr>
              <w:t>Nonqualifed</w:t>
            </w:r>
          </w:p>
        </w:tc>
        <w:tc>
          <w:tcPr>
            <w:tcW w:w="100" w:type="dxa"/>
            <w:vAlign w:val="bottom"/>
          </w:tcPr>
          <w:p>
            <w:pPr>
              <w:spacing w:after="0"/>
              <w:rPr>
                <w:sz w:val="15"/>
                <w:szCs w:val="15"/>
                <w:color w:val="auto"/>
              </w:rPr>
            </w:pPr>
          </w:p>
        </w:tc>
        <w:tc>
          <w:tcPr>
            <w:tcW w:w="780" w:type="dxa"/>
            <w:vAlign w:val="bottom"/>
            <w:tcBorders>
              <w:right w:val="single" w:sz="8" w:color="auto"/>
            </w:tcBorders>
          </w:tcPr>
          <w:p>
            <w:pPr>
              <w:jc w:val="center"/>
              <w:ind w:right="148"/>
              <w:spacing w:after="0"/>
              <w:rPr>
                <w:sz w:val="20"/>
                <w:szCs w:val="20"/>
                <w:color w:val="auto"/>
              </w:rPr>
            </w:pPr>
            <w:r>
              <w:rPr>
                <w:rFonts w:ascii="Calibri" w:cs="Calibri" w:eastAsia="Calibri" w:hAnsi="Calibri"/>
                <w:sz w:val="14"/>
                <w:szCs w:val="14"/>
                <w:color w:val="auto"/>
              </w:rPr>
              <w:t>($)(4)</w:t>
            </w:r>
          </w:p>
        </w:tc>
        <w:tc>
          <w:tcPr>
            <w:tcW w:w="16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r>
      <w:tr>
        <w:trPr>
          <w:trHeight w:val="176"/>
        </w:trPr>
        <w:tc>
          <w:tcPr>
            <w:tcW w:w="2280" w:type="dxa"/>
            <w:vAlign w:val="bottom"/>
            <w:tcBorders>
              <w:left w:val="single" w:sz="8" w:color="auto"/>
              <w:right w:val="single" w:sz="8" w:color="auto"/>
            </w:tcBorders>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Borders>
              <w:right w:val="single" w:sz="8" w:color="auto"/>
            </w:tcBorders>
          </w:tcPr>
          <w:p>
            <w:pPr>
              <w:jc w:val="center"/>
              <w:ind w:right="128"/>
              <w:spacing w:after="0"/>
              <w:rPr>
                <w:sz w:val="20"/>
                <w:szCs w:val="20"/>
                <w:color w:val="auto"/>
              </w:rPr>
            </w:pPr>
            <w:r>
              <w:rPr>
                <w:rFonts w:ascii="Calibri" w:cs="Calibri" w:eastAsia="Calibri" w:hAnsi="Calibri"/>
                <w:sz w:val="14"/>
                <w:szCs w:val="14"/>
                <w:color w:val="auto"/>
                <w:w w:val="98"/>
              </w:rPr>
              <w:t>Deferred</w:t>
            </w:r>
          </w:p>
        </w:tc>
        <w:tc>
          <w:tcPr>
            <w:tcW w:w="100" w:type="dxa"/>
            <w:vAlign w:val="bottom"/>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r>
      <w:tr>
        <w:trPr>
          <w:trHeight w:val="175"/>
        </w:trPr>
        <w:tc>
          <w:tcPr>
            <w:tcW w:w="2280" w:type="dxa"/>
            <w:vAlign w:val="bottom"/>
            <w:tcBorders>
              <w:left w:val="single" w:sz="8" w:color="auto"/>
              <w:right w:val="single" w:sz="8" w:color="auto"/>
            </w:tcBorders>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gridSpan w:val="2"/>
          </w:tcPr>
          <w:p>
            <w:pPr>
              <w:jc w:val="center"/>
              <w:ind w:right="48"/>
              <w:spacing w:after="0"/>
              <w:rPr>
                <w:sz w:val="20"/>
                <w:szCs w:val="20"/>
                <w:color w:val="auto"/>
              </w:rPr>
            </w:pPr>
            <w:r>
              <w:rPr>
                <w:rFonts w:ascii="Calibri" w:cs="Calibri" w:eastAsia="Calibri" w:hAnsi="Calibri"/>
                <w:sz w:val="14"/>
                <w:szCs w:val="14"/>
                <w:color w:val="auto"/>
              </w:rPr>
              <w:t>Compensaton</w:t>
            </w:r>
          </w:p>
        </w:tc>
        <w:tc>
          <w:tcPr>
            <w:tcW w:w="100" w:type="dxa"/>
            <w:vAlign w:val="bottom"/>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r>
      <w:tr>
        <w:trPr>
          <w:trHeight w:val="176"/>
        </w:trPr>
        <w:tc>
          <w:tcPr>
            <w:tcW w:w="2280" w:type="dxa"/>
            <w:vAlign w:val="bottom"/>
            <w:tcBorders>
              <w:left w:val="single" w:sz="8" w:color="auto"/>
              <w:right w:val="single" w:sz="8" w:color="auto"/>
            </w:tcBorders>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Borders>
              <w:right w:val="single" w:sz="8" w:color="auto"/>
            </w:tcBorders>
          </w:tcPr>
          <w:p>
            <w:pPr>
              <w:jc w:val="center"/>
              <w:ind w:right="128"/>
              <w:spacing w:after="0"/>
              <w:rPr>
                <w:sz w:val="20"/>
                <w:szCs w:val="20"/>
                <w:color w:val="auto"/>
              </w:rPr>
            </w:pPr>
            <w:r>
              <w:rPr>
                <w:rFonts w:ascii="Calibri" w:cs="Calibri" w:eastAsia="Calibri" w:hAnsi="Calibri"/>
                <w:sz w:val="14"/>
                <w:szCs w:val="14"/>
                <w:color w:val="auto"/>
              </w:rPr>
              <w:t>Earnings</w:t>
            </w:r>
          </w:p>
        </w:tc>
        <w:tc>
          <w:tcPr>
            <w:tcW w:w="100" w:type="dxa"/>
            <w:vAlign w:val="bottom"/>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r>
      <w:tr>
        <w:trPr>
          <w:trHeight w:val="176"/>
        </w:trPr>
        <w:tc>
          <w:tcPr>
            <w:tcW w:w="2280" w:type="dxa"/>
            <w:vAlign w:val="bottom"/>
            <w:tcBorders>
              <w:left w:val="single" w:sz="8" w:color="auto"/>
              <w:right w:val="single" w:sz="8" w:color="auto"/>
            </w:tcBorders>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Borders>
              <w:right w:val="single" w:sz="8" w:color="auto"/>
            </w:tcBorders>
          </w:tcPr>
          <w:p>
            <w:pPr>
              <w:jc w:val="right"/>
              <w:ind w:right="348"/>
              <w:spacing w:after="0"/>
              <w:rPr>
                <w:sz w:val="20"/>
                <w:szCs w:val="20"/>
                <w:color w:val="auto"/>
              </w:rPr>
            </w:pPr>
            <w:r>
              <w:rPr>
                <w:rFonts w:ascii="Calibri" w:cs="Calibri" w:eastAsia="Calibri" w:hAnsi="Calibri"/>
                <w:sz w:val="14"/>
                <w:szCs w:val="14"/>
                <w:color w:val="auto"/>
              </w:rPr>
              <w:t>($)(3)</w:t>
            </w:r>
          </w:p>
        </w:tc>
        <w:tc>
          <w:tcPr>
            <w:tcW w:w="100" w:type="dxa"/>
            <w:vAlign w:val="bottom"/>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r>
      <w:tr>
        <w:trPr>
          <w:trHeight w:val="50"/>
        </w:trPr>
        <w:tc>
          <w:tcPr>
            <w:tcW w:w="2280" w:type="dxa"/>
            <w:vAlign w:val="bottom"/>
            <w:tcBorders>
              <w:left w:val="single" w:sz="8" w:color="auto"/>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r>
      <w:tr>
        <w:trPr>
          <w:trHeight w:val="150"/>
        </w:trPr>
        <w:tc>
          <w:tcPr>
            <w:tcW w:w="2280" w:type="dxa"/>
            <w:vAlign w:val="bottom"/>
            <w:tcBorders>
              <w:left w:val="single" w:sz="8" w:color="auto"/>
              <w:right w:val="single" w:sz="8" w:color="auto"/>
            </w:tcBorders>
          </w:tcPr>
          <w:p>
            <w:pPr>
              <w:jc w:val="center"/>
              <w:spacing w:after="0" w:line="150" w:lineRule="exact"/>
              <w:rPr>
                <w:sz w:val="20"/>
                <w:szCs w:val="20"/>
                <w:color w:val="auto"/>
              </w:rPr>
            </w:pPr>
            <w:r>
              <w:rPr>
                <w:rFonts w:ascii="Calibri" w:cs="Calibri" w:eastAsia="Calibri" w:hAnsi="Calibri"/>
                <w:sz w:val="14"/>
                <w:szCs w:val="14"/>
                <w:color w:val="auto"/>
                <w:w w:val="91"/>
              </w:rPr>
              <w:t>(a)</w:t>
            </w:r>
          </w:p>
        </w:tc>
        <w:tc>
          <w:tcPr>
            <w:tcW w:w="1240" w:type="dxa"/>
            <w:vAlign w:val="bottom"/>
            <w:tcBorders>
              <w:right w:val="single" w:sz="8" w:color="auto"/>
            </w:tcBorders>
          </w:tcPr>
          <w:p>
            <w:pPr>
              <w:jc w:val="right"/>
              <w:ind w:right="548"/>
              <w:spacing w:after="0" w:line="150" w:lineRule="exact"/>
              <w:rPr>
                <w:sz w:val="20"/>
                <w:szCs w:val="20"/>
                <w:color w:val="auto"/>
              </w:rPr>
            </w:pPr>
            <w:r>
              <w:rPr>
                <w:rFonts w:ascii="Calibri" w:cs="Calibri" w:eastAsia="Calibri" w:hAnsi="Calibri"/>
                <w:sz w:val="14"/>
                <w:szCs w:val="14"/>
                <w:color w:val="auto"/>
              </w:rPr>
              <w:t>(b)</w:t>
            </w:r>
          </w:p>
        </w:tc>
        <w:tc>
          <w:tcPr>
            <w:tcW w:w="140" w:type="dxa"/>
            <w:vAlign w:val="bottom"/>
          </w:tcPr>
          <w:p>
            <w:pPr>
              <w:spacing w:after="0"/>
              <w:rPr>
                <w:sz w:val="13"/>
                <w:szCs w:val="13"/>
                <w:color w:val="auto"/>
              </w:rPr>
            </w:pPr>
          </w:p>
        </w:tc>
        <w:tc>
          <w:tcPr>
            <w:tcW w:w="800" w:type="dxa"/>
            <w:vAlign w:val="bottom"/>
            <w:tcBorders>
              <w:right w:val="single" w:sz="8" w:color="auto"/>
            </w:tcBorders>
          </w:tcPr>
          <w:p>
            <w:pPr>
              <w:jc w:val="center"/>
              <w:ind w:right="208"/>
              <w:spacing w:after="0" w:line="150" w:lineRule="exact"/>
              <w:rPr>
                <w:sz w:val="20"/>
                <w:szCs w:val="20"/>
                <w:color w:val="auto"/>
              </w:rPr>
            </w:pPr>
            <w:r>
              <w:rPr>
                <w:rFonts w:ascii="Calibri" w:cs="Calibri" w:eastAsia="Calibri" w:hAnsi="Calibri"/>
                <w:sz w:val="14"/>
                <w:szCs w:val="14"/>
                <w:color w:val="auto"/>
              </w:rPr>
              <w:t>(c)</w:t>
            </w:r>
          </w:p>
        </w:tc>
        <w:tc>
          <w:tcPr>
            <w:tcW w:w="160" w:type="dxa"/>
            <w:vAlign w:val="bottom"/>
          </w:tcPr>
          <w:p>
            <w:pPr>
              <w:spacing w:after="0"/>
              <w:rPr>
                <w:sz w:val="13"/>
                <w:szCs w:val="13"/>
                <w:color w:val="auto"/>
              </w:rPr>
            </w:pPr>
          </w:p>
        </w:tc>
        <w:tc>
          <w:tcPr>
            <w:tcW w:w="820" w:type="dxa"/>
            <w:vAlign w:val="bottom"/>
            <w:tcBorders>
              <w:right w:val="single" w:sz="8" w:color="auto"/>
            </w:tcBorders>
          </w:tcPr>
          <w:p>
            <w:pPr>
              <w:jc w:val="center"/>
              <w:ind w:right="228"/>
              <w:spacing w:after="0" w:line="150" w:lineRule="exact"/>
              <w:rPr>
                <w:sz w:val="20"/>
                <w:szCs w:val="20"/>
                <w:color w:val="auto"/>
              </w:rPr>
            </w:pPr>
            <w:r>
              <w:rPr>
                <w:rFonts w:ascii="Calibri" w:cs="Calibri" w:eastAsia="Calibri" w:hAnsi="Calibri"/>
                <w:sz w:val="14"/>
                <w:szCs w:val="14"/>
                <w:color w:val="auto"/>
              </w:rPr>
              <w:t>(d)</w:t>
            </w:r>
          </w:p>
        </w:tc>
        <w:tc>
          <w:tcPr>
            <w:tcW w:w="120" w:type="dxa"/>
            <w:vAlign w:val="bottom"/>
          </w:tcPr>
          <w:p>
            <w:pPr>
              <w:spacing w:after="0"/>
              <w:rPr>
                <w:sz w:val="13"/>
                <w:szCs w:val="13"/>
                <w:color w:val="auto"/>
              </w:rPr>
            </w:pPr>
          </w:p>
        </w:tc>
        <w:tc>
          <w:tcPr>
            <w:tcW w:w="740" w:type="dxa"/>
            <w:vAlign w:val="bottom"/>
            <w:tcBorders>
              <w:right w:val="single" w:sz="8" w:color="auto"/>
            </w:tcBorders>
          </w:tcPr>
          <w:p>
            <w:pPr>
              <w:jc w:val="center"/>
              <w:ind w:right="188"/>
              <w:spacing w:after="0" w:line="150" w:lineRule="exact"/>
              <w:rPr>
                <w:sz w:val="20"/>
                <w:szCs w:val="20"/>
                <w:color w:val="auto"/>
              </w:rPr>
            </w:pPr>
            <w:r>
              <w:rPr>
                <w:rFonts w:ascii="Calibri" w:cs="Calibri" w:eastAsia="Calibri" w:hAnsi="Calibri"/>
                <w:sz w:val="14"/>
                <w:szCs w:val="14"/>
                <w:color w:val="auto"/>
              </w:rPr>
              <w:t>(e)</w:t>
            </w:r>
          </w:p>
        </w:tc>
        <w:tc>
          <w:tcPr>
            <w:tcW w:w="120" w:type="dxa"/>
            <w:vAlign w:val="bottom"/>
          </w:tcPr>
          <w:p>
            <w:pPr>
              <w:spacing w:after="0"/>
              <w:rPr>
                <w:sz w:val="13"/>
                <w:szCs w:val="13"/>
                <w:color w:val="auto"/>
              </w:rPr>
            </w:pPr>
          </w:p>
        </w:tc>
        <w:tc>
          <w:tcPr>
            <w:tcW w:w="820" w:type="dxa"/>
            <w:vAlign w:val="bottom"/>
            <w:tcBorders>
              <w:right w:val="single" w:sz="8" w:color="auto"/>
            </w:tcBorders>
          </w:tcPr>
          <w:p>
            <w:pPr>
              <w:jc w:val="center"/>
              <w:ind w:right="168"/>
              <w:spacing w:after="0" w:line="150" w:lineRule="exact"/>
              <w:rPr>
                <w:sz w:val="20"/>
                <w:szCs w:val="20"/>
                <w:color w:val="auto"/>
              </w:rPr>
            </w:pPr>
            <w:r>
              <w:rPr>
                <w:rFonts w:ascii="Calibri" w:cs="Calibri" w:eastAsia="Calibri" w:hAnsi="Calibri"/>
                <w:sz w:val="14"/>
                <w:szCs w:val="14"/>
                <w:color w:val="auto"/>
              </w:rPr>
              <w:t>(f)</w:t>
            </w:r>
          </w:p>
        </w:tc>
        <w:tc>
          <w:tcPr>
            <w:tcW w:w="80" w:type="dxa"/>
            <w:vAlign w:val="bottom"/>
          </w:tcPr>
          <w:p>
            <w:pPr>
              <w:spacing w:after="0"/>
              <w:rPr>
                <w:sz w:val="13"/>
                <w:szCs w:val="13"/>
                <w:color w:val="auto"/>
              </w:rPr>
            </w:pPr>
          </w:p>
        </w:tc>
        <w:tc>
          <w:tcPr>
            <w:tcW w:w="1020" w:type="dxa"/>
            <w:vAlign w:val="bottom"/>
            <w:tcBorders>
              <w:right w:val="single" w:sz="8" w:color="auto"/>
            </w:tcBorders>
          </w:tcPr>
          <w:p>
            <w:pPr>
              <w:jc w:val="center"/>
              <w:ind w:right="128"/>
              <w:spacing w:after="0" w:line="150" w:lineRule="exact"/>
              <w:rPr>
                <w:sz w:val="20"/>
                <w:szCs w:val="20"/>
                <w:color w:val="auto"/>
              </w:rPr>
            </w:pPr>
            <w:r>
              <w:rPr>
                <w:rFonts w:ascii="Calibri" w:cs="Calibri" w:eastAsia="Calibri" w:hAnsi="Calibri"/>
                <w:sz w:val="14"/>
                <w:szCs w:val="14"/>
                <w:color w:val="auto"/>
                <w:w w:val="92"/>
              </w:rPr>
              <w:t>(g)</w:t>
            </w:r>
          </w:p>
        </w:tc>
        <w:tc>
          <w:tcPr>
            <w:tcW w:w="80" w:type="dxa"/>
            <w:vAlign w:val="bottom"/>
          </w:tcPr>
          <w:p>
            <w:pPr>
              <w:spacing w:after="0"/>
              <w:rPr>
                <w:sz w:val="13"/>
                <w:szCs w:val="13"/>
                <w:color w:val="auto"/>
              </w:rPr>
            </w:pPr>
          </w:p>
        </w:tc>
        <w:tc>
          <w:tcPr>
            <w:tcW w:w="980" w:type="dxa"/>
            <w:vAlign w:val="bottom"/>
            <w:tcBorders>
              <w:right w:val="single" w:sz="8" w:color="auto"/>
            </w:tcBorders>
          </w:tcPr>
          <w:p>
            <w:pPr>
              <w:jc w:val="center"/>
              <w:ind w:right="128"/>
              <w:spacing w:after="0" w:line="150" w:lineRule="exact"/>
              <w:rPr>
                <w:sz w:val="20"/>
                <w:szCs w:val="20"/>
                <w:color w:val="auto"/>
              </w:rPr>
            </w:pPr>
            <w:r>
              <w:rPr>
                <w:rFonts w:ascii="Calibri" w:cs="Calibri" w:eastAsia="Calibri" w:hAnsi="Calibri"/>
                <w:sz w:val="14"/>
                <w:szCs w:val="14"/>
                <w:color w:val="auto"/>
              </w:rPr>
              <w:t>(h)</w:t>
            </w:r>
          </w:p>
        </w:tc>
        <w:tc>
          <w:tcPr>
            <w:tcW w:w="100" w:type="dxa"/>
            <w:vAlign w:val="bottom"/>
          </w:tcPr>
          <w:p>
            <w:pPr>
              <w:spacing w:after="0"/>
              <w:rPr>
                <w:sz w:val="13"/>
                <w:szCs w:val="13"/>
                <w:color w:val="auto"/>
              </w:rPr>
            </w:pPr>
          </w:p>
        </w:tc>
        <w:tc>
          <w:tcPr>
            <w:tcW w:w="780" w:type="dxa"/>
            <w:vAlign w:val="bottom"/>
            <w:tcBorders>
              <w:right w:val="single" w:sz="8" w:color="auto"/>
            </w:tcBorders>
          </w:tcPr>
          <w:p>
            <w:pPr>
              <w:jc w:val="center"/>
              <w:ind w:right="148"/>
              <w:spacing w:after="0" w:line="150" w:lineRule="exact"/>
              <w:rPr>
                <w:sz w:val="20"/>
                <w:szCs w:val="20"/>
                <w:color w:val="auto"/>
              </w:rPr>
            </w:pPr>
            <w:r>
              <w:rPr>
                <w:rFonts w:ascii="Calibri" w:cs="Calibri" w:eastAsia="Calibri" w:hAnsi="Calibri"/>
                <w:sz w:val="14"/>
                <w:szCs w:val="14"/>
                <w:color w:val="auto"/>
              </w:rPr>
              <w:t>(i)</w:t>
            </w:r>
          </w:p>
        </w:tc>
        <w:tc>
          <w:tcPr>
            <w:tcW w:w="160" w:type="dxa"/>
            <w:vAlign w:val="bottom"/>
          </w:tcPr>
          <w:p>
            <w:pPr>
              <w:spacing w:after="0"/>
              <w:rPr>
                <w:sz w:val="13"/>
                <w:szCs w:val="13"/>
                <w:color w:val="auto"/>
              </w:rPr>
            </w:pPr>
          </w:p>
        </w:tc>
        <w:tc>
          <w:tcPr>
            <w:tcW w:w="800" w:type="dxa"/>
            <w:vAlign w:val="bottom"/>
            <w:tcBorders>
              <w:right w:val="single" w:sz="8" w:color="auto"/>
            </w:tcBorders>
          </w:tcPr>
          <w:p>
            <w:pPr>
              <w:jc w:val="center"/>
              <w:ind w:right="208"/>
              <w:spacing w:after="0" w:line="150" w:lineRule="exact"/>
              <w:rPr>
                <w:sz w:val="20"/>
                <w:szCs w:val="20"/>
                <w:color w:val="auto"/>
              </w:rPr>
            </w:pPr>
            <w:r>
              <w:rPr>
                <w:rFonts w:ascii="Calibri" w:cs="Calibri" w:eastAsia="Calibri" w:hAnsi="Calibri"/>
                <w:sz w:val="14"/>
                <w:szCs w:val="14"/>
                <w:color w:val="auto"/>
              </w:rPr>
              <w:t>(j)</w:t>
            </w:r>
          </w:p>
        </w:tc>
      </w:tr>
      <w:tr>
        <w:trPr>
          <w:trHeight w:val="29"/>
        </w:trPr>
        <w:tc>
          <w:tcPr>
            <w:tcW w:w="228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176"/>
        </w:trPr>
        <w:tc>
          <w:tcPr>
            <w:tcW w:w="2280" w:type="dxa"/>
            <w:vAlign w:val="bottom"/>
            <w:tcBorders>
              <w:left w:val="single" w:sz="8" w:color="auto"/>
              <w:bottom w:val="single" w:sz="8" w:color="E7E6E6"/>
              <w:right w:val="single" w:sz="8" w:color="auto"/>
            </w:tcBorders>
            <w:shd w:val="clear" w:color="auto" w:fill="E7E6E6"/>
          </w:tcPr>
          <w:p>
            <w:pPr>
              <w:ind w:left="40"/>
              <w:spacing w:after="0" w:line="164" w:lineRule="exact"/>
              <w:rPr>
                <w:sz w:val="20"/>
                <w:szCs w:val="20"/>
                <w:color w:val="auto"/>
              </w:rPr>
            </w:pPr>
            <w:r>
              <w:rPr>
                <w:rFonts w:ascii="Calibri" w:cs="Calibri" w:eastAsia="Calibri" w:hAnsi="Calibri"/>
                <w:sz w:val="14"/>
                <w:szCs w:val="14"/>
                <w:color w:val="auto"/>
              </w:rPr>
              <w:t>S. Trauschke</w:t>
            </w:r>
          </w:p>
        </w:tc>
        <w:tc>
          <w:tcPr>
            <w:tcW w:w="1240" w:type="dxa"/>
            <w:vAlign w:val="bottom"/>
            <w:tcBorders>
              <w:bottom w:val="single" w:sz="8" w:color="E7E6E6"/>
              <w:right w:val="single" w:sz="8" w:color="auto"/>
            </w:tcBorders>
            <w:shd w:val="clear" w:color="auto" w:fill="E7E6E6"/>
          </w:tcPr>
          <w:p>
            <w:pPr>
              <w:jc w:val="right"/>
              <w:ind w:right="88"/>
              <w:spacing w:after="0" w:line="164" w:lineRule="exact"/>
              <w:rPr>
                <w:sz w:val="20"/>
                <w:szCs w:val="20"/>
                <w:color w:val="auto"/>
              </w:rPr>
            </w:pPr>
            <w:r>
              <w:rPr>
                <w:rFonts w:ascii="Calibri" w:cs="Calibri" w:eastAsia="Calibri" w:hAnsi="Calibri"/>
                <w:sz w:val="14"/>
                <w:szCs w:val="14"/>
                <w:color w:val="auto"/>
              </w:rPr>
              <w:t>2023</w:t>
            </w:r>
          </w:p>
        </w:tc>
        <w:tc>
          <w:tcPr>
            <w:tcW w:w="140" w:type="dxa"/>
            <w:vAlign w:val="bottom"/>
            <w:tcBorders>
              <w:bottom w:val="single" w:sz="8" w:color="E7E6E6"/>
            </w:tcBorders>
            <w:shd w:val="clear" w:color="auto" w:fill="E7E6E6"/>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800" w:type="dxa"/>
            <w:vAlign w:val="bottom"/>
            <w:tcBorders>
              <w:bottom w:val="single" w:sz="8" w:color="E7E6E6"/>
              <w:right w:val="single" w:sz="8" w:color="auto"/>
            </w:tcBorders>
            <w:shd w:val="clear" w:color="auto" w:fill="E7E6E6"/>
          </w:tcPr>
          <w:p>
            <w:pPr>
              <w:jc w:val="right"/>
              <w:ind w:right="68"/>
              <w:spacing w:after="0" w:line="164" w:lineRule="exact"/>
              <w:rPr>
                <w:sz w:val="20"/>
                <w:szCs w:val="20"/>
                <w:color w:val="auto"/>
              </w:rPr>
            </w:pPr>
            <w:r>
              <w:rPr>
                <w:rFonts w:ascii="Calibri" w:cs="Calibri" w:eastAsia="Calibri" w:hAnsi="Calibri"/>
                <w:sz w:val="14"/>
                <w:szCs w:val="14"/>
                <w:color w:val="auto"/>
              </w:rPr>
              <w:t>1,158,290</w:t>
            </w:r>
          </w:p>
        </w:tc>
        <w:tc>
          <w:tcPr>
            <w:tcW w:w="160" w:type="dxa"/>
            <w:vAlign w:val="bottom"/>
            <w:tcBorders>
              <w:bottom w:val="single" w:sz="8" w:color="E7E6E6"/>
            </w:tcBorders>
            <w:shd w:val="clear" w:color="auto" w:fill="E7E6E6"/>
          </w:tcPr>
          <w:p>
            <w:pPr>
              <w:jc w:val="right"/>
              <w:ind w:right="8"/>
              <w:spacing w:after="0" w:line="164" w:lineRule="exact"/>
              <w:rPr>
                <w:sz w:val="20"/>
                <w:szCs w:val="20"/>
                <w:color w:val="auto"/>
              </w:rPr>
            </w:pPr>
            <w:r>
              <w:rPr>
                <w:rFonts w:ascii="Calibri" w:cs="Calibri" w:eastAsia="Calibri" w:hAnsi="Calibri"/>
                <w:sz w:val="14"/>
                <w:szCs w:val="14"/>
                <w:color w:val="auto"/>
                <w:w w:val="83"/>
              </w:rPr>
              <w:t>$</w:t>
            </w:r>
          </w:p>
        </w:tc>
        <w:tc>
          <w:tcPr>
            <w:tcW w:w="820" w:type="dxa"/>
            <w:vAlign w:val="bottom"/>
            <w:tcBorders>
              <w:bottom w:val="single" w:sz="8" w:color="E7E6E6"/>
              <w:right w:val="single" w:sz="8" w:color="auto"/>
            </w:tcBorders>
            <w:shd w:val="clear" w:color="auto" w:fill="E7E6E6"/>
          </w:tcPr>
          <w:p>
            <w:pPr>
              <w:jc w:val="right"/>
              <w:ind w:right="68"/>
              <w:spacing w:after="0" w:line="164" w:lineRule="exact"/>
              <w:rPr>
                <w:sz w:val="20"/>
                <w:szCs w:val="20"/>
                <w:color w:val="auto"/>
              </w:rPr>
            </w:pPr>
            <w:r>
              <w:rPr>
                <w:rFonts w:ascii="Calibri" w:cs="Calibri" w:eastAsia="Calibri" w:hAnsi="Calibri"/>
                <w:sz w:val="14"/>
                <w:szCs w:val="14"/>
                <w:color w:val="auto"/>
              </w:rPr>
              <w:t>—</w:t>
            </w:r>
          </w:p>
        </w:tc>
        <w:tc>
          <w:tcPr>
            <w:tcW w:w="860" w:type="dxa"/>
            <w:vAlign w:val="bottom"/>
            <w:tcBorders>
              <w:bottom w:val="single" w:sz="8" w:color="E7E6E6"/>
              <w:right w:val="single" w:sz="8" w:color="auto"/>
            </w:tcBorders>
            <w:gridSpan w:val="2"/>
            <w:shd w:val="clear" w:color="auto" w:fill="E7E6E6"/>
          </w:tcPr>
          <w:p>
            <w:pPr>
              <w:jc w:val="right"/>
              <w:ind w:right="68"/>
              <w:spacing w:after="0" w:line="164" w:lineRule="exact"/>
              <w:rPr>
                <w:sz w:val="20"/>
                <w:szCs w:val="20"/>
                <w:color w:val="auto"/>
              </w:rPr>
            </w:pPr>
            <w:r>
              <w:rPr>
                <w:rFonts w:ascii="Calibri" w:cs="Calibri" w:eastAsia="Calibri" w:hAnsi="Calibri"/>
                <w:sz w:val="14"/>
                <w:szCs w:val="14"/>
                <w:color w:val="auto"/>
              </w:rPr>
              <w:t>$ 4,533,361</w:t>
            </w:r>
          </w:p>
        </w:tc>
        <w:tc>
          <w:tcPr>
            <w:tcW w:w="120" w:type="dxa"/>
            <w:vAlign w:val="bottom"/>
            <w:tcBorders>
              <w:bottom w:val="single" w:sz="8" w:color="E7E6E6"/>
            </w:tcBorders>
            <w:shd w:val="clear" w:color="auto" w:fill="E7E6E6"/>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820" w:type="dxa"/>
            <w:vAlign w:val="bottom"/>
            <w:tcBorders>
              <w:bottom w:val="single" w:sz="8" w:color="E7E6E6"/>
              <w:right w:val="single" w:sz="8" w:color="auto"/>
            </w:tcBorders>
            <w:shd w:val="clear" w:color="auto" w:fill="E7E6E6"/>
          </w:tcPr>
          <w:p>
            <w:pPr>
              <w:ind w:left="560"/>
              <w:spacing w:after="0" w:line="164" w:lineRule="exact"/>
              <w:rPr>
                <w:sz w:val="20"/>
                <w:szCs w:val="20"/>
                <w:color w:val="auto"/>
              </w:rPr>
            </w:pPr>
            <w:r>
              <w:rPr>
                <w:rFonts w:ascii="Calibri" w:cs="Calibri" w:eastAsia="Calibri" w:hAnsi="Calibri"/>
                <w:sz w:val="14"/>
                <w:szCs w:val="14"/>
                <w:color w:val="auto"/>
              </w:rPr>
              <w:t>—</w:t>
            </w:r>
          </w:p>
        </w:tc>
        <w:tc>
          <w:tcPr>
            <w:tcW w:w="80" w:type="dxa"/>
            <w:vAlign w:val="bottom"/>
            <w:tcBorders>
              <w:bottom w:val="single" w:sz="8" w:color="E7E6E6"/>
            </w:tcBorders>
            <w:shd w:val="clear" w:color="auto" w:fill="E7E6E6"/>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1020" w:type="dxa"/>
            <w:vAlign w:val="bottom"/>
            <w:tcBorders>
              <w:bottom w:val="single" w:sz="8" w:color="E7E6E6"/>
              <w:right w:val="single" w:sz="8" w:color="auto"/>
            </w:tcBorders>
            <w:shd w:val="clear" w:color="auto" w:fill="E7E6E6"/>
          </w:tcPr>
          <w:p>
            <w:pPr>
              <w:jc w:val="right"/>
              <w:ind w:right="48"/>
              <w:spacing w:after="0" w:line="164" w:lineRule="exact"/>
              <w:rPr>
                <w:sz w:val="20"/>
                <w:szCs w:val="20"/>
                <w:color w:val="auto"/>
              </w:rPr>
            </w:pPr>
            <w:r>
              <w:rPr>
                <w:rFonts w:ascii="Calibri" w:cs="Calibri" w:eastAsia="Calibri" w:hAnsi="Calibri"/>
                <w:sz w:val="14"/>
                <w:szCs w:val="14"/>
                <w:color w:val="auto"/>
              </w:rPr>
              <w:t>1,485,597</w:t>
            </w:r>
          </w:p>
        </w:tc>
        <w:tc>
          <w:tcPr>
            <w:tcW w:w="80" w:type="dxa"/>
            <w:vAlign w:val="bottom"/>
            <w:tcBorders>
              <w:bottom w:val="single" w:sz="8" w:color="E7E6E6"/>
            </w:tcBorders>
            <w:shd w:val="clear" w:color="auto" w:fill="E7E6E6"/>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980" w:type="dxa"/>
            <w:vAlign w:val="bottom"/>
            <w:tcBorders>
              <w:bottom w:val="single" w:sz="8" w:color="E7E6E6"/>
              <w:right w:val="single" w:sz="8" w:color="auto"/>
            </w:tcBorders>
            <w:shd w:val="clear" w:color="auto" w:fill="E7E6E6"/>
          </w:tcPr>
          <w:p>
            <w:pPr>
              <w:jc w:val="right"/>
              <w:ind w:right="68"/>
              <w:spacing w:after="0" w:line="164" w:lineRule="exact"/>
              <w:rPr>
                <w:sz w:val="20"/>
                <w:szCs w:val="20"/>
                <w:color w:val="auto"/>
              </w:rPr>
            </w:pPr>
            <w:r>
              <w:rPr>
                <w:rFonts w:ascii="Calibri" w:cs="Calibri" w:eastAsia="Calibri" w:hAnsi="Calibri"/>
                <w:sz w:val="14"/>
                <w:szCs w:val="14"/>
                <w:color w:val="auto"/>
              </w:rPr>
              <w:t>1,103,668</w:t>
            </w:r>
          </w:p>
        </w:tc>
        <w:tc>
          <w:tcPr>
            <w:tcW w:w="100" w:type="dxa"/>
            <w:vAlign w:val="bottom"/>
            <w:tcBorders>
              <w:bottom w:val="single" w:sz="8" w:color="E7E6E6"/>
            </w:tcBorders>
            <w:shd w:val="clear" w:color="auto" w:fill="E7E6E6"/>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780" w:type="dxa"/>
            <w:vAlign w:val="bottom"/>
            <w:tcBorders>
              <w:bottom w:val="single" w:sz="8" w:color="E7E6E6"/>
              <w:right w:val="single" w:sz="8" w:color="auto"/>
            </w:tcBorders>
            <w:shd w:val="clear" w:color="auto" w:fill="E7E6E6"/>
          </w:tcPr>
          <w:p>
            <w:pPr>
              <w:jc w:val="right"/>
              <w:ind w:right="68"/>
              <w:spacing w:after="0" w:line="164" w:lineRule="exact"/>
              <w:rPr>
                <w:sz w:val="20"/>
                <w:szCs w:val="20"/>
                <w:color w:val="auto"/>
              </w:rPr>
            </w:pPr>
            <w:r>
              <w:rPr>
                <w:rFonts w:ascii="Calibri" w:cs="Calibri" w:eastAsia="Calibri" w:hAnsi="Calibri"/>
                <w:sz w:val="14"/>
                <w:szCs w:val="14"/>
                <w:color w:val="auto"/>
              </w:rPr>
              <w:t>154,250</w:t>
            </w:r>
          </w:p>
        </w:tc>
        <w:tc>
          <w:tcPr>
            <w:tcW w:w="160" w:type="dxa"/>
            <w:vAlign w:val="bottom"/>
            <w:tcBorders>
              <w:bottom w:val="single" w:sz="8" w:color="E7E6E6"/>
            </w:tcBorders>
            <w:shd w:val="clear" w:color="auto" w:fill="E7E6E6"/>
          </w:tcPr>
          <w:p>
            <w:pPr>
              <w:jc w:val="right"/>
              <w:ind w:right="8"/>
              <w:spacing w:after="0" w:line="164" w:lineRule="exact"/>
              <w:rPr>
                <w:sz w:val="20"/>
                <w:szCs w:val="20"/>
                <w:color w:val="auto"/>
              </w:rPr>
            </w:pPr>
            <w:r>
              <w:rPr>
                <w:rFonts w:ascii="Calibri" w:cs="Calibri" w:eastAsia="Calibri" w:hAnsi="Calibri"/>
                <w:sz w:val="14"/>
                <w:szCs w:val="14"/>
                <w:color w:val="auto"/>
                <w:w w:val="83"/>
              </w:rPr>
              <w:t>$</w:t>
            </w:r>
          </w:p>
        </w:tc>
        <w:tc>
          <w:tcPr>
            <w:tcW w:w="800" w:type="dxa"/>
            <w:vAlign w:val="bottom"/>
            <w:tcBorders>
              <w:bottom w:val="single" w:sz="8" w:color="E7E6E6"/>
              <w:right w:val="single" w:sz="8" w:color="auto"/>
            </w:tcBorders>
            <w:shd w:val="clear" w:color="auto" w:fill="E7E6E6"/>
          </w:tcPr>
          <w:p>
            <w:pPr>
              <w:jc w:val="right"/>
              <w:ind w:right="48"/>
              <w:spacing w:after="0" w:line="164" w:lineRule="exact"/>
              <w:rPr>
                <w:sz w:val="20"/>
                <w:szCs w:val="20"/>
                <w:color w:val="auto"/>
              </w:rPr>
            </w:pPr>
            <w:r>
              <w:rPr>
                <w:rFonts w:ascii="Calibri" w:cs="Calibri" w:eastAsia="Calibri" w:hAnsi="Calibri"/>
                <w:sz w:val="14"/>
                <w:szCs w:val="14"/>
                <w:color w:val="auto"/>
              </w:rPr>
              <w:t>8,435,166</w:t>
            </w:r>
          </w:p>
        </w:tc>
      </w:tr>
      <w:tr>
        <w:trPr>
          <w:trHeight w:val="170"/>
        </w:trPr>
        <w:tc>
          <w:tcPr>
            <w:tcW w:w="228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4"/>
                <w:szCs w:val="14"/>
                <w:color w:val="auto"/>
              </w:rPr>
              <w:t>Chairman, President and Chief</w:t>
            </w:r>
          </w:p>
        </w:tc>
        <w:tc>
          <w:tcPr>
            <w:tcW w:w="1240" w:type="dxa"/>
            <w:vAlign w:val="bottom"/>
            <w:tcBorders>
              <w:right w:val="single" w:sz="8" w:color="auto"/>
            </w:tcBorders>
          </w:tcPr>
          <w:p>
            <w:pPr>
              <w:jc w:val="right"/>
              <w:ind w:right="88"/>
              <w:spacing w:after="0"/>
              <w:rPr>
                <w:sz w:val="20"/>
                <w:szCs w:val="20"/>
                <w:color w:val="auto"/>
              </w:rPr>
            </w:pPr>
            <w:r>
              <w:rPr>
                <w:rFonts w:ascii="Calibri" w:cs="Calibri" w:eastAsia="Calibri" w:hAnsi="Calibri"/>
                <w:sz w:val="14"/>
                <w:szCs w:val="14"/>
                <w:color w:val="auto"/>
              </w:rPr>
              <w:t>2022</w:t>
            </w:r>
          </w:p>
        </w:tc>
        <w:tc>
          <w:tcPr>
            <w:tcW w:w="140" w:type="dxa"/>
            <w:vAlign w:val="bottom"/>
          </w:tcPr>
          <w:p>
            <w:pPr>
              <w:jc w:val="right"/>
              <w:spacing w:after="0"/>
              <w:rPr>
                <w:sz w:val="20"/>
                <w:szCs w:val="20"/>
                <w:color w:val="auto"/>
              </w:rPr>
            </w:pPr>
            <w:r>
              <w:rPr>
                <w:rFonts w:ascii="Calibri" w:cs="Calibri" w:eastAsia="Calibri" w:hAnsi="Calibri"/>
                <w:sz w:val="14"/>
                <w:szCs w:val="14"/>
                <w:color w:val="auto"/>
                <w:w w:val="83"/>
              </w:rPr>
              <w:t>$</w:t>
            </w:r>
          </w:p>
        </w:tc>
        <w:tc>
          <w:tcPr>
            <w:tcW w:w="800" w:type="dxa"/>
            <w:vAlign w:val="bottom"/>
            <w:tcBorders>
              <w:right w:val="single" w:sz="8" w:color="auto"/>
            </w:tcBorders>
          </w:tcPr>
          <w:p>
            <w:pPr>
              <w:jc w:val="right"/>
              <w:ind w:right="68"/>
              <w:spacing w:after="0"/>
              <w:rPr>
                <w:sz w:val="20"/>
                <w:szCs w:val="20"/>
                <w:color w:val="auto"/>
              </w:rPr>
            </w:pPr>
            <w:r>
              <w:rPr>
                <w:rFonts w:ascii="Calibri" w:cs="Calibri" w:eastAsia="Calibri" w:hAnsi="Calibri"/>
                <w:sz w:val="14"/>
                <w:szCs w:val="14"/>
                <w:color w:val="auto"/>
              </w:rPr>
              <w:t>1,103,128</w:t>
            </w:r>
          </w:p>
        </w:tc>
        <w:tc>
          <w:tcPr>
            <w:tcW w:w="160" w:type="dxa"/>
            <w:vAlign w:val="bottom"/>
          </w:tcPr>
          <w:p>
            <w:pPr>
              <w:jc w:val="right"/>
              <w:ind w:right="8"/>
              <w:spacing w:after="0"/>
              <w:rPr>
                <w:sz w:val="20"/>
                <w:szCs w:val="20"/>
                <w:color w:val="auto"/>
              </w:rPr>
            </w:pPr>
            <w:r>
              <w:rPr>
                <w:rFonts w:ascii="Calibri" w:cs="Calibri" w:eastAsia="Calibri" w:hAnsi="Calibri"/>
                <w:sz w:val="14"/>
                <w:szCs w:val="14"/>
                <w:color w:val="auto"/>
                <w:w w:val="83"/>
              </w:rPr>
              <w:t>$</w:t>
            </w:r>
          </w:p>
        </w:tc>
        <w:tc>
          <w:tcPr>
            <w:tcW w:w="820" w:type="dxa"/>
            <w:vAlign w:val="bottom"/>
            <w:tcBorders>
              <w:right w:val="single" w:sz="8" w:color="auto"/>
            </w:tcBorders>
          </w:tcPr>
          <w:p>
            <w:pPr>
              <w:jc w:val="right"/>
              <w:ind w:right="68"/>
              <w:spacing w:after="0"/>
              <w:rPr>
                <w:sz w:val="20"/>
                <w:szCs w:val="20"/>
                <w:color w:val="auto"/>
              </w:rPr>
            </w:pPr>
            <w:r>
              <w:rPr>
                <w:rFonts w:ascii="Calibri" w:cs="Calibri" w:eastAsia="Calibri" w:hAnsi="Calibri"/>
                <w:sz w:val="14"/>
                <w:szCs w:val="14"/>
                <w:color w:val="auto"/>
              </w:rPr>
              <w:t>—</w:t>
            </w:r>
          </w:p>
        </w:tc>
        <w:tc>
          <w:tcPr>
            <w:tcW w:w="860" w:type="dxa"/>
            <w:vAlign w:val="bottom"/>
            <w:tcBorders>
              <w:right w:val="single" w:sz="8" w:color="auto"/>
            </w:tcBorders>
            <w:gridSpan w:val="2"/>
          </w:tcPr>
          <w:p>
            <w:pPr>
              <w:jc w:val="right"/>
              <w:ind w:right="68"/>
              <w:spacing w:after="0"/>
              <w:rPr>
                <w:sz w:val="20"/>
                <w:szCs w:val="20"/>
                <w:color w:val="auto"/>
              </w:rPr>
            </w:pPr>
            <w:r>
              <w:rPr>
                <w:rFonts w:ascii="Calibri" w:cs="Calibri" w:eastAsia="Calibri" w:hAnsi="Calibri"/>
                <w:sz w:val="14"/>
                <w:szCs w:val="14"/>
                <w:color w:val="auto"/>
              </w:rPr>
              <w:t>$ 4,340,655</w:t>
            </w:r>
          </w:p>
        </w:tc>
        <w:tc>
          <w:tcPr>
            <w:tcW w:w="120" w:type="dxa"/>
            <w:vAlign w:val="bottom"/>
          </w:tcPr>
          <w:p>
            <w:pPr>
              <w:jc w:val="right"/>
              <w:spacing w:after="0"/>
              <w:rPr>
                <w:sz w:val="20"/>
                <w:szCs w:val="20"/>
                <w:color w:val="auto"/>
              </w:rPr>
            </w:pPr>
            <w:r>
              <w:rPr>
                <w:rFonts w:ascii="Calibri" w:cs="Calibri" w:eastAsia="Calibri" w:hAnsi="Calibri"/>
                <w:sz w:val="14"/>
                <w:szCs w:val="14"/>
                <w:color w:val="auto"/>
                <w:w w:val="83"/>
              </w:rPr>
              <w:t>$</w:t>
            </w:r>
          </w:p>
        </w:tc>
        <w:tc>
          <w:tcPr>
            <w:tcW w:w="820" w:type="dxa"/>
            <w:vAlign w:val="bottom"/>
            <w:tcBorders>
              <w:right w:val="single" w:sz="8" w:color="auto"/>
            </w:tcBorders>
          </w:tcPr>
          <w:p>
            <w:pPr>
              <w:ind w:left="560"/>
              <w:spacing w:after="0"/>
              <w:rPr>
                <w:sz w:val="20"/>
                <w:szCs w:val="20"/>
                <w:color w:val="auto"/>
              </w:rPr>
            </w:pPr>
            <w:r>
              <w:rPr>
                <w:rFonts w:ascii="Calibri" w:cs="Calibri" w:eastAsia="Calibri" w:hAnsi="Calibri"/>
                <w:sz w:val="14"/>
                <w:szCs w:val="14"/>
                <w:color w:val="auto"/>
              </w:rPr>
              <w:t>—</w:t>
            </w:r>
          </w:p>
        </w:tc>
        <w:tc>
          <w:tcPr>
            <w:tcW w:w="80" w:type="dxa"/>
            <w:vAlign w:val="bottom"/>
          </w:tcPr>
          <w:p>
            <w:pPr>
              <w:jc w:val="right"/>
              <w:spacing w:after="0"/>
              <w:rPr>
                <w:sz w:val="20"/>
                <w:szCs w:val="20"/>
                <w:color w:val="auto"/>
              </w:rPr>
            </w:pPr>
            <w:r>
              <w:rPr>
                <w:rFonts w:ascii="Calibri" w:cs="Calibri" w:eastAsia="Calibri" w:hAnsi="Calibri"/>
                <w:sz w:val="14"/>
                <w:szCs w:val="14"/>
                <w:color w:val="auto"/>
                <w:w w:val="83"/>
              </w:rPr>
              <w:t>$</w:t>
            </w:r>
          </w:p>
        </w:tc>
        <w:tc>
          <w:tcPr>
            <w:tcW w:w="1020" w:type="dxa"/>
            <w:vAlign w:val="bottom"/>
            <w:tcBorders>
              <w:right w:val="single" w:sz="8" w:color="auto"/>
            </w:tcBorders>
          </w:tcPr>
          <w:p>
            <w:pPr>
              <w:jc w:val="right"/>
              <w:ind w:right="48"/>
              <w:spacing w:after="0"/>
              <w:rPr>
                <w:sz w:val="20"/>
                <w:szCs w:val="20"/>
                <w:color w:val="auto"/>
              </w:rPr>
            </w:pPr>
            <w:r>
              <w:rPr>
                <w:rFonts w:ascii="Calibri" w:cs="Calibri" w:eastAsia="Calibri" w:hAnsi="Calibri"/>
                <w:sz w:val="14"/>
                <w:szCs w:val="14"/>
                <w:color w:val="auto"/>
              </w:rPr>
              <w:t>1,205,189</w:t>
            </w:r>
          </w:p>
        </w:tc>
        <w:tc>
          <w:tcPr>
            <w:tcW w:w="80" w:type="dxa"/>
            <w:vAlign w:val="bottom"/>
          </w:tcPr>
          <w:p>
            <w:pPr>
              <w:jc w:val="right"/>
              <w:spacing w:after="0"/>
              <w:rPr>
                <w:sz w:val="20"/>
                <w:szCs w:val="20"/>
                <w:color w:val="auto"/>
              </w:rPr>
            </w:pPr>
            <w:r>
              <w:rPr>
                <w:rFonts w:ascii="Calibri" w:cs="Calibri" w:eastAsia="Calibri" w:hAnsi="Calibri"/>
                <w:sz w:val="14"/>
                <w:szCs w:val="14"/>
                <w:color w:val="auto"/>
                <w:w w:val="83"/>
              </w:rPr>
              <w:t>$</w:t>
            </w:r>
          </w:p>
        </w:tc>
        <w:tc>
          <w:tcPr>
            <w:tcW w:w="980" w:type="dxa"/>
            <w:vAlign w:val="bottom"/>
            <w:tcBorders>
              <w:right w:val="single" w:sz="8" w:color="auto"/>
            </w:tcBorders>
          </w:tcPr>
          <w:p>
            <w:pPr>
              <w:jc w:val="right"/>
              <w:ind w:right="68"/>
              <w:spacing w:after="0"/>
              <w:rPr>
                <w:sz w:val="20"/>
                <w:szCs w:val="20"/>
                <w:color w:val="auto"/>
              </w:rPr>
            </w:pPr>
            <w:r>
              <w:rPr>
                <w:rFonts w:ascii="Calibri" w:cs="Calibri" w:eastAsia="Calibri" w:hAnsi="Calibri"/>
                <w:sz w:val="14"/>
                <w:szCs w:val="14"/>
                <w:color w:val="auto"/>
              </w:rPr>
              <w:t>496,397</w:t>
            </w:r>
          </w:p>
        </w:tc>
        <w:tc>
          <w:tcPr>
            <w:tcW w:w="100" w:type="dxa"/>
            <w:vAlign w:val="bottom"/>
          </w:tcPr>
          <w:p>
            <w:pPr>
              <w:jc w:val="right"/>
              <w:spacing w:after="0"/>
              <w:rPr>
                <w:sz w:val="20"/>
                <w:szCs w:val="20"/>
                <w:color w:val="auto"/>
              </w:rPr>
            </w:pPr>
            <w:r>
              <w:rPr>
                <w:rFonts w:ascii="Calibri" w:cs="Calibri" w:eastAsia="Calibri" w:hAnsi="Calibri"/>
                <w:sz w:val="14"/>
                <w:szCs w:val="14"/>
                <w:color w:val="auto"/>
                <w:w w:val="83"/>
              </w:rPr>
              <w:t>$</w:t>
            </w:r>
          </w:p>
        </w:tc>
        <w:tc>
          <w:tcPr>
            <w:tcW w:w="780" w:type="dxa"/>
            <w:vAlign w:val="bottom"/>
            <w:tcBorders>
              <w:right w:val="single" w:sz="8" w:color="auto"/>
            </w:tcBorders>
          </w:tcPr>
          <w:p>
            <w:pPr>
              <w:jc w:val="right"/>
              <w:ind w:right="68"/>
              <w:spacing w:after="0"/>
              <w:rPr>
                <w:sz w:val="20"/>
                <w:szCs w:val="20"/>
                <w:color w:val="auto"/>
              </w:rPr>
            </w:pPr>
            <w:r>
              <w:rPr>
                <w:rFonts w:ascii="Calibri" w:cs="Calibri" w:eastAsia="Calibri" w:hAnsi="Calibri"/>
                <w:sz w:val="14"/>
                <w:szCs w:val="14"/>
                <w:color w:val="auto"/>
              </w:rPr>
              <w:t>158,220</w:t>
            </w:r>
          </w:p>
        </w:tc>
        <w:tc>
          <w:tcPr>
            <w:tcW w:w="160" w:type="dxa"/>
            <w:vAlign w:val="bottom"/>
          </w:tcPr>
          <w:p>
            <w:pPr>
              <w:jc w:val="right"/>
              <w:ind w:right="8"/>
              <w:spacing w:after="0"/>
              <w:rPr>
                <w:sz w:val="20"/>
                <w:szCs w:val="20"/>
                <w:color w:val="auto"/>
              </w:rPr>
            </w:pPr>
            <w:r>
              <w:rPr>
                <w:rFonts w:ascii="Calibri" w:cs="Calibri" w:eastAsia="Calibri" w:hAnsi="Calibri"/>
                <w:sz w:val="14"/>
                <w:szCs w:val="14"/>
                <w:color w:val="auto"/>
                <w:w w:val="83"/>
              </w:rPr>
              <w:t>$</w:t>
            </w:r>
          </w:p>
        </w:tc>
        <w:tc>
          <w:tcPr>
            <w:tcW w:w="800" w:type="dxa"/>
            <w:vAlign w:val="bottom"/>
            <w:tcBorders>
              <w:right w:val="single" w:sz="8" w:color="auto"/>
            </w:tcBorders>
          </w:tcPr>
          <w:p>
            <w:pPr>
              <w:jc w:val="right"/>
              <w:ind w:right="48"/>
              <w:spacing w:after="0"/>
              <w:rPr>
                <w:sz w:val="20"/>
                <w:szCs w:val="20"/>
                <w:color w:val="auto"/>
              </w:rPr>
            </w:pPr>
            <w:r>
              <w:rPr>
                <w:rFonts w:ascii="Calibri" w:cs="Calibri" w:eastAsia="Calibri" w:hAnsi="Calibri"/>
                <w:sz w:val="14"/>
                <w:szCs w:val="14"/>
                <w:color w:val="auto"/>
              </w:rPr>
              <w:t>7,303,589</w:t>
            </w:r>
          </w:p>
        </w:tc>
      </w:tr>
      <w:tr>
        <w:trPr>
          <w:trHeight w:val="33"/>
        </w:trPr>
        <w:tc>
          <w:tcPr>
            <w:tcW w:w="2280" w:type="dxa"/>
            <w:vAlign w:val="bottom"/>
            <w:tcBorders>
              <w:left w:val="single" w:sz="8" w:color="auto"/>
              <w:right w:val="single" w:sz="8" w:color="auto"/>
            </w:tcBorders>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860" w:type="dxa"/>
            <w:vAlign w:val="bottom"/>
            <w:tcBorders>
              <w:right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r>
      <w:tr>
        <w:trPr>
          <w:trHeight w:val="183"/>
        </w:trPr>
        <w:tc>
          <w:tcPr>
            <w:tcW w:w="2280" w:type="dxa"/>
            <w:vAlign w:val="bottom"/>
            <w:tcBorders>
              <w:left w:val="single" w:sz="8" w:color="auto"/>
              <w:bottom w:val="single" w:sz="8" w:color="E7E6E6"/>
              <w:right w:val="single" w:sz="8" w:color="auto"/>
            </w:tcBorders>
            <w:shd w:val="clear" w:color="auto" w:fill="E7E6E6"/>
          </w:tcPr>
          <w:p>
            <w:pPr>
              <w:ind w:left="40"/>
              <w:spacing w:after="0"/>
              <w:rPr>
                <w:sz w:val="20"/>
                <w:szCs w:val="20"/>
                <w:color w:val="auto"/>
              </w:rPr>
            </w:pPr>
            <w:r>
              <w:rPr>
                <w:rFonts w:ascii="Calibri" w:cs="Calibri" w:eastAsia="Calibri" w:hAnsi="Calibri"/>
                <w:sz w:val="14"/>
                <w:szCs w:val="14"/>
                <w:color w:val="auto"/>
              </w:rPr>
              <w:t>Executve Ofcer of</w:t>
            </w:r>
          </w:p>
        </w:tc>
        <w:tc>
          <w:tcPr>
            <w:tcW w:w="1240" w:type="dxa"/>
            <w:vAlign w:val="bottom"/>
            <w:tcBorders>
              <w:bottom w:val="single" w:sz="8" w:color="E7E6E6"/>
              <w:right w:val="single" w:sz="8" w:color="auto"/>
            </w:tcBorders>
            <w:shd w:val="clear" w:color="auto" w:fill="E7E6E6"/>
          </w:tcPr>
          <w:p>
            <w:pPr>
              <w:jc w:val="right"/>
              <w:ind w:right="88"/>
              <w:spacing w:after="0"/>
              <w:rPr>
                <w:sz w:val="20"/>
                <w:szCs w:val="20"/>
                <w:color w:val="auto"/>
              </w:rPr>
            </w:pPr>
            <w:r>
              <w:rPr>
                <w:rFonts w:ascii="Calibri" w:cs="Calibri" w:eastAsia="Calibri" w:hAnsi="Calibri"/>
                <w:sz w:val="14"/>
                <w:szCs w:val="14"/>
                <w:color w:val="auto"/>
              </w:rPr>
              <w:t>2021</w:t>
            </w:r>
          </w:p>
        </w:tc>
        <w:tc>
          <w:tcPr>
            <w:tcW w:w="140" w:type="dxa"/>
            <w:vAlign w:val="bottom"/>
            <w:tcBorders>
              <w:bottom w:val="single" w:sz="8" w:color="E7E6E6"/>
            </w:tcBorders>
            <w:shd w:val="clear" w:color="auto" w:fill="E7E6E6"/>
          </w:tcPr>
          <w:p>
            <w:pPr>
              <w:jc w:val="right"/>
              <w:spacing w:after="0"/>
              <w:rPr>
                <w:sz w:val="20"/>
                <w:szCs w:val="20"/>
                <w:color w:val="auto"/>
              </w:rPr>
            </w:pPr>
            <w:r>
              <w:rPr>
                <w:rFonts w:ascii="Calibri" w:cs="Calibri" w:eastAsia="Calibri" w:hAnsi="Calibri"/>
                <w:sz w:val="14"/>
                <w:szCs w:val="14"/>
                <w:color w:val="auto"/>
                <w:w w:val="83"/>
              </w:rPr>
              <w:t>$</w:t>
            </w:r>
          </w:p>
        </w:tc>
        <w:tc>
          <w:tcPr>
            <w:tcW w:w="800" w:type="dxa"/>
            <w:vAlign w:val="bottom"/>
            <w:tcBorders>
              <w:bottom w:val="single" w:sz="8" w:color="E7E6E6"/>
              <w:right w:val="single" w:sz="8" w:color="auto"/>
            </w:tcBorders>
            <w:shd w:val="clear" w:color="auto" w:fill="E7E6E6"/>
          </w:tcPr>
          <w:p>
            <w:pPr>
              <w:jc w:val="right"/>
              <w:ind w:right="68"/>
              <w:spacing w:after="0"/>
              <w:rPr>
                <w:sz w:val="20"/>
                <w:szCs w:val="20"/>
                <w:color w:val="auto"/>
              </w:rPr>
            </w:pPr>
            <w:r>
              <w:rPr>
                <w:rFonts w:ascii="Calibri" w:cs="Calibri" w:eastAsia="Calibri" w:hAnsi="Calibri"/>
                <w:sz w:val="14"/>
                <w:szCs w:val="14"/>
                <w:color w:val="auto"/>
              </w:rPr>
              <w:t>1,071,013</w:t>
            </w:r>
          </w:p>
        </w:tc>
        <w:tc>
          <w:tcPr>
            <w:tcW w:w="160" w:type="dxa"/>
            <w:vAlign w:val="bottom"/>
            <w:tcBorders>
              <w:bottom w:val="single" w:sz="8" w:color="E7E6E6"/>
            </w:tcBorders>
            <w:shd w:val="clear" w:color="auto" w:fill="E7E6E6"/>
          </w:tcPr>
          <w:p>
            <w:pPr>
              <w:jc w:val="right"/>
              <w:ind w:right="8"/>
              <w:spacing w:after="0"/>
              <w:rPr>
                <w:sz w:val="20"/>
                <w:szCs w:val="20"/>
                <w:color w:val="auto"/>
              </w:rPr>
            </w:pPr>
            <w:r>
              <w:rPr>
                <w:rFonts w:ascii="Calibri" w:cs="Calibri" w:eastAsia="Calibri" w:hAnsi="Calibri"/>
                <w:sz w:val="14"/>
                <w:szCs w:val="14"/>
                <w:color w:val="auto"/>
                <w:w w:val="83"/>
              </w:rPr>
              <w:t>$</w:t>
            </w:r>
          </w:p>
        </w:tc>
        <w:tc>
          <w:tcPr>
            <w:tcW w:w="820" w:type="dxa"/>
            <w:vAlign w:val="bottom"/>
            <w:tcBorders>
              <w:bottom w:val="single" w:sz="8" w:color="E7E6E6"/>
              <w:right w:val="single" w:sz="8" w:color="auto"/>
            </w:tcBorders>
            <w:shd w:val="clear" w:color="auto" w:fill="E7E6E6"/>
          </w:tcPr>
          <w:p>
            <w:pPr>
              <w:jc w:val="right"/>
              <w:ind w:right="68"/>
              <w:spacing w:after="0"/>
              <w:rPr>
                <w:sz w:val="20"/>
                <w:szCs w:val="20"/>
                <w:color w:val="auto"/>
              </w:rPr>
            </w:pPr>
            <w:r>
              <w:rPr>
                <w:rFonts w:ascii="Calibri" w:cs="Calibri" w:eastAsia="Calibri" w:hAnsi="Calibri"/>
                <w:sz w:val="14"/>
                <w:szCs w:val="14"/>
                <w:color w:val="auto"/>
              </w:rPr>
              <w:t>—</w:t>
            </w:r>
          </w:p>
        </w:tc>
        <w:tc>
          <w:tcPr>
            <w:tcW w:w="860" w:type="dxa"/>
            <w:vAlign w:val="bottom"/>
            <w:tcBorders>
              <w:bottom w:val="single" w:sz="8" w:color="E7E6E6"/>
              <w:right w:val="single" w:sz="8" w:color="auto"/>
            </w:tcBorders>
            <w:gridSpan w:val="2"/>
            <w:shd w:val="clear" w:color="auto" w:fill="E7E6E6"/>
          </w:tcPr>
          <w:p>
            <w:pPr>
              <w:jc w:val="right"/>
              <w:ind w:right="68"/>
              <w:spacing w:after="0"/>
              <w:rPr>
                <w:sz w:val="20"/>
                <w:szCs w:val="20"/>
                <w:color w:val="auto"/>
              </w:rPr>
            </w:pPr>
            <w:r>
              <w:rPr>
                <w:rFonts w:ascii="Calibri" w:cs="Calibri" w:eastAsia="Calibri" w:hAnsi="Calibri"/>
                <w:sz w:val="14"/>
                <w:szCs w:val="14"/>
                <w:color w:val="auto"/>
              </w:rPr>
              <w:t>$ 3,981,998</w:t>
            </w:r>
          </w:p>
        </w:tc>
        <w:tc>
          <w:tcPr>
            <w:tcW w:w="120" w:type="dxa"/>
            <w:vAlign w:val="bottom"/>
            <w:tcBorders>
              <w:bottom w:val="single" w:sz="8" w:color="E7E6E6"/>
            </w:tcBorders>
            <w:shd w:val="clear" w:color="auto" w:fill="E7E6E6"/>
          </w:tcPr>
          <w:p>
            <w:pPr>
              <w:jc w:val="right"/>
              <w:spacing w:after="0"/>
              <w:rPr>
                <w:sz w:val="20"/>
                <w:szCs w:val="20"/>
                <w:color w:val="auto"/>
              </w:rPr>
            </w:pPr>
            <w:r>
              <w:rPr>
                <w:rFonts w:ascii="Calibri" w:cs="Calibri" w:eastAsia="Calibri" w:hAnsi="Calibri"/>
                <w:sz w:val="14"/>
                <w:szCs w:val="14"/>
                <w:color w:val="auto"/>
                <w:w w:val="83"/>
              </w:rPr>
              <w:t>$</w:t>
            </w:r>
          </w:p>
        </w:tc>
        <w:tc>
          <w:tcPr>
            <w:tcW w:w="820" w:type="dxa"/>
            <w:vAlign w:val="bottom"/>
            <w:tcBorders>
              <w:bottom w:val="single" w:sz="8" w:color="E7E6E6"/>
              <w:right w:val="single" w:sz="8" w:color="auto"/>
            </w:tcBorders>
            <w:shd w:val="clear" w:color="auto" w:fill="E7E6E6"/>
          </w:tcPr>
          <w:p>
            <w:pPr>
              <w:ind w:left="560"/>
              <w:spacing w:after="0"/>
              <w:rPr>
                <w:sz w:val="20"/>
                <w:szCs w:val="20"/>
                <w:color w:val="auto"/>
              </w:rPr>
            </w:pPr>
            <w:r>
              <w:rPr>
                <w:rFonts w:ascii="Calibri" w:cs="Calibri" w:eastAsia="Calibri" w:hAnsi="Calibri"/>
                <w:sz w:val="14"/>
                <w:szCs w:val="14"/>
                <w:color w:val="auto"/>
              </w:rPr>
              <w:t>—</w:t>
            </w:r>
          </w:p>
        </w:tc>
        <w:tc>
          <w:tcPr>
            <w:tcW w:w="80" w:type="dxa"/>
            <w:vAlign w:val="bottom"/>
            <w:tcBorders>
              <w:bottom w:val="single" w:sz="8" w:color="E7E6E6"/>
            </w:tcBorders>
            <w:shd w:val="clear" w:color="auto" w:fill="E7E6E6"/>
          </w:tcPr>
          <w:p>
            <w:pPr>
              <w:jc w:val="right"/>
              <w:spacing w:after="0"/>
              <w:rPr>
                <w:sz w:val="20"/>
                <w:szCs w:val="20"/>
                <w:color w:val="auto"/>
              </w:rPr>
            </w:pPr>
            <w:r>
              <w:rPr>
                <w:rFonts w:ascii="Calibri" w:cs="Calibri" w:eastAsia="Calibri" w:hAnsi="Calibri"/>
                <w:sz w:val="14"/>
                <w:szCs w:val="14"/>
                <w:color w:val="auto"/>
                <w:w w:val="83"/>
              </w:rPr>
              <w:t>$</w:t>
            </w:r>
          </w:p>
        </w:tc>
        <w:tc>
          <w:tcPr>
            <w:tcW w:w="1020" w:type="dxa"/>
            <w:vAlign w:val="bottom"/>
            <w:tcBorders>
              <w:bottom w:val="single" w:sz="8" w:color="E7E6E6"/>
              <w:right w:val="single" w:sz="8" w:color="auto"/>
            </w:tcBorders>
            <w:shd w:val="clear" w:color="auto" w:fill="E7E6E6"/>
          </w:tcPr>
          <w:p>
            <w:pPr>
              <w:jc w:val="right"/>
              <w:ind w:right="48"/>
              <w:spacing w:after="0"/>
              <w:rPr>
                <w:sz w:val="20"/>
                <w:szCs w:val="20"/>
                <w:color w:val="auto"/>
              </w:rPr>
            </w:pPr>
            <w:r>
              <w:rPr>
                <w:rFonts w:ascii="Calibri" w:cs="Calibri" w:eastAsia="Calibri" w:hAnsi="Calibri"/>
                <w:sz w:val="14"/>
                <w:szCs w:val="14"/>
                <w:color w:val="auto"/>
              </w:rPr>
              <w:t>1,344,346</w:t>
            </w:r>
          </w:p>
        </w:tc>
        <w:tc>
          <w:tcPr>
            <w:tcW w:w="80" w:type="dxa"/>
            <w:vAlign w:val="bottom"/>
            <w:tcBorders>
              <w:bottom w:val="single" w:sz="8" w:color="E7E6E6"/>
            </w:tcBorders>
            <w:shd w:val="clear" w:color="auto" w:fill="E7E6E6"/>
          </w:tcPr>
          <w:p>
            <w:pPr>
              <w:jc w:val="right"/>
              <w:spacing w:after="0"/>
              <w:rPr>
                <w:sz w:val="20"/>
                <w:szCs w:val="20"/>
                <w:color w:val="auto"/>
              </w:rPr>
            </w:pPr>
            <w:r>
              <w:rPr>
                <w:rFonts w:ascii="Calibri" w:cs="Calibri" w:eastAsia="Calibri" w:hAnsi="Calibri"/>
                <w:sz w:val="14"/>
                <w:szCs w:val="14"/>
                <w:color w:val="auto"/>
                <w:w w:val="83"/>
              </w:rPr>
              <w:t>$</w:t>
            </w:r>
          </w:p>
        </w:tc>
        <w:tc>
          <w:tcPr>
            <w:tcW w:w="980" w:type="dxa"/>
            <w:vAlign w:val="bottom"/>
            <w:tcBorders>
              <w:bottom w:val="single" w:sz="8" w:color="E7E6E6"/>
              <w:right w:val="single" w:sz="8" w:color="auto"/>
            </w:tcBorders>
            <w:shd w:val="clear" w:color="auto" w:fill="E7E6E6"/>
          </w:tcPr>
          <w:p>
            <w:pPr>
              <w:jc w:val="right"/>
              <w:ind w:right="68"/>
              <w:spacing w:after="0"/>
              <w:rPr>
                <w:sz w:val="20"/>
                <w:szCs w:val="20"/>
                <w:color w:val="auto"/>
              </w:rPr>
            </w:pPr>
            <w:r>
              <w:rPr>
                <w:rFonts w:ascii="Calibri" w:cs="Calibri" w:eastAsia="Calibri" w:hAnsi="Calibri"/>
                <w:sz w:val="14"/>
                <w:szCs w:val="14"/>
                <w:color w:val="auto"/>
              </w:rPr>
              <w:t>1,521,438</w:t>
            </w:r>
          </w:p>
        </w:tc>
        <w:tc>
          <w:tcPr>
            <w:tcW w:w="100" w:type="dxa"/>
            <w:vAlign w:val="bottom"/>
            <w:tcBorders>
              <w:bottom w:val="single" w:sz="8" w:color="E7E6E6"/>
            </w:tcBorders>
            <w:shd w:val="clear" w:color="auto" w:fill="E7E6E6"/>
          </w:tcPr>
          <w:p>
            <w:pPr>
              <w:jc w:val="right"/>
              <w:spacing w:after="0"/>
              <w:rPr>
                <w:sz w:val="20"/>
                <w:szCs w:val="20"/>
                <w:color w:val="auto"/>
              </w:rPr>
            </w:pPr>
            <w:r>
              <w:rPr>
                <w:rFonts w:ascii="Calibri" w:cs="Calibri" w:eastAsia="Calibri" w:hAnsi="Calibri"/>
                <w:sz w:val="14"/>
                <w:szCs w:val="14"/>
                <w:color w:val="auto"/>
                <w:w w:val="83"/>
              </w:rPr>
              <w:t>$</w:t>
            </w:r>
          </w:p>
        </w:tc>
        <w:tc>
          <w:tcPr>
            <w:tcW w:w="780" w:type="dxa"/>
            <w:vAlign w:val="bottom"/>
            <w:tcBorders>
              <w:bottom w:val="single" w:sz="8" w:color="E7E6E6"/>
              <w:right w:val="single" w:sz="8" w:color="auto"/>
            </w:tcBorders>
            <w:shd w:val="clear" w:color="auto" w:fill="E7E6E6"/>
          </w:tcPr>
          <w:p>
            <w:pPr>
              <w:jc w:val="right"/>
              <w:ind w:right="68"/>
              <w:spacing w:after="0"/>
              <w:rPr>
                <w:sz w:val="20"/>
                <w:szCs w:val="20"/>
                <w:color w:val="auto"/>
              </w:rPr>
            </w:pPr>
            <w:r>
              <w:rPr>
                <w:rFonts w:ascii="Calibri" w:cs="Calibri" w:eastAsia="Calibri" w:hAnsi="Calibri"/>
                <w:sz w:val="14"/>
                <w:szCs w:val="14"/>
                <w:color w:val="auto"/>
              </w:rPr>
              <w:t>112,839</w:t>
            </w:r>
          </w:p>
        </w:tc>
        <w:tc>
          <w:tcPr>
            <w:tcW w:w="160" w:type="dxa"/>
            <w:vAlign w:val="bottom"/>
            <w:tcBorders>
              <w:bottom w:val="single" w:sz="8" w:color="E7E6E6"/>
            </w:tcBorders>
            <w:shd w:val="clear" w:color="auto" w:fill="E7E6E6"/>
          </w:tcPr>
          <w:p>
            <w:pPr>
              <w:jc w:val="right"/>
              <w:ind w:right="8"/>
              <w:spacing w:after="0"/>
              <w:rPr>
                <w:sz w:val="20"/>
                <w:szCs w:val="20"/>
                <w:color w:val="auto"/>
              </w:rPr>
            </w:pPr>
            <w:r>
              <w:rPr>
                <w:rFonts w:ascii="Calibri" w:cs="Calibri" w:eastAsia="Calibri" w:hAnsi="Calibri"/>
                <w:sz w:val="14"/>
                <w:szCs w:val="14"/>
                <w:color w:val="auto"/>
                <w:w w:val="83"/>
              </w:rPr>
              <w:t>$</w:t>
            </w:r>
          </w:p>
        </w:tc>
        <w:tc>
          <w:tcPr>
            <w:tcW w:w="800" w:type="dxa"/>
            <w:vAlign w:val="bottom"/>
            <w:tcBorders>
              <w:bottom w:val="single" w:sz="8" w:color="E7E6E6"/>
              <w:right w:val="single" w:sz="8" w:color="auto"/>
            </w:tcBorders>
            <w:shd w:val="clear" w:color="auto" w:fill="E7E6E6"/>
          </w:tcPr>
          <w:p>
            <w:pPr>
              <w:jc w:val="right"/>
              <w:ind w:right="48"/>
              <w:spacing w:after="0"/>
              <w:rPr>
                <w:sz w:val="20"/>
                <w:szCs w:val="20"/>
                <w:color w:val="auto"/>
              </w:rPr>
            </w:pPr>
            <w:r>
              <w:rPr>
                <w:rFonts w:ascii="Calibri" w:cs="Calibri" w:eastAsia="Calibri" w:hAnsi="Calibri"/>
                <w:sz w:val="14"/>
                <w:szCs w:val="14"/>
                <w:color w:val="auto"/>
              </w:rPr>
              <w:t>8,031,634</w:t>
            </w:r>
          </w:p>
        </w:tc>
      </w:tr>
      <w:tr>
        <w:trPr>
          <w:trHeight w:val="170"/>
        </w:trPr>
        <w:tc>
          <w:tcPr>
            <w:tcW w:w="228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4"/>
                <w:szCs w:val="14"/>
                <w:color w:val="auto"/>
              </w:rPr>
              <w:t>the Company</w:t>
            </w:r>
          </w:p>
        </w:tc>
        <w:tc>
          <w:tcPr>
            <w:tcW w:w="124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r>
      <w:tr>
        <w:trPr>
          <w:trHeight w:val="33"/>
        </w:trPr>
        <w:tc>
          <w:tcPr>
            <w:tcW w:w="228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176"/>
        </w:trPr>
        <w:tc>
          <w:tcPr>
            <w:tcW w:w="2280" w:type="dxa"/>
            <w:vAlign w:val="bottom"/>
            <w:tcBorders>
              <w:left w:val="single" w:sz="8" w:color="auto"/>
              <w:bottom w:val="single" w:sz="8" w:color="E7E6E6"/>
              <w:right w:val="single" w:sz="8" w:color="auto"/>
            </w:tcBorders>
            <w:shd w:val="clear" w:color="auto" w:fill="E7E6E6"/>
          </w:tcPr>
          <w:p>
            <w:pPr>
              <w:ind w:left="40"/>
              <w:spacing w:after="0" w:line="164" w:lineRule="exact"/>
              <w:rPr>
                <w:sz w:val="20"/>
                <w:szCs w:val="20"/>
                <w:color w:val="auto"/>
              </w:rPr>
            </w:pPr>
            <w:r>
              <w:rPr>
                <w:rFonts w:ascii="Calibri" w:cs="Calibri" w:eastAsia="Calibri" w:hAnsi="Calibri"/>
                <w:sz w:val="14"/>
                <w:szCs w:val="14"/>
                <w:color w:val="auto"/>
              </w:rPr>
              <w:t>B. Buckler</w:t>
            </w:r>
          </w:p>
        </w:tc>
        <w:tc>
          <w:tcPr>
            <w:tcW w:w="1240" w:type="dxa"/>
            <w:vAlign w:val="bottom"/>
            <w:tcBorders>
              <w:bottom w:val="single" w:sz="8" w:color="E7E6E6"/>
              <w:right w:val="single" w:sz="8" w:color="auto"/>
            </w:tcBorders>
            <w:shd w:val="clear" w:color="auto" w:fill="E7E6E6"/>
          </w:tcPr>
          <w:p>
            <w:pPr>
              <w:jc w:val="right"/>
              <w:ind w:right="88"/>
              <w:spacing w:after="0" w:line="164" w:lineRule="exact"/>
              <w:rPr>
                <w:sz w:val="20"/>
                <w:szCs w:val="20"/>
                <w:color w:val="auto"/>
              </w:rPr>
            </w:pPr>
            <w:r>
              <w:rPr>
                <w:rFonts w:ascii="Calibri" w:cs="Calibri" w:eastAsia="Calibri" w:hAnsi="Calibri"/>
                <w:sz w:val="14"/>
                <w:szCs w:val="14"/>
                <w:color w:val="auto"/>
              </w:rPr>
              <w:t>2023</w:t>
            </w:r>
          </w:p>
        </w:tc>
        <w:tc>
          <w:tcPr>
            <w:tcW w:w="140" w:type="dxa"/>
            <w:vAlign w:val="bottom"/>
            <w:tcBorders>
              <w:bottom w:val="single" w:sz="8" w:color="E7E6E6"/>
            </w:tcBorders>
            <w:shd w:val="clear" w:color="auto" w:fill="E7E6E6"/>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800" w:type="dxa"/>
            <w:vAlign w:val="bottom"/>
            <w:tcBorders>
              <w:bottom w:val="single" w:sz="8" w:color="E7E6E6"/>
              <w:right w:val="single" w:sz="8" w:color="auto"/>
            </w:tcBorders>
            <w:shd w:val="clear" w:color="auto" w:fill="E7E6E6"/>
          </w:tcPr>
          <w:p>
            <w:pPr>
              <w:jc w:val="right"/>
              <w:ind w:right="68"/>
              <w:spacing w:after="0" w:line="164" w:lineRule="exact"/>
              <w:rPr>
                <w:sz w:val="20"/>
                <w:szCs w:val="20"/>
                <w:color w:val="auto"/>
              </w:rPr>
            </w:pPr>
            <w:r>
              <w:rPr>
                <w:rFonts w:ascii="Calibri" w:cs="Calibri" w:eastAsia="Calibri" w:hAnsi="Calibri"/>
                <w:sz w:val="14"/>
                <w:szCs w:val="14"/>
                <w:color w:val="auto"/>
              </w:rPr>
              <w:t>489,715</w:t>
            </w:r>
          </w:p>
        </w:tc>
        <w:tc>
          <w:tcPr>
            <w:tcW w:w="160" w:type="dxa"/>
            <w:vAlign w:val="bottom"/>
            <w:tcBorders>
              <w:bottom w:val="single" w:sz="8" w:color="E7E6E6"/>
            </w:tcBorders>
            <w:shd w:val="clear" w:color="auto" w:fill="E7E6E6"/>
          </w:tcPr>
          <w:p>
            <w:pPr>
              <w:jc w:val="right"/>
              <w:ind w:right="8"/>
              <w:spacing w:after="0" w:line="164" w:lineRule="exact"/>
              <w:rPr>
                <w:sz w:val="20"/>
                <w:szCs w:val="20"/>
                <w:color w:val="auto"/>
              </w:rPr>
            </w:pPr>
            <w:r>
              <w:rPr>
                <w:rFonts w:ascii="Calibri" w:cs="Calibri" w:eastAsia="Calibri" w:hAnsi="Calibri"/>
                <w:sz w:val="14"/>
                <w:szCs w:val="14"/>
                <w:color w:val="auto"/>
                <w:w w:val="83"/>
              </w:rPr>
              <w:t>$</w:t>
            </w:r>
          </w:p>
        </w:tc>
        <w:tc>
          <w:tcPr>
            <w:tcW w:w="820" w:type="dxa"/>
            <w:vAlign w:val="bottom"/>
            <w:tcBorders>
              <w:bottom w:val="single" w:sz="8" w:color="E7E6E6"/>
              <w:right w:val="single" w:sz="8" w:color="auto"/>
            </w:tcBorders>
            <w:shd w:val="clear" w:color="auto" w:fill="E7E6E6"/>
          </w:tcPr>
          <w:p>
            <w:pPr>
              <w:jc w:val="right"/>
              <w:ind w:right="68"/>
              <w:spacing w:after="0" w:line="164" w:lineRule="exact"/>
              <w:rPr>
                <w:sz w:val="20"/>
                <w:szCs w:val="20"/>
                <w:color w:val="auto"/>
              </w:rPr>
            </w:pPr>
            <w:r>
              <w:rPr>
                <w:rFonts w:ascii="Calibri" w:cs="Calibri" w:eastAsia="Calibri" w:hAnsi="Calibri"/>
                <w:sz w:val="14"/>
                <w:szCs w:val="14"/>
                <w:color w:val="auto"/>
              </w:rPr>
              <w:t>100,000</w:t>
            </w:r>
          </w:p>
        </w:tc>
        <w:tc>
          <w:tcPr>
            <w:tcW w:w="120" w:type="dxa"/>
            <w:vAlign w:val="bottom"/>
            <w:tcBorders>
              <w:bottom w:val="single" w:sz="8" w:color="E7E6E6"/>
            </w:tcBorders>
            <w:shd w:val="clear" w:color="auto" w:fill="E7E6E6"/>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740" w:type="dxa"/>
            <w:vAlign w:val="bottom"/>
            <w:tcBorders>
              <w:bottom w:val="single" w:sz="8" w:color="E7E6E6"/>
              <w:right w:val="single" w:sz="8" w:color="auto"/>
            </w:tcBorders>
            <w:shd w:val="clear" w:color="auto" w:fill="E7E6E6"/>
          </w:tcPr>
          <w:p>
            <w:pPr>
              <w:jc w:val="right"/>
              <w:ind w:right="68"/>
              <w:spacing w:after="0" w:line="164" w:lineRule="exact"/>
              <w:rPr>
                <w:sz w:val="20"/>
                <w:szCs w:val="20"/>
                <w:color w:val="auto"/>
              </w:rPr>
            </w:pPr>
            <w:r>
              <w:rPr>
                <w:rFonts w:ascii="Calibri" w:cs="Calibri" w:eastAsia="Calibri" w:hAnsi="Calibri"/>
                <w:sz w:val="14"/>
                <w:szCs w:val="14"/>
                <w:color w:val="auto"/>
              </w:rPr>
              <w:t>798,635</w:t>
            </w:r>
          </w:p>
        </w:tc>
        <w:tc>
          <w:tcPr>
            <w:tcW w:w="120" w:type="dxa"/>
            <w:vAlign w:val="bottom"/>
            <w:tcBorders>
              <w:bottom w:val="single" w:sz="8" w:color="E7E6E6"/>
            </w:tcBorders>
            <w:shd w:val="clear" w:color="auto" w:fill="E7E6E6"/>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820" w:type="dxa"/>
            <w:vAlign w:val="bottom"/>
            <w:tcBorders>
              <w:bottom w:val="single" w:sz="8" w:color="E7E6E6"/>
              <w:right w:val="single" w:sz="8" w:color="auto"/>
            </w:tcBorders>
            <w:shd w:val="clear" w:color="auto" w:fill="E7E6E6"/>
          </w:tcPr>
          <w:p>
            <w:pPr>
              <w:ind w:left="560"/>
              <w:spacing w:after="0" w:line="164" w:lineRule="exact"/>
              <w:rPr>
                <w:sz w:val="20"/>
                <w:szCs w:val="20"/>
                <w:color w:val="auto"/>
              </w:rPr>
            </w:pPr>
            <w:r>
              <w:rPr>
                <w:rFonts w:ascii="Calibri" w:cs="Calibri" w:eastAsia="Calibri" w:hAnsi="Calibri"/>
                <w:sz w:val="14"/>
                <w:szCs w:val="14"/>
                <w:color w:val="auto"/>
              </w:rPr>
              <w:t>—</w:t>
            </w:r>
          </w:p>
        </w:tc>
        <w:tc>
          <w:tcPr>
            <w:tcW w:w="80" w:type="dxa"/>
            <w:vAlign w:val="bottom"/>
            <w:tcBorders>
              <w:bottom w:val="single" w:sz="8" w:color="E7E6E6"/>
            </w:tcBorders>
            <w:shd w:val="clear" w:color="auto" w:fill="E7E6E6"/>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1020" w:type="dxa"/>
            <w:vAlign w:val="bottom"/>
            <w:tcBorders>
              <w:bottom w:val="single" w:sz="8" w:color="E7E6E6"/>
              <w:right w:val="single" w:sz="8" w:color="auto"/>
            </w:tcBorders>
            <w:shd w:val="clear" w:color="auto" w:fill="E7E6E6"/>
          </w:tcPr>
          <w:p>
            <w:pPr>
              <w:jc w:val="right"/>
              <w:ind w:right="48"/>
              <w:spacing w:after="0" w:line="164" w:lineRule="exact"/>
              <w:rPr>
                <w:sz w:val="20"/>
                <w:szCs w:val="20"/>
                <w:color w:val="auto"/>
              </w:rPr>
            </w:pPr>
            <w:r>
              <w:rPr>
                <w:rFonts w:ascii="Calibri" w:cs="Calibri" w:eastAsia="Calibri" w:hAnsi="Calibri"/>
                <w:sz w:val="14"/>
                <w:szCs w:val="14"/>
                <w:color w:val="auto"/>
              </w:rPr>
              <w:t>399,699</w:t>
            </w:r>
          </w:p>
        </w:tc>
        <w:tc>
          <w:tcPr>
            <w:tcW w:w="80" w:type="dxa"/>
            <w:vAlign w:val="bottom"/>
            <w:tcBorders>
              <w:bottom w:val="single" w:sz="8" w:color="E7E6E6"/>
            </w:tcBorders>
            <w:shd w:val="clear" w:color="auto" w:fill="E7E6E6"/>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980" w:type="dxa"/>
            <w:vAlign w:val="bottom"/>
            <w:tcBorders>
              <w:bottom w:val="single" w:sz="8" w:color="E7E6E6"/>
              <w:right w:val="single" w:sz="8" w:color="auto"/>
            </w:tcBorders>
            <w:shd w:val="clear" w:color="auto" w:fill="E7E6E6"/>
          </w:tcPr>
          <w:p>
            <w:pPr>
              <w:jc w:val="right"/>
              <w:ind w:right="68"/>
              <w:spacing w:after="0" w:line="164" w:lineRule="exact"/>
              <w:rPr>
                <w:sz w:val="20"/>
                <w:szCs w:val="20"/>
                <w:color w:val="auto"/>
              </w:rPr>
            </w:pPr>
            <w:r>
              <w:rPr>
                <w:rFonts w:ascii="Calibri" w:cs="Calibri" w:eastAsia="Calibri" w:hAnsi="Calibri"/>
                <w:sz w:val="14"/>
                <w:szCs w:val="14"/>
                <w:color w:val="auto"/>
              </w:rPr>
              <w:t>—</w:t>
            </w:r>
          </w:p>
        </w:tc>
        <w:tc>
          <w:tcPr>
            <w:tcW w:w="100" w:type="dxa"/>
            <w:vAlign w:val="bottom"/>
            <w:tcBorders>
              <w:bottom w:val="single" w:sz="8" w:color="E7E6E6"/>
            </w:tcBorders>
            <w:shd w:val="clear" w:color="auto" w:fill="E7E6E6"/>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780" w:type="dxa"/>
            <w:vAlign w:val="bottom"/>
            <w:tcBorders>
              <w:bottom w:val="single" w:sz="8" w:color="E7E6E6"/>
              <w:right w:val="single" w:sz="8" w:color="auto"/>
            </w:tcBorders>
            <w:shd w:val="clear" w:color="auto" w:fill="E7E6E6"/>
          </w:tcPr>
          <w:p>
            <w:pPr>
              <w:jc w:val="right"/>
              <w:ind w:right="68"/>
              <w:spacing w:after="0" w:line="164" w:lineRule="exact"/>
              <w:rPr>
                <w:sz w:val="20"/>
                <w:szCs w:val="20"/>
                <w:color w:val="auto"/>
              </w:rPr>
            </w:pPr>
            <w:r>
              <w:rPr>
                <w:rFonts w:ascii="Calibri" w:cs="Calibri" w:eastAsia="Calibri" w:hAnsi="Calibri"/>
                <w:sz w:val="14"/>
                <w:szCs w:val="14"/>
                <w:color w:val="auto"/>
              </w:rPr>
              <w:t>83,308</w:t>
            </w:r>
          </w:p>
        </w:tc>
        <w:tc>
          <w:tcPr>
            <w:tcW w:w="160" w:type="dxa"/>
            <w:vAlign w:val="bottom"/>
            <w:tcBorders>
              <w:bottom w:val="single" w:sz="8" w:color="E7E6E6"/>
            </w:tcBorders>
            <w:shd w:val="clear" w:color="auto" w:fill="E7E6E6"/>
          </w:tcPr>
          <w:p>
            <w:pPr>
              <w:jc w:val="right"/>
              <w:ind w:right="8"/>
              <w:spacing w:after="0" w:line="164" w:lineRule="exact"/>
              <w:rPr>
                <w:sz w:val="20"/>
                <w:szCs w:val="20"/>
                <w:color w:val="auto"/>
              </w:rPr>
            </w:pPr>
            <w:r>
              <w:rPr>
                <w:rFonts w:ascii="Calibri" w:cs="Calibri" w:eastAsia="Calibri" w:hAnsi="Calibri"/>
                <w:sz w:val="14"/>
                <w:szCs w:val="14"/>
                <w:color w:val="auto"/>
                <w:w w:val="83"/>
              </w:rPr>
              <w:t>$</w:t>
            </w:r>
          </w:p>
        </w:tc>
        <w:tc>
          <w:tcPr>
            <w:tcW w:w="800" w:type="dxa"/>
            <w:vAlign w:val="bottom"/>
            <w:tcBorders>
              <w:bottom w:val="single" w:sz="8" w:color="E7E6E6"/>
              <w:right w:val="single" w:sz="8" w:color="auto"/>
            </w:tcBorders>
            <w:shd w:val="clear" w:color="auto" w:fill="E7E6E6"/>
          </w:tcPr>
          <w:p>
            <w:pPr>
              <w:jc w:val="right"/>
              <w:ind w:right="48"/>
              <w:spacing w:after="0" w:line="164" w:lineRule="exact"/>
              <w:rPr>
                <w:sz w:val="20"/>
                <w:szCs w:val="20"/>
                <w:color w:val="auto"/>
              </w:rPr>
            </w:pPr>
            <w:r>
              <w:rPr>
                <w:rFonts w:ascii="Calibri" w:cs="Calibri" w:eastAsia="Calibri" w:hAnsi="Calibri"/>
                <w:sz w:val="14"/>
                <w:szCs w:val="14"/>
                <w:color w:val="auto"/>
              </w:rPr>
              <w:t>1,871,357</w:t>
            </w:r>
          </w:p>
        </w:tc>
      </w:tr>
      <w:tr>
        <w:trPr>
          <w:trHeight w:val="170"/>
        </w:trPr>
        <w:tc>
          <w:tcPr>
            <w:tcW w:w="228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4"/>
                <w:szCs w:val="14"/>
                <w:color w:val="auto"/>
              </w:rPr>
              <w:t>Chief Financial Ofcer</w:t>
            </w:r>
          </w:p>
        </w:tc>
        <w:tc>
          <w:tcPr>
            <w:tcW w:w="1240" w:type="dxa"/>
            <w:vAlign w:val="bottom"/>
            <w:tcBorders>
              <w:right w:val="single" w:sz="8" w:color="auto"/>
            </w:tcBorders>
          </w:tcPr>
          <w:p>
            <w:pPr>
              <w:jc w:val="right"/>
              <w:ind w:right="88"/>
              <w:spacing w:after="0"/>
              <w:rPr>
                <w:sz w:val="20"/>
                <w:szCs w:val="20"/>
                <w:color w:val="auto"/>
              </w:rPr>
            </w:pPr>
            <w:r>
              <w:rPr>
                <w:rFonts w:ascii="Calibri" w:cs="Calibri" w:eastAsia="Calibri" w:hAnsi="Calibri"/>
                <w:sz w:val="14"/>
                <w:szCs w:val="14"/>
                <w:color w:val="auto"/>
              </w:rPr>
              <w:t>2022</w:t>
            </w:r>
          </w:p>
        </w:tc>
        <w:tc>
          <w:tcPr>
            <w:tcW w:w="140" w:type="dxa"/>
            <w:vAlign w:val="bottom"/>
          </w:tcPr>
          <w:p>
            <w:pPr>
              <w:jc w:val="right"/>
              <w:spacing w:after="0"/>
              <w:rPr>
                <w:sz w:val="20"/>
                <w:szCs w:val="20"/>
                <w:color w:val="auto"/>
              </w:rPr>
            </w:pPr>
            <w:r>
              <w:rPr>
                <w:rFonts w:ascii="Calibri" w:cs="Calibri" w:eastAsia="Calibri" w:hAnsi="Calibri"/>
                <w:sz w:val="14"/>
                <w:szCs w:val="14"/>
                <w:color w:val="auto"/>
                <w:w w:val="83"/>
              </w:rPr>
              <w:t>$</w:t>
            </w:r>
          </w:p>
        </w:tc>
        <w:tc>
          <w:tcPr>
            <w:tcW w:w="800" w:type="dxa"/>
            <w:vAlign w:val="bottom"/>
            <w:tcBorders>
              <w:right w:val="single" w:sz="8" w:color="auto"/>
            </w:tcBorders>
          </w:tcPr>
          <w:p>
            <w:pPr>
              <w:jc w:val="right"/>
              <w:ind w:right="68"/>
              <w:spacing w:after="0"/>
              <w:rPr>
                <w:sz w:val="20"/>
                <w:szCs w:val="20"/>
                <w:color w:val="auto"/>
              </w:rPr>
            </w:pPr>
            <w:r>
              <w:rPr>
                <w:rFonts w:ascii="Calibri" w:cs="Calibri" w:eastAsia="Calibri" w:hAnsi="Calibri"/>
                <w:sz w:val="14"/>
                <w:szCs w:val="14"/>
                <w:color w:val="auto"/>
              </w:rPr>
              <w:t>466,398</w:t>
            </w:r>
          </w:p>
        </w:tc>
        <w:tc>
          <w:tcPr>
            <w:tcW w:w="160" w:type="dxa"/>
            <w:vAlign w:val="bottom"/>
          </w:tcPr>
          <w:p>
            <w:pPr>
              <w:jc w:val="right"/>
              <w:ind w:right="8"/>
              <w:spacing w:after="0"/>
              <w:rPr>
                <w:sz w:val="20"/>
                <w:szCs w:val="20"/>
                <w:color w:val="auto"/>
              </w:rPr>
            </w:pPr>
            <w:r>
              <w:rPr>
                <w:rFonts w:ascii="Calibri" w:cs="Calibri" w:eastAsia="Calibri" w:hAnsi="Calibri"/>
                <w:sz w:val="14"/>
                <w:szCs w:val="14"/>
                <w:color w:val="auto"/>
                <w:w w:val="83"/>
              </w:rPr>
              <w:t>$</w:t>
            </w:r>
          </w:p>
        </w:tc>
        <w:tc>
          <w:tcPr>
            <w:tcW w:w="820" w:type="dxa"/>
            <w:vAlign w:val="bottom"/>
            <w:tcBorders>
              <w:right w:val="single" w:sz="8" w:color="auto"/>
            </w:tcBorders>
          </w:tcPr>
          <w:p>
            <w:pPr>
              <w:jc w:val="right"/>
              <w:ind w:right="68"/>
              <w:spacing w:after="0"/>
              <w:rPr>
                <w:sz w:val="20"/>
                <w:szCs w:val="20"/>
                <w:color w:val="auto"/>
              </w:rPr>
            </w:pPr>
            <w:r>
              <w:rPr>
                <w:rFonts w:ascii="Calibri" w:cs="Calibri" w:eastAsia="Calibri" w:hAnsi="Calibri"/>
                <w:sz w:val="14"/>
                <w:szCs w:val="14"/>
                <w:color w:val="auto"/>
              </w:rPr>
              <w:t>50,000</w:t>
            </w:r>
          </w:p>
        </w:tc>
        <w:tc>
          <w:tcPr>
            <w:tcW w:w="120" w:type="dxa"/>
            <w:vAlign w:val="bottom"/>
          </w:tcPr>
          <w:p>
            <w:pPr>
              <w:jc w:val="right"/>
              <w:spacing w:after="0"/>
              <w:rPr>
                <w:sz w:val="20"/>
                <w:szCs w:val="20"/>
                <w:color w:val="auto"/>
              </w:rPr>
            </w:pPr>
            <w:r>
              <w:rPr>
                <w:rFonts w:ascii="Calibri" w:cs="Calibri" w:eastAsia="Calibri" w:hAnsi="Calibri"/>
                <w:sz w:val="14"/>
                <w:szCs w:val="14"/>
                <w:color w:val="auto"/>
                <w:w w:val="83"/>
              </w:rPr>
              <w:t>$</w:t>
            </w:r>
          </w:p>
        </w:tc>
        <w:tc>
          <w:tcPr>
            <w:tcW w:w="740" w:type="dxa"/>
            <w:vAlign w:val="bottom"/>
            <w:tcBorders>
              <w:right w:val="single" w:sz="8" w:color="auto"/>
            </w:tcBorders>
          </w:tcPr>
          <w:p>
            <w:pPr>
              <w:jc w:val="right"/>
              <w:ind w:right="68"/>
              <w:spacing w:after="0"/>
              <w:rPr>
                <w:sz w:val="20"/>
                <w:szCs w:val="20"/>
                <w:color w:val="auto"/>
              </w:rPr>
            </w:pPr>
            <w:r>
              <w:rPr>
                <w:rFonts w:ascii="Calibri" w:cs="Calibri" w:eastAsia="Calibri" w:hAnsi="Calibri"/>
                <w:sz w:val="14"/>
                <w:szCs w:val="14"/>
                <w:color w:val="auto"/>
              </w:rPr>
              <w:t>764,655</w:t>
            </w:r>
          </w:p>
        </w:tc>
        <w:tc>
          <w:tcPr>
            <w:tcW w:w="120" w:type="dxa"/>
            <w:vAlign w:val="bottom"/>
          </w:tcPr>
          <w:p>
            <w:pPr>
              <w:jc w:val="right"/>
              <w:spacing w:after="0"/>
              <w:rPr>
                <w:sz w:val="20"/>
                <w:szCs w:val="20"/>
                <w:color w:val="auto"/>
              </w:rPr>
            </w:pPr>
            <w:r>
              <w:rPr>
                <w:rFonts w:ascii="Calibri" w:cs="Calibri" w:eastAsia="Calibri" w:hAnsi="Calibri"/>
                <w:sz w:val="14"/>
                <w:szCs w:val="14"/>
                <w:color w:val="auto"/>
                <w:w w:val="83"/>
              </w:rPr>
              <w:t>$</w:t>
            </w:r>
          </w:p>
        </w:tc>
        <w:tc>
          <w:tcPr>
            <w:tcW w:w="820" w:type="dxa"/>
            <w:vAlign w:val="bottom"/>
            <w:tcBorders>
              <w:right w:val="single" w:sz="8" w:color="auto"/>
            </w:tcBorders>
          </w:tcPr>
          <w:p>
            <w:pPr>
              <w:ind w:left="560"/>
              <w:spacing w:after="0"/>
              <w:rPr>
                <w:sz w:val="20"/>
                <w:szCs w:val="20"/>
                <w:color w:val="auto"/>
              </w:rPr>
            </w:pPr>
            <w:r>
              <w:rPr>
                <w:rFonts w:ascii="Calibri" w:cs="Calibri" w:eastAsia="Calibri" w:hAnsi="Calibri"/>
                <w:sz w:val="14"/>
                <w:szCs w:val="14"/>
                <w:color w:val="auto"/>
              </w:rPr>
              <w:t>—</w:t>
            </w:r>
          </w:p>
        </w:tc>
        <w:tc>
          <w:tcPr>
            <w:tcW w:w="80" w:type="dxa"/>
            <w:vAlign w:val="bottom"/>
          </w:tcPr>
          <w:p>
            <w:pPr>
              <w:jc w:val="right"/>
              <w:spacing w:after="0"/>
              <w:rPr>
                <w:sz w:val="20"/>
                <w:szCs w:val="20"/>
                <w:color w:val="auto"/>
              </w:rPr>
            </w:pPr>
            <w:r>
              <w:rPr>
                <w:rFonts w:ascii="Calibri" w:cs="Calibri" w:eastAsia="Calibri" w:hAnsi="Calibri"/>
                <w:sz w:val="14"/>
                <w:szCs w:val="14"/>
                <w:color w:val="auto"/>
                <w:w w:val="83"/>
              </w:rPr>
              <w:t>$</w:t>
            </w:r>
          </w:p>
        </w:tc>
        <w:tc>
          <w:tcPr>
            <w:tcW w:w="1020" w:type="dxa"/>
            <w:vAlign w:val="bottom"/>
            <w:tcBorders>
              <w:right w:val="single" w:sz="8" w:color="auto"/>
            </w:tcBorders>
          </w:tcPr>
          <w:p>
            <w:pPr>
              <w:jc w:val="right"/>
              <w:ind w:right="48"/>
              <w:spacing w:after="0"/>
              <w:rPr>
                <w:sz w:val="20"/>
                <w:szCs w:val="20"/>
                <w:color w:val="auto"/>
              </w:rPr>
            </w:pPr>
            <w:r>
              <w:rPr>
                <w:rFonts w:ascii="Calibri" w:cs="Calibri" w:eastAsia="Calibri" w:hAnsi="Calibri"/>
                <w:sz w:val="14"/>
                <w:szCs w:val="14"/>
                <w:color w:val="auto"/>
              </w:rPr>
              <w:t>324,259</w:t>
            </w:r>
          </w:p>
        </w:tc>
        <w:tc>
          <w:tcPr>
            <w:tcW w:w="80" w:type="dxa"/>
            <w:vAlign w:val="bottom"/>
          </w:tcPr>
          <w:p>
            <w:pPr>
              <w:jc w:val="right"/>
              <w:spacing w:after="0"/>
              <w:rPr>
                <w:sz w:val="20"/>
                <w:szCs w:val="20"/>
                <w:color w:val="auto"/>
              </w:rPr>
            </w:pPr>
            <w:r>
              <w:rPr>
                <w:rFonts w:ascii="Calibri" w:cs="Calibri" w:eastAsia="Calibri" w:hAnsi="Calibri"/>
                <w:sz w:val="14"/>
                <w:szCs w:val="14"/>
                <w:color w:val="auto"/>
                <w:w w:val="83"/>
              </w:rPr>
              <w:t>$</w:t>
            </w:r>
          </w:p>
        </w:tc>
        <w:tc>
          <w:tcPr>
            <w:tcW w:w="980" w:type="dxa"/>
            <w:vAlign w:val="bottom"/>
            <w:tcBorders>
              <w:right w:val="single" w:sz="8" w:color="auto"/>
            </w:tcBorders>
          </w:tcPr>
          <w:p>
            <w:pPr>
              <w:jc w:val="right"/>
              <w:ind w:right="68"/>
              <w:spacing w:after="0"/>
              <w:rPr>
                <w:sz w:val="20"/>
                <w:szCs w:val="20"/>
                <w:color w:val="auto"/>
              </w:rPr>
            </w:pPr>
            <w:r>
              <w:rPr>
                <w:rFonts w:ascii="Calibri" w:cs="Calibri" w:eastAsia="Calibri" w:hAnsi="Calibri"/>
                <w:sz w:val="14"/>
                <w:szCs w:val="14"/>
                <w:color w:val="auto"/>
              </w:rPr>
              <w:t>—</w:t>
            </w:r>
          </w:p>
        </w:tc>
        <w:tc>
          <w:tcPr>
            <w:tcW w:w="100" w:type="dxa"/>
            <w:vAlign w:val="bottom"/>
          </w:tcPr>
          <w:p>
            <w:pPr>
              <w:jc w:val="right"/>
              <w:spacing w:after="0"/>
              <w:rPr>
                <w:sz w:val="20"/>
                <w:szCs w:val="20"/>
                <w:color w:val="auto"/>
              </w:rPr>
            </w:pPr>
            <w:r>
              <w:rPr>
                <w:rFonts w:ascii="Calibri" w:cs="Calibri" w:eastAsia="Calibri" w:hAnsi="Calibri"/>
                <w:sz w:val="14"/>
                <w:szCs w:val="14"/>
                <w:color w:val="auto"/>
                <w:w w:val="83"/>
              </w:rPr>
              <w:t>$</w:t>
            </w:r>
          </w:p>
        </w:tc>
        <w:tc>
          <w:tcPr>
            <w:tcW w:w="780" w:type="dxa"/>
            <w:vAlign w:val="bottom"/>
            <w:tcBorders>
              <w:right w:val="single" w:sz="8" w:color="auto"/>
            </w:tcBorders>
          </w:tcPr>
          <w:p>
            <w:pPr>
              <w:jc w:val="right"/>
              <w:ind w:right="68"/>
              <w:spacing w:after="0"/>
              <w:rPr>
                <w:sz w:val="20"/>
                <w:szCs w:val="20"/>
                <w:color w:val="auto"/>
              </w:rPr>
            </w:pPr>
            <w:r>
              <w:rPr>
                <w:rFonts w:ascii="Calibri" w:cs="Calibri" w:eastAsia="Calibri" w:hAnsi="Calibri"/>
                <w:sz w:val="14"/>
                <w:szCs w:val="14"/>
                <w:color w:val="auto"/>
              </w:rPr>
              <w:t>71,692</w:t>
            </w:r>
          </w:p>
        </w:tc>
        <w:tc>
          <w:tcPr>
            <w:tcW w:w="160" w:type="dxa"/>
            <w:vAlign w:val="bottom"/>
          </w:tcPr>
          <w:p>
            <w:pPr>
              <w:jc w:val="right"/>
              <w:ind w:right="8"/>
              <w:spacing w:after="0"/>
              <w:rPr>
                <w:sz w:val="20"/>
                <w:szCs w:val="20"/>
                <w:color w:val="auto"/>
              </w:rPr>
            </w:pPr>
            <w:r>
              <w:rPr>
                <w:rFonts w:ascii="Calibri" w:cs="Calibri" w:eastAsia="Calibri" w:hAnsi="Calibri"/>
                <w:sz w:val="14"/>
                <w:szCs w:val="14"/>
                <w:color w:val="auto"/>
                <w:w w:val="83"/>
              </w:rPr>
              <w:t>$</w:t>
            </w:r>
          </w:p>
        </w:tc>
        <w:tc>
          <w:tcPr>
            <w:tcW w:w="800" w:type="dxa"/>
            <w:vAlign w:val="bottom"/>
            <w:tcBorders>
              <w:right w:val="single" w:sz="8" w:color="auto"/>
            </w:tcBorders>
          </w:tcPr>
          <w:p>
            <w:pPr>
              <w:jc w:val="right"/>
              <w:ind w:right="48"/>
              <w:spacing w:after="0"/>
              <w:rPr>
                <w:sz w:val="20"/>
                <w:szCs w:val="20"/>
                <w:color w:val="auto"/>
              </w:rPr>
            </w:pPr>
            <w:r>
              <w:rPr>
                <w:rFonts w:ascii="Calibri" w:cs="Calibri" w:eastAsia="Calibri" w:hAnsi="Calibri"/>
                <w:sz w:val="14"/>
                <w:szCs w:val="14"/>
                <w:color w:val="auto"/>
              </w:rPr>
              <w:t>1,677,004</w:t>
            </w:r>
          </w:p>
        </w:tc>
      </w:tr>
      <w:tr>
        <w:trPr>
          <w:trHeight w:val="33"/>
        </w:trPr>
        <w:tc>
          <w:tcPr>
            <w:tcW w:w="2280" w:type="dxa"/>
            <w:vAlign w:val="bottom"/>
            <w:tcBorders>
              <w:left w:val="single" w:sz="8" w:color="auto"/>
              <w:right w:val="single" w:sz="8" w:color="auto"/>
            </w:tcBorders>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r>
      <w:tr>
        <w:trPr>
          <w:trHeight w:val="208"/>
        </w:trPr>
        <w:tc>
          <w:tcPr>
            <w:tcW w:w="2280" w:type="dxa"/>
            <w:vAlign w:val="bottom"/>
            <w:tcBorders>
              <w:left w:val="single" w:sz="8" w:color="auto"/>
              <w:bottom w:val="single" w:sz="8" w:color="E7E6E6"/>
              <w:right w:val="single" w:sz="8" w:color="auto"/>
            </w:tcBorders>
            <w:shd w:val="clear" w:color="auto" w:fill="E7E6E6"/>
          </w:tcPr>
          <w:p>
            <w:pPr>
              <w:ind w:left="40"/>
              <w:spacing w:after="0"/>
              <w:rPr>
                <w:sz w:val="20"/>
                <w:szCs w:val="20"/>
                <w:color w:val="auto"/>
              </w:rPr>
            </w:pPr>
            <w:r>
              <w:rPr>
                <w:rFonts w:ascii="Calibri" w:cs="Calibri" w:eastAsia="Calibri" w:hAnsi="Calibri"/>
                <w:sz w:val="14"/>
                <w:szCs w:val="14"/>
                <w:color w:val="auto"/>
              </w:rPr>
              <w:t>of the Company</w:t>
            </w:r>
          </w:p>
        </w:tc>
        <w:tc>
          <w:tcPr>
            <w:tcW w:w="1240" w:type="dxa"/>
            <w:vAlign w:val="bottom"/>
            <w:tcBorders>
              <w:bottom w:val="single" w:sz="8" w:color="E7E6E6"/>
              <w:right w:val="single" w:sz="8" w:color="auto"/>
            </w:tcBorders>
            <w:shd w:val="clear" w:color="auto" w:fill="E7E6E6"/>
          </w:tcPr>
          <w:p>
            <w:pPr>
              <w:jc w:val="right"/>
              <w:ind w:right="88"/>
              <w:spacing w:after="0"/>
              <w:rPr>
                <w:sz w:val="20"/>
                <w:szCs w:val="20"/>
                <w:color w:val="auto"/>
              </w:rPr>
            </w:pPr>
            <w:r>
              <w:rPr>
                <w:rFonts w:ascii="Calibri" w:cs="Calibri" w:eastAsia="Calibri" w:hAnsi="Calibri"/>
                <w:sz w:val="14"/>
                <w:szCs w:val="14"/>
                <w:color w:val="auto"/>
              </w:rPr>
              <w:t>2021</w:t>
            </w:r>
          </w:p>
        </w:tc>
        <w:tc>
          <w:tcPr>
            <w:tcW w:w="140" w:type="dxa"/>
            <w:vAlign w:val="bottom"/>
            <w:tcBorders>
              <w:bottom w:val="single" w:sz="8" w:color="E7E6E6"/>
            </w:tcBorders>
            <w:shd w:val="clear" w:color="auto" w:fill="E7E6E6"/>
          </w:tcPr>
          <w:p>
            <w:pPr>
              <w:jc w:val="right"/>
              <w:spacing w:after="0"/>
              <w:rPr>
                <w:sz w:val="20"/>
                <w:szCs w:val="20"/>
                <w:color w:val="auto"/>
              </w:rPr>
            </w:pPr>
            <w:r>
              <w:rPr>
                <w:rFonts w:ascii="Calibri" w:cs="Calibri" w:eastAsia="Calibri" w:hAnsi="Calibri"/>
                <w:sz w:val="14"/>
                <w:szCs w:val="14"/>
                <w:color w:val="auto"/>
                <w:w w:val="83"/>
              </w:rPr>
              <w:t>$</w:t>
            </w:r>
          </w:p>
        </w:tc>
        <w:tc>
          <w:tcPr>
            <w:tcW w:w="800" w:type="dxa"/>
            <w:vAlign w:val="bottom"/>
            <w:tcBorders>
              <w:bottom w:val="single" w:sz="8" w:color="E7E6E6"/>
              <w:right w:val="single" w:sz="8" w:color="auto"/>
            </w:tcBorders>
            <w:shd w:val="clear" w:color="auto" w:fill="E7E6E6"/>
          </w:tcPr>
          <w:p>
            <w:pPr>
              <w:jc w:val="right"/>
              <w:ind w:right="68"/>
              <w:spacing w:after="0"/>
              <w:rPr>
                <w:sz w:val="20"/>
                <w:szCs w:val="20"/>
                <w:color w:val="auto"/>
              </w:rPr>
            </w:pPr>
            <w:r>
              <w:rPr>
                <w:rFonts w:ascii="Calibri" w:cs="Calibri" w:eastAsia="Calibri" w:hAnsi="Calibri"/>
                <w:sz w:val="14"/>
                <w:szCs w:val="14"/>
                <w:color w:val="auto"/>
              </w:rPr>
              <w:t>406,158</w:t>
            </w:r>
          </w:p>
        </w:tc>
        <w:tc>
          <w:tcPr>
            <w:tcW w:w="160" w:type="dxa"/>
            <w:vAlign w:val="bottom"/>
            <w:tcBorders>
              <w:bottom w:val="single" w:sz="8" w:color="E7E6E6"/>
            </w:tcBorders>
            <w:shd w:val="clear" w:color="auto" w:fill="E7E6E6"/>
          </w:tcPr>
          <w:p>
            <w:pPr>
              <w:jc w:val="right"/>
              <w:ind w:right="8"/>
              <w:spacing w:after="0"/>
              <w:rPr>
                <w:sz w:val="20"/>
                <w:szCs w:val="20"/>
                <w:color w:val="auto"/>
              </w:rPr>
            </w:pPr>
            <w:r>
              <w:rPr>
                <w:rFonts w:ascii="Calibri" w:cs="Calibri" w:eastAsia="Calibri" w:hAnsi="Calibri"/>
                <w:sz w:val="14"/>
                <w:szCs w:val="14"/>
                <w:color w:val="auto"/>
                <w:w w:val="83"/>
              </w:rPr>
              <w:t>$</w:t>
            </w:r>
          </w:p>
        </w:tc>
        <w:tc>
          <w:tcPr>
            <w:tcW w:w="820" w:type="dxa"/>
            <w:vAlign w:val="bottom"/>
            <w:tcBorders>
              <w:bottom w:val="single" w:sz="8" w:color="E7E6E6"/>
              <w:right w:val="single" w:sz="8" w:color="auto"/>
            </w:tcBorders>
            <w:shd w:val="clear" w:color="auto" w:fill="E7E6E6"/>
          </w:tcPr>
          <w:p>
            <w:pPr>
              <w:jc w:val="right"/>
              <w:ind w:right="68"/>
              <w:spacing w:after="0"/>
              <w:rPr>
                <w:sz w:val="20"/>
                <w:szCs w:val="20"/>
                <w:color w:val="auto"/>
              </w:rPr>
            </w:pPr>
            <w:r>
              <w:rPr>
                <w:rFonts w:ascii="Calibri" w:cs="Calibri" w:eastAsia="Calibri" w:hAnsi="Calibri"/>
                <w:sz w:val="14"/>
                <w:szCs w:val="14"/>
                <w:color w:val="auto"/>
              </w:rPr>
              <w:t>25,000</w:t>
            </w:r>
          </w:p>
        </w:tc>
        <w:tc>
          <w:tcPr>
            <w:tcW w:w="120" w:type="dxa"/>
            <w:vAlign w:val="bottom"/>
            <w:tcBorders>
              <w:bottom w:val="single" w:sz="8" w:color="E7E6E6"/>
            </w:tcBorders>
            <w:shd w:val="clear" w:color="auto" w:fill="E7E6E6"/>
          </w:tcPr>
          <w:p>
            <w:pPr>
              <w:jc w:val="right"/>
              <w:spacing w:after="0"/>
              <w:rPr>
                <w:sz w:val="20"/>
                <w:szCs w:val="20"/>
                <w:color w:val="auto"/>
              </w:rPr>
            </w:pPr>
            <w:r>
              <w:rPr>
                <w:rFonts w:ascii="Calibri" w:cs="Calibri" w:eastAsia="Calibri" w:hAnsi="Calibri"/>
                <w:sz w:val="14"/>
                <w:szCs w:val="14"/>
                <w:color w:val="auto"/>
                <w:w w:val="83"/>
              </w:rPr>
              <w:t>$</w:t>
            </w:r>
          </w:p>
        </w:tc>
        <w:tc>
          <w:tcPr>
            <w:tcW w:w="740" w:type="dxa"/>
            <w:vAlign w:val="bottom"/>
            <w:tcBorders>
              <w:bottom w:val="single" w:sz="8" w:color="E7E6E6"/>
              <w:right w:val="single" w:sz="8" w:color="auto"/>
            </w:tcBorders>
            <w:shd w:val="clear" w:color="auto" w:fill="E7E6E6"/>
          </w:tcPr>
          <w:p>
            <w:pPr>
              <w:jc w:val="right"/>
              <w:ind w:right="68"/>
              <w:spacing w:after="0"/>
              <w:rPr>
                <w:sz w:val="20"/>
                <w:szCs w:val="20"/>
                <w:color w:val="auto"/>
              </w:rPr>
            </w:pPr>
            <w:r>
              <w:rPr>
                <w:rFonts w:ascii="Calibri" w:cs="Calibri" w:eastAsia="Calibri" w:hAnsi="Calibri"/>
                <w:sz w:val="14"/>
                <w:szCs w:val="14"/>
                <w:color w:val="auto"/>
              </w:rPr>
              <w:t>961,214</w:t>
            </w:r>
          </w:p>
        </w:tc>
        <w:tc>
          <w:tcPr>
            <w:tcW w:w="120" w:type="dxa"/>
            <w:vAlign w:val="bottom"/>
            <w:tcBorders>
              <w:bottom w:val="single" w:sz="8" w:color="E7E6E6"/>
            </w:tcBorders>
            <w:shd w:val="clear" w:color="auto" w:fill="E7E6E6"/>
          </w:tcPr>
          <w:p>
            <w:pPr>
              <w:jc w:val="right"/>
              <w:spacing w:after="0"/>
              <w:rPr>
                <w:sz w:val="20"/>
                <w:szCs w:val="20"/>
                <w:color w:val="auto"/>
              </w:rPr>
            </w:pPr>
            <w:r>
              <w:rPr>
                <w:rFonts w:ascii="Calibri" w:cs="Calibri" w:eastAsia="Calibri" w:hAnsi="Calibri"/>
                <w:sz w:val="14"/>
                <w:szCs w:val="14"/>
                <w:color w:val="auto"/>
                <w:w w:val="83"/>
              </w:rPr>
              <w:t>$</w:t>
            </w:r>
          </w:p>
        </w:tc>
        <w:tc>
          <w:tcPr>
            <w:tcW w:w="820" w:type="dxa"/>
            <w:vAlign w:val="bottom"/>
            <w:tcBorders>
              <w:bottom w:val="single" w:sz="8" w:color="E7E6E6"/>
              <w:right w:val="single" w:sz="8" w:color="auto"/>
            </w:tcBorders>
            <w:shd w:val="clear" w:color="auto" w:fill="E7E6E6"/>
          </w:tcPr>
          <w:p>
            <w:pPr>
              <w:ind w:left="560"/>
              <w:spacing w:after="0"/>
              <w:rPr>
                <w:sz w:val="20"/>
                <w:szCs w:val="20"/>
                <w:color w:val="auto"/>
              </w:rPr>
            </w:pPr>
            <w:r>
              <w:rPr>
                <w:rFonts w:ascii="Calibri" w:cs="Calibri" w:eastAsia="Calibri" w:hAnsi="Calibri"/>
                <w:sz w:val="14"/>
                <w:szCs w:val="14"/>
                <w:color w:val="auto"/>
              </w:rPr>
              <w:t>—</w:t>
            </w:r>
          </w:p>
        </w:tc>
        <w:tc>
          <w:tcPr>
            <w:tcW w:w="80" w:type="dxa"/>
            <w:vAlign w:val="bottom"/>
            <w:tcBorders>
              <w:bottom w:val="single" w:sz="8" w:color="E7E6E6"/>
            </w:tcBorders>
            <w:shd w:val="clear" w:color="auto" w:fill="E7E6E6"/>
          </w:tcPr>
          <w:p>
            <w:pPr>
              <w:jc w:val="right"/>
              <w:spacing w:after="0"/>
              <w:rPr>
                <w:sz w:val="20"/>
                <w:szCs w:val="20"/>
                <w:color w:val="auto"/>
              </w:rPr>
            </w:pPr>
            <w:r>
              <w:rPr>
                <w:rFonts w:ascii="Calibri" w:cs="Calibri" w:eastAsia="Calibri" w:hAnsi="Calibri"/>
                <w:sz w:val="14"/>
                <w:szCs w:val="14"/>
                <w:color w:val="auto"/>
                <w:w w:val="83"/>
              </w:rPr>
              <w:t>$</w:t>
            </w:r>
          </w:p>
        </w:tc>
        <w:tc>
          <w:tcPr>
            <w:tcW w:w="1020" w:type="dxa"/>
            <w:vAlign w:val="bottom"/>
            <w:tcBorders>
              <w:bottom w:val="single" w:sz="8" w:color="E7E6E6"/>
              <w:right w:val="single" w:sz="8" w:color="auto"/>
            </w:tcBorders>
            <w:shd w:val="clear" w:color="auto" w:fill="E7E6E6"/>
          </w:tcPr>
          <w:p>
            <w:pPr>
              <w:jc w:val="right"/>
              <w:ind w:right="48"/>
              <w:spacing w:after="0"/>
              <w:rPr>
                <w:sz w:val="20"/>
                <w:szCs w:val="20"/>
                <w:color w:val="auto"/>
              </w:rPr>
            </w:pPr>
            <w:r>
              <w:rPr>
                <w:rFonts w:ascii="Calibri" w:cs="Calibri" w:eastAsia="Calibri" w:hAnsi="Calibri"/>
                <w:sz w:val="14"/>
                <w:szCs w:val="14"/>
                <w:color w:val="auto"/>
              </w:rPr>
              <w:t>324,427</w:t>
            </w:r>
          </w:p>
        </w:tc>
        <w:tc>
          <w:tcPr>
            <w:tcW w:w="80" w:type="dxa"/>
            <w:vAlign w:val="bottom"/>
            <w:tcBorders>
              <w:bottom w:val="single" w:sz="8" w:color="E7E6E6"/>
            </w:tcBorders>
            <w:shd w:val="clear" w:color="auto" w:fill="E7E6E6"/>
          </w:tcPr>
          <w:p>
            <w:pPr>
              <w:jc w:val="right"/>
              <w:spacing w:after="0"/>
              <w:rPr>
                <w:sz w:val="20"/>
                <w:szCs w:val="20"/>
                <w:color w:val="auto"/>
              </w:rPr>
            </w:pPr>
            <w:r>
              <w:rPr>
                <w:rFonts w:ascii="Calibri" w:cs="Calibri" w:eastAsia="Calibri" w:hAnsi="Calibri"/>
                <w:sz w:val="14"/>
                <w:szCs w:val="14"/>
                <w:color w:val="auto"/>
                <w:w w:val="83"/>
              </w:rPr>
              <w:t>$</w:t>
            </w:r>
          </w:p>
        </w:tc>
        <w:tc>
          <w:tcPr>
            <w:tcW w:w="980" w:type="dxa"/>
            <w:vAlign w:val="bottom"/>
            <w:tcBorders>
              <w:bottom w:val="single" w:sz="8" w:color="E7E6E6"/>
              <w:right w:val="single" w:sz="8" w:color="auto"/>
            </w:tcBorders>
            <w:shd w:val="clear" w:color="auto" w:fill="E7E6E6"/>
          </w:tcPr>
          <w:p>
            <w:pPr>
              <w:jc w:val="right"/>
              <w:ind w:right="68"/>
              <w:spacing w:after="0"/>
              <w:rPr>
                <w:sz w:val="20"/>
                <w:szCs w:val="20"/>
                <w:color w:val="auto"/>
              </w:rPr>
            </w:pPr>
            <w:r>
              <w:rPr>
                <w:rFonts w:ascii="Calibri" w:cs="Calibri" w:eastAsia="Calibri" w:hAnsi="Calibri"/>
                <w:sz w:val="14"/>
                <w:szCs w:val="14"/>
                <w:color w:val="auto"/>
              </w:rPr>
              <w:t>—</w:t>
            </w:r>
          </w:p>
        </w:tc>
        <w:tc>
          <w:tcPr>
            <w:tcW w:w="100" w:type="dxa"/>
            <w:vAlign w:val="bottom"/>
            <w:tcBorders>
              <w:bottom w:val="single" w:sz="8" w:color="E7E6E6"/>
            </w:tcBorders>
            <w:shd w:val="clear" w:color="auto" w:fill="E7E6E6"/>
          </w:tcPr>
          <w:p>
            <w:pPr>
              <w:jc w:val="right"/>
              <w:spacing w:after="0"/>
              <w:rPr>
                <w:sz w:val="20"/>
                <w:szCs w:val="20"/>
                <w:color w:val="auto"/>
              </w:rPr>
            </w:pPr>
            <w:r>
              <w:rPr>
                <w:rFonts w:ascii="Calibri" w:cs="Calibri" w:eastAsia="Calibri" w:hAnsi="Calibri"/>
                <w:sz w:val="14"/>
                <w:szCs w:val="14"/>
                <w:color w:val="auto"/>
                <w:w w:val="83"/>
              </w:rPr>
              <w:t>$</w:t>
            </w:r>
          </w:p>
        </w:tc>
        <w:tc>
          <w:tcPr>
            <w:tcW w:w="780" w:type="dxa"/>
            <w:vAlign w:val="bottom"/>
            <w:tcBorders>
              <w:bottom w:val="single" w:sz="8" w:color="E7E6E6"/>
              <w:right w:val="single" w:sz="8" w:color="auto"/>
            </w:tcBorders>
            <w:shd w:val="clear" w:color="auto" w:fill="E7E6E6"/>
          </w:tcPr>
          <w:p>
            <w:pPr>
              <w:jc w:val="right"/>
              <w:ind w:right="68"/>
              <w:spacing w:after="0"/>
              <w:rPr>
                <w:sz w:val="20"/>
                <w:szCs w:val="20"/>
                <w:color w:val="auto"/>
              </w:rPr>
            </w:pPr>
            <w:r>
              <w:rPr>
                <w:rFonts w:ascii="Calibri" w:cs="Calibri" w:eastAsia="Calibri" w:hAnsi="Calibri"/>
                <w:sz w:val="14"/>
                <w:szCs w:val="14"/>
                <w:color w:val="auto"/>
              </w:rPr>
              <w:t>155,203</w:t>
            </w:r>
          </w:p>
        </w:tc>
        <w:tc>
          <w:tcPr>
            <w:tcW w:w="160" w:type="dxa"/>
            <w:vAlign w:val="bottom"/>
            <w:tcBorders>
              <w:bottom w:val="single" w:sz="8" w:color="E7E6E6"/>
            </w:tcBorders>
            <w:shd w:val="clear" w:color="auto" w:fill="E7E6E6"/>
          </w:tcPr>
          <w:p>
            <w:pPr>
              <w:jc w:val="right"/>
              <w:ind w:right="8"/>
              <w:spacing w:after="0"/>
              <w:rPr>
                <w:sz w:val="20"/>
                <w:szCs w:val="20"/>
                <w:color w:val="auto"/>
              </w:rPr>
            </w:pPr>
            <w:r>
              <w:rPr>
                <w:rFonts w:ascii="Calibri" w:cs="Calibri" w:eastAsia="Calibri" w:hAnsi="Calibri"/>
                <w:sz w:val="14"/>
                <w:szCs w:val="14"/>
                <w:color w:val="auto"/>
                <w:w w:val="83"/>
              </w:rPr>
              <w:t>$</w:t>
            </w:r>
          </w:p>
        </w:tc>
        <w:tc>
          <w:tcPr>
            <w:tcW w:w="800" w:type="dxa"/>
            <w:vAlign w:val="bottom"/>
            <w:tcBorders>
              <w:bottom w:val="single" w:sz="8" w:color="E7E6E6"/>
              <w:right w:val="single" w:sz="8" w:color="auto"/>
            </w:tcBorders>
            <w:shd w:val="clear" w:color="auto" w:fill="E7E6E6"/>
          </w:tcPr>
          <w:p>
            <w:pPr>
              <w:jc w:val="right"/>
              <w:ind w:right="48"/>
              <w:spacing w:after="0"/>
              <w:rPr>
                <w:sz w:val="20"/>
                <w:szCs w:val="20"/>
                <w:color w:val="auto"/>
              </w:rPr>
            </w:pPr>
            <w:r>
              <w:rPr>
                <w:rFonts w:ascii="Calibri" w:cs="Calibri" w:eastAsia="Calibri" w:hAnsi="Calibri"/>
                <w:sz w:val="14"/>
                <w:szCs w:val="14"/>
                <w:color w:val="auto"/>
              </w:rPr>
              <w:t>1,872,002</w:t>
            </w:r>
          </w:p>
        </w:tc>
      </w:tr>
      <w:tr>
        <w:trPr>
          <w:trHeight w:val="163"/>
        </w:trPr>
        <w:tc>
          <w:tcPr>
            <w:tcW w:w="2280" w:type="dxa"/>
            <w:vAlign w:val="bottom"/>
            <w:tcBorders>
              <w:top w:val="single" w:sz="8" w:color="auto"/>
              <w:left w:val="single" w:sz="8" w:color="auto"/>
              <w:right w:val="single" w:sz="8" w:color="auto"/>
            </w:tcBorders>
          </w:tcPr>
          <w:p>
            <w:pPr>
              <w:ind w:left="40"/>
              <w:spacing w:after="0" w:line="164" w:lineRule="exact"/>
              <w:rPr>
                <w:sz w:val="20"/>
                <w:szCs w:val="20"/>
                <w:color w:val="auto"/>
              </w:rPr>
            </w:pPr>
            <w:r>
              <w:rPr>
                <w:rFonts w:ascii="Calibri" w:cs="Calibri" w:eastAsia="Calibri" w:hAnsi="Calibri"/>
                <w:sz w:val="14"/>
                <w:szCs w:val="14"/>
                <w:color w:val="auto"/>
              </w:rPr>
              <w:t>W. Sultemeier</w:t>
            </w:r>
          </w:p>
        </w:tc>
        <w:tc>
          <w:tcPr>
            <w:tcW w:w="1240" w:type="dxa"/>
            <w:vAlign w:val="bottom"/>
            <w:tcBorders>
              <w:top w:val="single" w:sz="8" w:color="auto"/>
              <w:right w:val="single" w:sz="8" w:color="auto"/>
            </w:tcBorders>
          </w:tcPr>
          <w:p>
            <w:pPr>
              <w:jc w:val="right"/>
              <w:ind w:right="88"/>
              <w:spacing w:after="0" w:line="164" w:lineRule="exact"/>
              <w:rPr>
                <w:sz w:val="20"/>
                <w:szCs w:val="20"/>
                <w:color w:val="auto"/>
              </w:rPr>
            </w:pPr>
            <w:r>
              <w:rPr>
                <w:rFonts w:ascii="Calibri" w:cs="Calibri" w:eastAsia="Calibri" w:hAnsi="Calibri"/>
                <w:sz w:val="14"/>
                <w:szCs w:val="14"/>
                <w:color w:val="auto"/>
              </w:rPr>
              <w:t>2023</w:t>
            </w:r>
          </w:p>
        </w:tc>
        <w:tc>
          <w:tcPr>
            <w:tcW w:w="14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800" w:type="dxa"/>
            <w:vAlign w:val="bottom"/>
            <w:tcBorders>
              <w:top w:val="single" w:sz="8" w:color="auto"/>
              <w:right w:val="single" w:sz="8" w:color="auto"/>
            </w:tcBorders>
          </w:tcPr>
          <w:p>
            <w:pPr>
              <w:jc w:val="right"/>
              <w:ind w:right="68"/>
              <w:spacing w:after="0" w:line="164" w:lineRule="exact"/>
              <w:rPr>
                <w:sz w:val="20"/>
                <w:szCs w:val="20"/>
                <w:color w:val="auto"/>
              </w:rPr>
            </w:pPr>
            <w:r>
              <w:rPr>
                <w:rFonts w:ascii="Calibri" w:cs="Calibri" w:eastAsia="Calibri" w:hAnsi="Calibri"/>
                <w:sz w:val="14"/>
                <w:szCs w:val="14"/>
                <w:color w:val="auto"/>
              </w:rPr>
              <w:t>497,494</w:t>
            </w:r>
          </w:p>
        </w:tc>
        <w:tc>
          <w:tcPr>
            <w:tcW w:w="160" w:type="dxa"/>
            <w:vAlign w:val="bottom"/>
            <w:tcBorders>
              <w:top w:val="single" w:sz="8" w:color="auto"/>
            </w:tcBorders>
          </w:tcPr>
          <w:p>
            <w:pPr>
              <w:jc w:val="right"/>
              <w:ind w:right="8"/>
              <w:spacing w:after="0" w:line="164" w:lineRule="exact"/>
              <w:rPr>
                <w:sz w:val="20"/>
                <w:szCs w:val="20"/>
                <w:color w:val="auto"/>
              </w:rPr>
            </w:pPr>
            <w:r>
              <w:rPr>
                <w:rFonts w:ascii="Calibri" w:cs="Calibri" w:eastAsia="Calibri" w:hAnsi="Calibri"/>
                <w:sz w:val="14"/>
                <w:szCs w:val="14"/>
                <w:color w:val="auto"/>
                <w:w w:val="83"/>
              </w:rPr>
              <w:t>$</w:t>
            </w:r>
          </w:p>
        </w:tc>
        <w:tc>
          <w:tcPr>
            <w:tcW w:w="820" w:type="dxa"/>
            <w:vAlign w:val="bottom"/>
            <w:tcBorders>
              <w:top w:val="single" w:sz="8" w:color="auto"/>
              <w:right w:val="single" w:sz="8" w:color="auto"/>
            </w:tcBorders>
          </w:tcPr>
          <w:p>
            <w:pPr>
              <w:jc w:val="right"/>
              <w:ind w:right="68"/>
              <w:spacing w:after="0" w:line="164" w:lineRule="exact"/>
              <w:rPr>
                <w:sz w:val="20"/>
                <w:szCs w:val="20"/>
                <w:color w:val="auto"/>
              </w:rPr>
            </w:pPr>
            <w:r>
              <w:rPr>
                <w:rFonts w:ascii="Calibri" w:cs="Calibri" w:eastAsia="Calibri" w:hAnsi="Calibri"/>
                <w:sz w:val="14"/>
                <w:szCs w:val="14"/>
                <w:color w:val="auto"/>
              </w:rPr>
              <w:t>—</w:t>
            </w:r>
          </w:p>
        </w:tc>
        <w:tc>
          <w:tcPr>
            <w:tcW w:w="12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740" w:type="dxa"/>
            <w:vAlign w:val="bottom"/>
            <w:tcBorders>
              <w:top w:val="single" w:sz="8" w:color="auto"/>
              <w:right w:val="single" w:sz="8" w:color="auto"/>
            </w:tcBorders>
          </w:tcPr>
          <w:p>
            <w:pPr>
              <w:jc w:val="right"/>
              <w:ind w:right="68"/>
              <w:spacing w:after="0" w:line="164" w:lineRule="exact"/>
              <w:rPr>
                <w:sz w:val="20"/>
                <w:szCs w:val="20"/>
                <w:color w:val="auto"/>
              </w:rPr>
            </w:pPr>
            <w:r>
              <w:rPr>
                <w:rFonts w:ascii="Calibri" w:cs="Calibri" w:eastAsia="Calibri" w:hAnsi="Calibri"/>
                <w:sz w:val="14"/>
                <w:szCs w:val="14"/>
                <w:color w:val="auto"/>
              </w:rPr>
              <w:t>703,121</w:t>
            </w:r>
          </w:p>
        </w:tc>
        <w:tc>
          <w:tcPr>
            <w:tcW w:w="12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820" w:type="dxa"/>
            <w:vAlign w:val="bottom"/>
            <w:tcBorders>
              <w:top w:val="single" w:sz="8" w:color="auto"/>
              <w:right w:val="single" w:sz="8" w:color="auto"/>
            </w:tcBorders>
          </w:tcPr>
          <w:p>
            <w:pPr>
              <w:ind w:left="560"/>
              <w:spacing w:after="0" w:line="164" w:lineRule="exact"/>
              <w:rPr>
                <w:sz w:val="20"/>
                <w:szCs w:val="20"/>
                <w:color w:val="auto"/>
              </w:rPr>
            </w:pPr>
            <w:r>
              <w:rPr>
                <w:rFonts w:ascii="Calibri" w:cs="Calibri" w:eastAsia="Calibri" w:hAnsi="Calibri"/>
                <w:sz w:val="14"/>
                <w:szCs w:val="14"/>
                <w:color w:val="auto"/>
              </w:rPr>
              <w:t>—</w:t>
            </w:r>
          </w:p>
        </w:tc>
        <w:tc>
          <w:tcPr>
            <w:tcW w:w="8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1020" w:type="dxa"/>
            <w:vAlign w:val="bottom"/>
            <w:tcBorders>
              <w:top w:val="single" w:sz="8" w:color="auto"/>
              <w:right w:val="single" w:sz="8" w:color="auto"/>
            </w:tcBorders>
          </w:tcPr>
          <w:p>
            <w:pPr>
              <w:jc w:val="right"/>
              <w:ind w:right="48"/>
              <w:spacing w:after="0" w:line="164" w:lineRule="exact"/>
              <w:rPr>
                <w:sz w:val="20"/>
                <w:szCs w:val="20"/>
                <w:color w:val="auto"/>
              </w:rPr>
            </w:pPr>
            <w:r>
              <w:rPr>
                <w:rFonts w:ascii="Calibri" w:cs="Calibri" w:eastAsia="Calibri" w:hAnsi="Calibri"/>
                <w:sz w:val="14"/>
                <w:szCs w:val="14"/>
                <w:color w:val="auto"/>
              </w:rPr>
              <w:t>377,045</w:t>
            </w:r>
          </w:p>
        </w:tc>
        <w:tc>
          <w:tcPr>
            <w:tcW w:w="8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980" w:type="dxa"/>
            <w:vAlign w:val="bottom"/>
            <w:tcBorders>
              <w:top w:val="single" w:sz="8" w:color="auto"/>
              <w:right w:val="single" w:sz="8" w:color="auto"/>
            </w:tcBorders>
          </w:tcPr>
          <w:p>
            <w:pPr>
              <w:jc w:val="right"/>
              <w:ind w:right="68"/>
              <w:spacing w:after="0" w:line="164" w:lineRule="exact"/>
              <w:rPr>
                <w:sz w:val="20"/>
                <w:szCs w:val="20"/>
                <w:color w:val="auto"/>
              </w:rPr>
            </w:pPr>
            <w:r>
              <w:rPr>
                <w:rFonts w:ascii="Calibri" w:cs="Calibri" w:eastAsia="Calibri" w:hAnsi="Calibri"/>
                <w:sz w:val="14"/>
                <w:szCs w:val="14"/>
                <w:color w:val="auto"/>
              </w:rPr>
              <w:t>—</w:t>
            </w:r>
          </w:p>
        </w:tc>
        <w:tc>
          <w:tcPr>
            <w:tcW w:w="10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780" w:type="dxa"/>
            <w:vAlign w:val="bottom"/>
            <w:tcBorders>
              <w:top w:val="single" w:sz="8" w:color="auto"/>
              <w:right w:val="single" w:sz="8" w:color="auto"/>
            </w:tcBorders>
          </w:tcPr>
          <w:p>
            <w:pPr>
              <w:jc w:val="right"/>
              <w:ind w:right="68"/>
              <w:spacing w:after="0" w:line="164" w:lineRule="exact"/>
              <w:rPr>
                <w:sz w:val="20"/>
                <w:szCs w:val="20"/>
                <w:color w:val="auto"/>
              </w:rPr>
            </w:pPr>
            <w:r>
              <w:rPr>
                <w:rFonts w:ascii="Calibri" w:cs="Calibri" w:eastAsia="Calibri" w:hAnsi="Calibri"/>
                <w:sz w:val="14"/>
                <w:szCs w:val="14"/>
                <w:color w:val="auto"/>
              </w:rPr>
              <w:t>82,603</w:t>
            </w:r>
          </w:p>
        </w:tc>
        <w:tc>
          <w:tcPr>
            <w:tcW w:w="160" w:type="dxa"/>
            <w:vAlign w:val="bottom"/>
            <w:tcBorders>
              <w:top w:val="single" w:sz="8" w:color="auto"/>
            </w:tcBorders>
          </w:tcPr>
          <w:p>
            <w:pPr>
              <w:jc w:val="right"/>
              <w:ind w:right="8"/>
              <w:spacing w:after="0" w:line="164" w:lineRule="exact"/>
              <w:rPr>
                <w:sz w:val="20"/>
                <w:szCs w:val="20"/>
                <w:color w:val="auto"/>
              </w:rPr>
            </w:pPr>
            <w:r>
              <w:rPr>
                <w:rFonts w:ascii="Calibri" w:cs="Calibri" w:eastAsia="Calibri" w:hAnsi="Calibri"/>
                <w:sz w:val="14"/>
                <w:szCs w:val="14"/>
                <w:color w:val="auto"/>
                <w:w w:val="83"/>
              </w:rPr>
              <w:t>$</w:t>
            </w:r>
          </w:p>
        </w:tc>
        <w:tc>
          <w:tcPr>
            <w:tcW w:w="800" w:type="dxa"/>
            <w:vAlign w:val="bottom"/>
            <w:tcBorders>
              <w:top w:val="single" w:sz="8" w:color="auto"/>
              <w:right w:val="single" w:sz="8" w:color="auto"/>
            </w:tcBorders>
          </w:tcPr>
          <w:p>
            <w:pPr>
              <w:jc w:val="right"/>
              <w:ind w:right="48"/>
              <w:spacing w:after="0" w:line="164" w:lineRule="exact"/>
              <w:rPr>
                <w:sz w:val="20"/>
                <w:szCs w:val="20"/>
                <w:color w:val="auto"/>
              </w:rPr>
            </w:pPr>
            <w:r>
              <w:rPr>
                <w:rFonts w:ascii="Calibri" w:cs="Calibri" w:eastAsia="Calibri" w:hAnsi="Calibri"/>
                <w:sz w:val="14"/>
                <w:szCs w:val="14"/>
                <w:color w:val="auto"/>
              </w:rPr>
              <w:t>1,660,263</w:t>
            </w:r>
          </w:p>
        </w:tc>
      </w:tr>
      <w:tr>
        <w:trPr>
          <w:trHeight w:val="33"/>
        </w:trPr>
        <w:tc>
          <w:tcPr>
            <w:tcW w:w="2280" w:type="dxa"/>
            <w:vAlign w:val="bottom"/>
            <w:tcBorders>
              <w:left w:val="single" w:sz="8" w:color="auto"/>
              <w:right w:val="single" w:sz="8" w:color="auto"/>
            </w:tcBorders>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r>
      <w:tr>
        <w:trPr>
          <w:trHeight w:val="183"/>
        </w:trPr>
        <w:tc>
          <w:tcPr>
            <w:tcW w:w="2280" w:type="dxa"/>
            <w:vAlign w:val="bottom"/>
            <w:tcBorders>
              <w:left w:val="single" w:sz="8" w:color="auto"/>
              <w:bottom w:val="single" w:sz="8" w:color="E7E6E6"/>
              <w:right w:val="single" w:sz="8" w:color="auto"/>
            </w:tcBorders>
            <w:shd w:val="clear" w:color="auto" w:fill="E7E6E6"/>
          </w:tcPr>
          <w:p>
            <w:pPr>
              <w:ind w:left="40"/>
              <w:spacing w:after="0"/>
              <w:rPr>
                <w:sz w:val="20"/>
                <w:szCs w:val="20"/>
                <w:color w:val="auto"/>
              </w:rPr>
            </w:pPr>
            <w:r>
              <w:rPr>
                <w:rFonts w:ascii="Calibri" w:cs="Calibri" w:eastAsia="Calibri" w:hAnsi="Calibri"/>
                <w:sz w:val="14"/>
                <w:szCs w:val="14"/>
                <w:color w:val="auto"/>
              </w:rPr>
              <w:t>General Counsel, Corporate</w:t>
            </w:r>
          </w:p>
        </w:tc>
        <w:tc>
          <w:tcPr>
            <w:tcW w:w="1240" w:type="dxa"/>
            <w:vAlign w:val="bottom"/>
            <w:tcBorders>
              <w:bottom w:val="single" w:sz="8" w:color="E7E6E6"/>
              <w:right w:val="single" w:sz="8" w:color="auto"/>
            </w:tcBorders>
            <w:shd w:val="clear" w:color="auto" w:fill="E7E6E6"/>
          </w:tcPr>
          <w:p>
            <w:pPr>
              <w:jc w:val="right"/>
              <w:ind w:right="88"/>
              <w:spacing w:after="0"/>
              <w:rPr>
                <w:sz w:val="20"/>
                <w:szCs w:val="20"/>
                <w:color w:val="auto"/>
              </w:rPr>
            </w:pPr>
            <w:r>
              <w:rPr>
                <w:rFonts w:ascii="Calibri" w:cs="Calibri" w:eastAsia="Calibri" w:hAnsi="Calibri"/>
                <w:sz w:val="14"/>
                <w:szCs w:val="14"/>
                <w:color w:val="auto"/>
              </w:rPr>
              <w:t>2022</w:t>
            </w:r>
          </w:p>
        </w:tc>
        <w:tc>
          <w:tcPr>
            <w:tcW w:w="140" w:type="dxa"/>
            <w:vAlign w:val="bottom"/>
            <w:tcBorders>
              <w:bottom w:val="single" w:sz="8" w:color="E7E6E6"/>
            </w:tcBorders>
            <w:shd w:val="clear" w:color="auto" w:fill="E7E6E6"/>
          </w:tcPr>
          <w:p>
            <w:pPr>
              <w:jc w:val="right"/>
              <w:spacing w:after="0"/>
              <w:rPr>
                <w:sz w:val="20"/>
                <w:szCs w:val="20"/>
                <w:color w:val="auto"/>
              </w:rPr>
            </w:pPr>
            <w:r>
              <w:rPr>
                <w:rFonts w:ascii="Calibri" w:cs="Calibri" w:eastAsia="Calibri" w:hAnsi="Calibri"/>
                <w:sz w:val="14"/>
                <w:szCs w:val="14"/>
                <w:color w:val="auto"/>
                <w:w w:val="83"/>
              </w:rPr>
              <w:t>$</w:t>
            </w:r>
          </w:p>
        </w:tc>
        <w:tc>
          <w:tcPr>
            <w:tcW w:w="800" w:type="dxa"/>
            <w:vAlign w:val="bottom"/>
            <w:tcBorders>
              <w:bottom w:val="single" w:sz="8" w:color="E7E6E6"/>
              <w:right w:val="single" w:sz="8" w:color="auto"/>
            </w:tcBorders>
            <w:shd w:val="clear" w:color="auto" w:fill="E7E6E6"/>
          </w:tcPr>
          <w:p>
            <w:pPr>
              <w:jc w:val="right"/>
              <w:ind w:right="68"/>
              <w:spacing w:after="0"/>
              <w:rPr>
                <w:sz w:val="20"/>
                <w:szCs w:val="20"/>
                <w:color w:val="auto"/>
              </w:rPr>
            </w:pPr>
            <w:r>
              <w:rPr>
                <w:rFonts w:ascii="Calibri" w:cs="Calibri" w:eastAsia="Calibri" w:hAnsi="Calibri"/>
                <w:sz w:val="14"/>
                <w:szCs w:val="14"/>
                <w:color w:val="auto"/>
              </w:rPr>
              <w:t>473,803</w:t>
            </w:r>
          </w:p>
        </w:tc>
        <w:tc>
          <w:tcPr>
            <w:tcW w:w="160" w:type="dxa"/>
            <w:vAlign w:val="bottom"/>
            <w:tcBorders>
              <w:bottom w:val="single" w:sz="8" w:color="E7E6E6"/>
            </w:tcBorders>
            <w:shd w:val="clear" w:color="auto" w:fill="E7E6E6"/>
          </w:tcPr>
          <w:p>
            <w:pPr>
              <w:jc w:val="right"/>
              <w:ind w:right="8"/>
              <w:spacing w:after="0"/>
              <w:rPr>
                <w:sz w:val="20"/>
                <w:szCs w:val="20"/>
                <w:color w:val="auto"/>
              </w:rPr>
            </w:pPr>
            <w:r>
              <w:rPr>
                <w:rFonts w:ascii="Calibri" w:cs="Calibri" w:eastAsia="Calibri" w:hAnsi="Calibri"/>
                <w:sz w:val="14"/>
                <w:szCs w:val="14"/>
                <w:color w:val="auto"/>
                <w:w w:val="83"/>
              </w:rPr>
              <w:t>$</w:t>
            </w:r>
          </w:p>
        </w:tc>
        <w:tc>
          <w:tcPr>
            <w:tcW w:w="820" w:type="dxa"/>
            <w:vAlign w:val="bottom"/>
            <w:tcBorders>
              <w:bottom w:val="single" w:sz="8" w:color="E7E6E6"/>
              <w:right w:val="single" w:sz="8" w:color="auto"/>
            </w:tcBorders>
            <w:shd w:val="clear" w:color="auto" w:fill="E7E6E6"/>
          </w:tcPr>
          <w:p>
            <w:pPr>
              <w:jc w:val="right"/>
              <w:ind w:right="68"/>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E7E6E6"/>
            </w:tcBorders>
            <w:shd w:val="clear" w:color="auto" w:fill="E7E6E6"/>
          </w:tcPr>
          <w:p>
            <w:pPr>
              <w:jc w:val="right"/>
              <w:spacing w:after="0"/>
              <w:rPr>
                <w:sz w:val="20"/>
                <w:szCs w:val="20"/>
                <w:color w:val="auto"/>
              </w:rPr>
            </w:pPr>
            <w:r>
              <w:rPr>
                <w:rFonts w:ascii="Calibri" w:cs="Calibri" w:eastAsia="Calibri" w:hAnsi="Calibri"/>
                <w:sz w:val="14"/>
                <w:szCs w:val="14"/>
                <w:color w:val="auto"/>
                <w:w w:val="83"/>
              </w:rPr>
              <w:t>$</w:t>
            </w:r>
          </w:p>
        </w:tc>
        <w:tc>
          <w:tcPr>
            <w:tcW w:w="740" w:type="dxa"/>
            <w:vAlign w:val="bottom"/>
            <w:tcBorders>
              <w:bottom w:val="single" w:sz="8" w:color="E7E6E6"/>
              <w:right w:val="single" w:sz="8" w:color="auto"/>
            </w:tcBorders>
            <w:shd w:val="clear" w:color="auto" w:fill="E7E6E6"/>
          </w:tcPr>
          <w:p>
            <w:pPr>
              <w:jc w:val="right"/>
              <w:ind w:right="68"/>
              <w:spacing w:after="0"/>
              <w:rPr>
                <w:sz w:val="20"/>
                <w:szCs w:val="20"/>
                <w:color w:val="auto"/>
              </w:rPr>
            </w:pPr>
            <w:r>
              <w:rPr>
                <w:rFonts w:ascii="Calibri" w:cs="Calibri" w:eastAsia="Calibri" w:hAnsi="Calibri"/>
                <w:sz w:val="14"/>
                <w:szCs w:val="14"/>
                <w:color w:val="auto"/>
              </w:rPr>
              <w:t>673,200</w:t>
            </w:r>
          </w:p>
        </w:tc>
        <w:tc>
          <w:tcPr>
            <w:tcW w:w="120" w:type="dxa"/>
            <w:vAlign w:val="bottom"/>
            <w:tcBorders>
              <w:bottom w:val="single" w:sz="8" w:color="E7E6E6"/>
            </w:tcBorders>
            <w:shd w:val="clear" w:color="auto" w:fill="E7E6E6"/>
          </w:tcPr>
          <w:p>
            <w:pPr>
              <w:jc w:val="right"/>
              <w:spacing w:after="0"/>
              <w:rPr>
                <w:sz w:val="20"/>
                <w:szCs w:val="20"/>
                <w:color w:val="auto"/>
              </w:rPr>
            </w:pPr>
            <w:r>
              <w:rPr>
                <w:rFonts w:ascii="Calibri" w:cs="Calibri" w:eastAsia="Calibri" w:hAnsi="Calibri"/>
                <w:sz w:val="14"/>
                <w:szCs w:val="14"/>
                <w:color w:val="auto"/>
                <w:w w:val="83"/>
              </w:rPr>
              <w:t>$</w:t>
            </w:r>
          </w:p>
        </w:tc>
        <w:tc>
          <w:tcPr>
            <w:tcW w:w="820" w:type="dxa"/>
            <w:vAlign w:val="bottom"/>
            <w:tcBorders>
              <w:bottom w:val="single" w:sz="8" w:color="E7E6E6"/>
              <w:right w:val="single" w:sz="8" w:color="auto"/>
            </w:tcBorders>
            <w:shd w:val="clear" w:color="auto" w:fill="E7E6E6"/>
          </w:tcPr>
          <w:p>
            <w:pPr>
              <w:ind w:left="560"/>
              <w:spacing w:after="0"/>
              <w:rPr>
                <w:sz w:val="20"/>
                <w:szCs w:val="20"/>
                <w:color w:val="auto"/>
              </w:rPr>
            </w:pPr>
            <w:r>
              <w:rPr>
                <w:rFonts w:ascii="Calibri" w:cs="Calibri" w:eastAsia="Calibri" w:hAnsi="Calibri"/>
                <w:sz w:val="14"/>
                <w:szCs w:val="14"/>
                <w:color w:val="auto"/>
              </w:rPr>
              <w:t>—</w:t>
            </w:r>
          </w:p>
        </w:tc>
        <w:tc>
          <w:tcPr>
            <w:tcW w:w="80" w:type="dxa"/>
            <w:vAlign w:val="bottom"/>
            <w:tcBorders>
              <w:bottom w:val="single" w:sz="8" w:color="E7E6E6"/>
            </w:tcBorders>
            <w:shd w:val="clear" w:color="auto" w:fill="E7E6E6"/>
          </w:tcPr>
          <w:p>
            <w:pPr>
              <w:jc w:val="right"/>
              <w:spacing w:after="0"/>
              <w:rPr>
                <w:sz w:val="20"/>
                <w:szCs w:val="20"/>
                <w:color w:val="auto"/>
              </w:rPr>
            </w:pPr>
            <w:r>
              <w:rPr>
                <w:rFonts w:ascii="Calibri" w:cs="Calibri" w:eastAsia="Calibri" w:hAnsi="Calibri"/>
                <w:sz w:val="14"/>
                <w:szCs w:val="14"/>
                <w:color w:val="auto"/>
                <w:w w:val="83"/>
              </w:rPr>
              <w:t>$</w:t>
            </w:r>
          </w:p>
        </w:tc>
        <w:tc>
          <w:tcPr>
            <w:tcW w:w="1020" w:type="dxa"/>
            <w:vAlign w:val="bottom"/>
            <w:tcBorders>
              <w:bottom w:val="single" w:sz="8" w:color="E7E6E6"/>
              <w:right w:val="single" w:sz="8" w:color="auto"/>
            </w:tcBorders>
            <w:shd w:val="clear" w:color="auto" w:fill="E7E6E6"/>
          </w:tcPr>
          <w:p>
            <w:pPr>
              <w:jc w:val="right"/>
              <w:ind w:right="48"/>
              <w:spacing w:after="0"/>
              <w:rPr>
                <w:sz w:val="20"/>
                <w:szCs w:val="20"/>
                <w:color w:val="auto"/>
              </w:rPr>
            </w:pPr>
            <w:r>
              <w:rPr>
                <w:rFonts w:ascii="Calibri" w:cs="Calibri" w:eastAsia="Calibri" w:hAnsi="Calibri"/>
                <w:sz w:val="14"/>
                <w:szCs w:val="14"/>
                <w:color w:val="auto"/>
              </w:rPr>
              <w:t>305,878</w:t>
            </w:r>
          </w:p>
        </w:tc>
        <w:tc>
          <w:tcPr>
            <w:tcW w:w="80" w:type="dxa"/>
            <w:vAlign w:val="bottom"/>
            <w:tcBorders>
              <w:bottom w:val="single" w:sz="8" w:color="E7E6E6"/>
            </w:tcBorders>
            <w:shd w:val="clear" w:color="auto" w:fill="E7E6E6"/>
          </w:tcPr>
          <w:p>
            <w:pPr>
              <w:jc w:val="right"/>
              <w:spacing w:after="0"/>
              <w:rPr>
                <w:sz w:val="20"/>
                <w:szCs w:val="20"/>
                <w:color w:val="auto"/>
              </w:rPr>
            </w:pPr>
            <w:r>
              <w:rPr>
                <w:rFonts w:ascii="Calibri" w:cs="Calibri" w:eastAsia="Calibri" w:hAnsi="Calibri"/>
                <w:sz w:val="14"/>
                <w:szCs w:val="14"/>
                <w:color w:val="auto"/>
                <w:w w:val="83"/>
              </w:rPr>
              <w:t>$</w:t>
            </w:r>
          </w:p>
        </w:tc>
        <w:tc>
          <w:tcPr>
            <w:tcW w:w="980" w:type="dxa"/>
            <w:vAlign w:val="bottom"/>
            <w:tcBorders>
              <w:bottom w:val="single" w:sz="8" w:color="E7E6E6"/>
              <w:right w:val="single" w:sz="8" w:color="auto"/>
            </w:tcBorders>
            <w:shd w:val="clear" w:color="auto" w:fill="E7E6E6"/>
          </w:tcPr>
          <w:p>
            <w:pPr>
              <w:jc w:val="right"/>
              <w:ind w:right="68"/>
              <w:spacing w:after="0"/>
              <w:rPr>
                <w:sz w:val="20"/>
                <w:szCs w:val="20"/>
                <w:color w:val="auto"/>
              </w:rPr>
            </w:pPr>
            <w:r>
              <w:rPr>
                <w:rFonts w:ascii="Calibri" w:cs="Calibri" w:eastAsia="Calibri" w:hAnsi="Calibri"/>
                <w:sz w:val="14"/>
                <w:szCs w:val="14"/>
                <w:color w:val="auto"/>
              </w:rPr>
              <w:t>—</w:t>
            </w:r>
          </w:p>
        </w:tc>
        <w:tc>
          <w:tcPr>
            <w:tcW w:w="100" w:type="dxa"/>
            <w:vAlign w:val="bottom"/>
            <w:tcBorders>
              <w:bottom w:val="single" w:sz="8" w:color="E7E6E6"/>
            </w:tcBorders>
            <w:shd w:val="clear" w:color="auto" w:fill="E7E6E6"/>
          </w:tcPr>
          <w:p>
            <w:pPr>
              <w:jc w:val="right"/>
              <w:spacing w:after="0"/>
              <w:rPr>
                <w:sz w:val="20"/>
                <w:szCs w:val="20"/>
                <w:color w:val="auto"/>
              </w:rPr>
            </w:pPr>
            <w:r>
              <w:rPr>
                <w:rFonts w:ascii="Calibri" w:cs="Calibri" w:eastAsia="Calibri" w:hAnsi="Calibri"/>
                <w:sz w:val="14"/>
                <w:szCs w:val="14"/>
                <w:color w:val="auto"/>
                <w:w w:val="83"/>
              </w:rPr>
              <w:t>$</w:t>
            </w:r>
          </w:p>
        </w:tc>
        <w:tc>
          <w:tcPr>
            <w:tcW w:w="780" w:type="dxa"/>
            <w:vAlign w:val="bottom"/>
            <w:tcBorders>
              <w:bottom w:val="single" w:sz="8" w:color="E7E6E6"/>
              <w:right w:val="single" w:sz="8" w:color="auto"/>
            </w:tcBorders>
            <w:shd w:val="clear" w:color="auto" w:fill="E7E6E6"/>
          </w:tcPr>
          <w:p>
            <w:pPr>
              <w:jc w:val="right"/>
              <w:ind w:right="68"/>
              <w:spacing w:after="0"/>
              <w:rPr>
                <w:sz w:val="20"/>
                <w:szCs w:val="20"/>
                <w:color w:val="auto"/>
              </w:rPr>
            </w:pPr>
            <w:r>
              <w:rPr>
                <w:rFonts w:ascii="Calibri" w:cs="Calibri" w:eastAsia="Calibri" w:hAnsi="Calibri"/>
                <w:sz w:val="14"/>
                <w:szCs w:val="14"/>
                <w:color w:val="auto"/>
              </w:rPr>
              <w:t>72,947</w:t>
            </w:r>
          </w:p>
        </w:tc>
        <w:tc>
          <w:tcPr>
            <w:tcW w:w="160" w:type="dxa"/>
            <w:vAlign w:val="bottom"/>
            <w:tcBorders>
              <w:bottom w:val="single" w:sz="8" w:color="E7E6E6"/>
            </w:tcBorders>
            <w:shd w:val="clear" w:color="auto" w:fill="E7E6E6"/>
          </w:tcPr>
          <w:p>
            <w:pPr>
              <w:jc w:val="right"/>
              <w:ind w:right="8"/>
              <w:spacing w:after="0"/>
              <w:rPr>
                <w:sz w:val="20"/>
                <w:szCs w:val="20"/>
                <w:color w:val="auto"/>
              </w:rPr>
            </w:pPr>
            <w:r>
              <w:rPr>
                <w:rFonts w:ascii="Calibri" w:cs="Calibri" w:eastAsia="Calibri" w:hAnsi="Calibri"/>
                <w:sz w:val="14"/>
                <w:szCs w:val="14"/>
                <w:color w:val="auto"/>
                <w:w w:val="83"/>
              </w:rPr>
              <w:t>$</w:t>
            </w:r>
          </w:p>
        </w:tc>
        <w:tc>
          <w:tcPr>
            <w:tcW w:w="800" w:type="dxa"/>
            <w:vAlign w:val="bottom"/>
            <w:tcBorders>
              <w:bottom w:val="single" w:sz="8" w:color="E7E6E6"/>
              <w:right w:val="single" w:sz="8" w:color="auto"/>
            </w:tcBorders>
            <w:shd w:val="clear" w:color="auto" w:fill="E7E6E6"/>
          </w:tcPr>
          <w:p>
            <w:pPr>
              <w:jc w:val="right"/>
              <w:ind w:right="48"/>
              <w:spacing w:after="0"/>
              <w:rPr>
                <w:sz w:val="20"/>
                <w:szCs w:val="20"/>
                <w:color w:val="auto"/>
              </w:rPr>
            </w:pPr>
            <w:r>
              <w:rPr>
                <w:rFonts w:ascii="Calibri" w:cs="Calibri" w:eastAsia="Calibri" w:hAnsi="Calibri"/>
                <w:sz w:val="14"/>
                <w:szCs w:val="14"/>
                <w:color w:val="auto"/>
              </w:rPr>
              <w:t>1,525,828</w:t>
            </w:r>
          </w:p>
        </w:tc>
      </w:tr>
      <w:tr>
        <w:trPr>
          <w:trHeight w:val="170"/>
        </w:trPr>
        <w:tc>
          <w:tcPr>
            <w:tcW w:w="228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4"/>
                <w:szCs w:val="14"/>
                <w:color w:val="auto"/>
              </w:rPr>
              <w:t>Secretary and Chief Compliance</w:t>
            </w:r>
          </w:p>
        </w:tc>
        <w:tc>
          <w:tcPr>
            <w:tcW w:w="1240" w:type="dxa"/>
            <w:vAlign w:val="bottom"/>
            <w:tcBorders>
              <w:right w:val="single" w:sz="8" w:color="auto"/>
            </w:tcBorders>
          </w:tcPr>
          <w:p>
            <w:pPr>
              <w:jc w:val="right"/>
              <w:ind w:right="88"/>
              <w:spacing w:after="0"/>
              <w:rPr>
                <w:sz w:val="20"/>
                <w:szCs w:val="20"/>
                <w:color w:val="auto"/>
              </w:rPr>
            </w:pPr>
            <w:r>
              <w:rPr>
                <w:rFonts w:ascii="Calibri" w:cs="Calibri" w:eastAsia="Calibri" w:hAnsi="Calibri"/>
                <w:sz w:val="14"/>
                <w:szCs w:val="14"/>
                <w:color w:val="auto"/>
              </w:rPr>
              <w:t>2021</w:t>
            </w:r>
          </w:p>
        </w:tc>
        <w:tc>
          <w:tcPr>
            <w:tcW w:w="140" w:type="dxa"/>
            <w:vAlign w:val="bottom"/>
          </w:tcPr>
          <w:p>
            <w:pPr>
              <w:jc w:val="right"/>
              <w:spacing w:after="0"/>
              <w:rPr>
                <w:sz w:val="20"/>
                <w:szCs w:val="20"/>
                <w:color w:val="auto"/>
              </w:rPr>
            </w:pPr>
            <w:r>
              <w:rPr>
                <w:rFonts w:ascii="Calibri" w:cs="Calibri" w:eastAsia="Calibri" w:hAnsi="Calibri"/>
                <w:sz w:val="14"/>
                <w:szCs w:val="14"/>
                <w:color w:val="auto"/>
                <w:w w:val="83"/>
              </w:rPr>
              <w:t>$</w:t>
            </w:r>
          </w:p>
        </w:tc>
        <w:tc>
          <w:tcPr>
            <w:tcW w:w="800" w:type="dxa"/>
            <w:vAlign w:val="bottom"/>
            <w:tcBorders>
              <w:right w:val="single" w:sz="8" w:color="auto"/>
            </w:tcBorders>
          </w:tcPr>
          <w:p>
            <w:pPr>
              <w:jc w:val="right"/>
              <w:ind w:right="68"/>
              <w:spacing w:after="0"/>
              <w:rPr>
                <w:sz w:val="20"/>
                <w:szCs w:val="20"/>
                <w:color w:val="auto"/>
              </w:rPr>
            </w:pPr>
            <w:r>
              <w:rPr>
                <w:rFonts w:ascii="Calibri" w:cs="Calibri" w:eastAsia="Calibri" w:hAnsi="Calibri"/>
                <w:sz w:val="14"/>
                <w:szCs w:val="14"/>
                <w:color w:val="auto"/>
              </w:rPr>
              <w:t>459,992</w:t>
            </w:r>
          </w:p>
        </w:tc>
        <w:tc>
          <w:tcPr>
            <w:tcW w:w="160" w:type="dxa"/>
            <w:vAlign w:val="bottom"/>
          </w:tcPr>
          <w:p>
            <w:pPr>
              <w:jc w:val="right"/>
              <w:ind w:right="8"/>
              <w:spacing w:after="0"/>
              <w:rPr>
                <w:sz w:val="20"/>
                <w:szCs w:val="20"/>
                <w:color w:val="auto"/>
              </w:rPr>
            </w:pPr>
            <w:r>
              <w:rPr>
                <w:rFonts w:ascii="Calibri" w:cs="Calibri" w:eastAsia="Calibri" w:hAnsi="Calibri"/>
                <w:sz w:val="14"/>
                <w:szCs w:val="14"/>
                <w:color w:val="auto"/>
                <w:w w:val="83"/>
              </w:rPr>
              <w:t>$</w:t>
            </w:r>
          </w:p>
        </w:tc>
        <w:tc>
          <w:tcPr>
            <w:tcW w:w="820" w:type="dxa"/>
            <w:vAlign w:val="bottom"/>
            <w:tcBorders>
              <w:right w:val="single" w:sz="8" w:color="auto"/>
            </w:tcBorders>
          </w:tcPr>
          <w:p>
            <w:pPr>
              <w:jc w:val="right"/>
              <w:ind w:right="68"/>
              <w:spacing w:after="0"/>
              <w:rPr>
                <w:sz w:val="20"/>
                <w:szCs w:val="20"/>
                <w:color w:val="auto"/>
              </w:rPr>
            </w:pPr>
            <w:r>
              <w:rPr>
                <w:rFonts w:ascii="Calibri" w:cs="Calibri" w:eastAsia="Calibri" w:hAnsi="Calibri"/>
                <w:sz w:val="14"/>
                <w:szCs w:val="14"/>
                <w:color w:val="auto"/>
              </w:rPr>
              <w:t>—</w:t>
            </w:r>
          </w:p>
        </w:tc>
        <w:tc>
          <w:tcPr>
            <w:tcW w:w="120" w:type="dxa"/>
            <w:vAlign w:val="bottom"/>
          </w:tcPr>
          <w:p>
            <w:pPr>
              <w:jc w:val="right"/>
              <w:spacing w:after="0"/>
              <w:rPr>
                <w:sz w:val="20"/>
                <w:szCs w:val="20"/>
                <w:color w:val="auto"/>
              </w:rPr>
            </w:pPr>
            <w:r>
              <w:rPr>
                <w:rFonts w:ascii="Calibri" w:cs="Calibri" w:eastAsia="Calibri" w:hAnsi="Calibri"/>
                <w:sz w:val="14"/>
                <w:szCs w:val="14"/>
                <w:color w:val="auto"/>
                <w:w w:val="83"/>
              </w:rPr>
              <w:t>$</w:t>
            </w:r>
          </w:p>
        </w:tc>
        <w:tc>
          <w:tcPr>
            <w:tcW w:w="740" w:type="dxa"/>
            <w:vAlign w:val="bottom"/>
            <w:tcBorders>
              <w:right w:val="single" w:sz="8" w:color="auto"/>
            </w:tcBorders>
          </w:tcPr>
          <w:p>
            <w:pPr>
              <w:jc w:val="right"/>
              <w:ind w:right="68"/>
              <w:spacing w:after="0"/>
              <w:rPr>
                <w:sz w:val="20"/>
                <w:szCs w:val="20"/>
                <w:color w:val="auto"/>
              </w:rPr>
            </w:pPr>
            <w:r>
              <w:rPr>
                <w:rFonts w:ascii="Calibri" w:cs="Calibri" w:eastAsia="Calibri" w:hAnsi="Calibri"/>
                <w:sz w:val="14"/>
                <w:szCs w:val="14"/>
                <w:color w:val="auto"/>
              </w:rPr>
              <w:t>694,817</w:t>
            </w:r>
          </w:p>
        </w:tc>
        <w:tc>
          <w:tcPr>
            <w:tcW w:w="120" w:type="dxa"/>
            <w:vAlign w:val="bottom"/>
          </w:tcPr>
          <w:p>
            <w:pPr>
              <w:jc w:val="right"/>
              <w:spacing w:after="0"/>
              <w:rPr>
                <w:sz w:val="20"/>
                <w:szCs w:val="20"/>
                <w:color w:val="auto"/>
              </w:rPr>
            </w:pPr>
            <w:r>
              <w:rPr>
                <w:rFonts w:ascii="Calibri" w:cs="Calibri" w:eastAsia="Calibri" w:hAnsi="Calibri"/>
                <w:sz w:val="14"/>
                <w:szCs w:val="14"/>
                <w:color w:val="auto"/>
                <w:w w:val="83"/>
              </w:rPr>
              <w:t>$</w:t>
            </w:r>
          </w:p>
        </w:tc>
        <w:tc>
          <w:tcPr>
            <w:tcW w:w="820" w:type="dxa"/>
            <w:vAlign w:val="bottom"/>
            <w:tcBorders>
              <w:right w:val="single" w:sz="8" w:color="auto"/>
            </w:tcBorders>
          </w:tcPr>
          <w:p>
            <w:pPr>
              <w:ind w:left="560"/>
              <w:spacing w:after="0"/>
              <w:rPr>
                <w:sz w:val="20"/>
                <w:szCs w:val="20"/>
                <w:color w:val="auto"/>
              </w:rPr>
            </w:pPr>
            <w:r>
              <w:rPr>
                <w:rFonts w:ascii="Calibri" w:cs="Calibri" w:eastAsia="Calibri" w:hAnsi="Calibri"/>
                <w:sz w:val="14"/>
                <w:szCs w:val="14"/>
                <w:color w:val="auto"/>
              </w:rPr>
              <w:t>—</w:t>
            </w:r>
          </w:p>
        </w:tc>
        <w:tc>
          <w:tcPr>
            <w:tcW w:w="80" w:type="dxa"/>
            <w:vAlign w:val="bottom"/>
          </w:tcPr>
          <w:p>
            <w:pPr>
              <w:jc w:val="right"/>
              <w:spacing w:after="0"/>
              <w:rPr>
                <w:sz w:val="20"/>
                <w:szCs w:val="20"/>
                <w:color w:val="auto"/>
              </w:rPr>
            </w:pPr>
            <w:r>
              <w:rPr>
                <w:rFonts w:ascii="Calibri" w:cs="Calibri" w:eastAsia="Calibri" w:hAnsi="Calibri"/>
                <w:sz w:val="14"/>
                <w:szCs w:val="14"/>
                <w:color w:val="auto"/>
                <w:w w:val="83"/>
              </w:rPr>
              <w:t>$</w:t>
            </w:r>
          </w:p>
        </w:tc>
        <w:tc>
          <w:tcPr>
            <w:tcW w:w="1020" w:type="dxa"/>
            <w:vAlign w:val="bottom"/>
            <w:tcBorders>
              <w:right w:val="single" w:sz="8" w:color="auto"/>
            </w:tcBorders>
          </w:tcPr>
          <w:p>
            <w:pPr>
              <w:jc w:val="right"/>
              <w:ind w:right="48"/>
              <w:spacing w:after="0"/>
              <w:rPr>
                <w:sz w:val="20"/>
                <w:szCs w:val="20"/>
                <w:color w:val="auto"/>
              </w:rPr>
            </w:pPr>
            <w:r>
              <w:rPr>
                <w:rFonts w:ascii="Calibri" w:cs="Calibri" w:eastAsia="Calibri" w:hAnsi="Calibri"/>
                <w:sz w:val="14"/>
                <w:szCs w:val="14"/>
                <w:color w:val="auto"/>
              </w:rPr>
              <w:t>330,569</w:t>
            </w:r>
          </w:p>
        </w:tc>
        <w:tc>
          <w:tcPr>
            <w:tcW w:w="80" w:type="dxa"/>
            <w:vAlign w:val="bottom"/>
          </w:tcPr>
          <w:p>
            <w:pPr>
              <w:jc w:val="right"/>
              <w:spacing w:after="0"/>
              <w:rPr>
                <w:sz w:val="20"/>
                <w:szCs w:val="20"/>
                <w:color w:val="auto"/>
              </w:rPr>
            </w:pPr>
            <w:r>
              <w:rPr>
                <w:rFonts w:ascii="Calibri" w:cs="Calibri" w:eastAsia="Calibri" w:hAnsi="Calibri"/>
                <w:sz w:val="14"/>
                <w:szCs w:val="14"/>
                <w:color w:val="auto"/>
                <w:w w:val="83"/>
              </w:rPr>
              <w:t>$</w:t>
            </w:r>
          </w:p>
        </w:tc>
        <w:tc>
          <w:tcPr>
            <w:tcW w:w="980" w:type="dxa"/>
            <w:vAlign w:val="bottom"/>
            <w:tcBorders>
              <w:right w:val="single" w:sz="8" w:color="auto"/>
            </w:tcBorders>
          </w:tcPr>
          <w:p>
            <w:pPr>
              <w:jc w:val="right"/>
              <w:ind w:right="68"/>
              <w:spacing w:after="0"/>
              <w:rPr>
                <w:sz w:val="20"/>
                <w:szCs w:val="20"/>
                <w:color w:val="auto"/>
              </w:rPr>
            </w:pPr>
            <w:r>
              <w:rPr>
                <w:rFonts w:ascii="Calibri" w:cs="Calibri" w:eastAsia="Calibri" w:hAnsi="Calibri"/>
                <w:sz w:val="14"/>
                <w:szCs w:val="14"/>
                <w:color w:val="auto"/>
              </w:rPr>
              <w:t>—</w:t>
            </w:r>
          </w:p>
        </w:tc>
        <w:tc>
          <w:tcPr>
            <w:tcW w:w="100" w:type="dxa"/>
            <w:vAlign w:val="bottom"/>
          </w:tcPr>
          <w:p>
            <w:pPr>
              <w:jc w:val="right"/>
              <w:spacing w:after="0"/>
              <w:rPr>
                <w:sz w:val="20"/>
                <w:szCs w:val="20"/>
                <w:color w:val="auto"/>
              </w:rPr>
            </w:pPr>
            <w:r>
              <w:rPr>
                <w:rFonts w:ascii="Calibri" w:cs="Calibri" w:eastAsia="Calibri" w:hAnsi="Calibri"/>
                <w:sz w:val="14"/>
                <w:szCs w:val="14"/>
                <w:color w:val="auto"/>
                <w:w w:val="83"/>
              </w:rPr>
              <w:t>$</w:t>
            </w:r>
          </w:p>
        </w:tc>
        <w:tc>
          <w:tcPr>
            <w:tcW w:w="780" w:type="dxa"/>
            <w:vAlign w:val="bottom"/>
            <w:tcBorders>
              <w:right w:val="single" w:sz="8" w:color="auto"/>
            </w:tcBorders>
          </w:tcPr>
          <w:p>
            <w:pPr>
              <w:jc w:val="right"/>
              <w:ind w:right="68"/>
              <w:spacing w:after="0"/>
              <w:rPr>
                <w:sz w:val="20"/>
                <w:szCs w:val="20"/>
                <w:color w:val="auto"/>
              </w:rPr>
            </w:pPr>
            <w:r>
              <w:rPr>
                <w:rFonts w:ascii="Calibri" w:cs="Calibri" w:eastAsia="Calibri" w:hAnsi="Calibri"/>
                <w:sz w:val="14"/>
                <w:szCs w:val="14"/>
                <w:color w:val="auto"/>
              </w:rPr>
              <w:t>65,102</w:t>
            </w:r>
          </w:p>
        </w:tc>
        <w:tc>
          <w:tcPr>
            <w:tcW w:w="160" w:type="dxa"/>
            <w:vAlign w:val="bottom"/>
          </w:tcPr>
          <w:p>
            <w:pPr>
              <w:jc w:val="right"/>
              <w:ind w:right="8"/>
              <w:spacing w:after="0"/>
              <w:rPr>
                <w:sz w:val="20"/>
                <w:szCs w:val="20"/>
                <w:color w:val="auto"/>
              </w:rPr>
            </w:pPr>
            <w:r>
              <w:rPr>
                <w:rFonts w:ascii="Calibri" w:cs="Calibri" w:eastAsia="Calibri" w:hAnsi="Calibri"/>
                <w:sz w:val="14"/>
                <w:szCs w:val="14"/>
                <w:color w:val="auto"/>
                <w:w w:val="83"/>
              </w:rPr>
              <w:t>$</w:t>
            </w:r>
          </w:p>
        </w:tc>
        <w:tc>
          <w:tcPr>
            <w:tcW w:w="800" w:type="dxa"/>
            <w:vAlign w:val="bottom"/>
            <w:tcBorders>
              <w:right w:val="single" w:sz="8" w:color="auto"/>
            </w:tcBorders>
          </w:tcPr>
          <w:p>
            <w:pPr>
              <w:jc w:val="right"/>
              <w:ind w:right="48"/>
              <w:spacing w:after="0"/>
              <w:rPr>
                <w:sz w:val="20"/>
                <w:szCs w:val="20"/>
                <w:color w:val="auto"/>
              </w:rPr>
            </w:pPr>
            <w:r>
              <w:rPr>
                <w:rFonts w:ascii="Calibri" w:cs="Calibri" w:eastAsia="Calibri" w:hAnsi="Calibri"/>
                <w:sz w:val="14"/>
                <w:szCs w:val="14"/>
                <w:color w:val="auto"/>
              </w:rPr>
              <w:t>1,550,480</w:t>
            </w:r>
          </w:p>
        </w:tc>
      </w:tr>
      <w:tr>
        <w:trPr>
          <w:trHeight w:val="33"/>
        </w:trPr>
        <w:tc>
          <w:tcPr>
            <w:tcW w:w="2280" w:type="dxa"/>
            <w:vAlign w:val="bottom"/>
            <w:tcBorders>
              <w:left w:val="single" w:sz="8" w:color="auto"/>
              <w:right w:val="single" w:sz="8" w:color="auto"/>
            </w:tcBorders>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r>
      <w:tr>
        <w:trPr>
          <w:trHeight w:val="208"/>
        </w:trPr>
        <w:tc>
          <w:tcPr>
            <w:tcW w:w="2280" w:type="dxa"/>
            <w:vAlign w:val="bottom"/>
            <w:tcBorders>
              <w:left w:val="single" w:sz="8" w:color="auto"/>
              <w:bottom w:val="single" w:sz="8" w:color="E7E6E6"/>
              <w:right w:val="single" w:sz="8" w:color="auto"/>
            </w:tcBorders>
            <w:shd w:val="clear" w:color="auto" w:fill="E7E6E6"/>
          </w:tcPr>
          <w:p>
            <w:pPr>
              <w:ind w:left="40"/>
              <w:spacing w:after="0"/>
              <w:rPr>
                <w:sz w:val="20"/>
                <w:szCs w:val="20"/>
                <w:color w:val="auto"/>
              </w:rPr>
            </w:pPr>
            <w:r>
              <w:rPr>
                <w:rFonts w:ascii="Calibri" w:cs="Calibri" w:eastAsia="Calibri" w:hAnsi="Calibri"/>
                <w:sz w:val="14"/>
                <w:szCs w:val="14"/>
                <w:color w:val="auto"/>
              </w:rPr>
              <w:t>Ofcer of the Company</w:t>
            </w:r>
          </w:p>
        </w:tc>
        <w:tc>
          <w:tcPr>
            <w:tcW w:w="1240" w:type="dxa"/>
            <w:vAlign w:val="bottom"/>
            <w:tcBorders>
              <w:bottom w:val="single" w:sz="8" w:color="E7E6E6"/>
              <w:right w:val="single" w:sz="8" w:color="auto"/>
            </w:tcBorders>
            <w:shd w:val="clear" w:color="auto" w:fill="E7E6E6"/>
          </w:tcPr>
          <w:p>
            <w:pPr>
              <w:spacing w:after="0"/>
              <w:rPr>
                <w:sz w:val="17"/>
                <w:szCs w:val="17"/>
                <w:color w:val="auto"/>
              </w:rPr>
            </w:pPr>
          </w:p>
        </w:tc>
        <w:tc>
          <w:tcPr>
            <w:tcW w:w="140" w:type="dxa"/>
            <w:vAlign w:val="bottom"/>
            <w:tcBorders>
              <w:bottom w:val="single" w:sz="8" w:color="E7E6E6"/>
            </w:tcBorders>
            <w:shd w:val="clear" w:color="auto" w:fill="E7E6E6"/>
          </w:tcPr>
          <w:p>
            <w:pPr>
              <w:spacing w:after="0"/>
              <w:rPr>
                <w:sz w:val="17"/>
                <w:szCs w:val="17"/>
                <w:color w:val="auto"/>
              </w:rPr>
            </w:pPr>
          </w:p>
        </w:tc>
        <w:tc>
          <w:tcPr>
            <w:tcW w:w="800" w:type="dxa"/>
            <w:vAlign w:val="bottom"/>
            <w:tcBorders>
              <w:bottom w:val="single" w:sz="8" w:color="E7E6E6"/>
              <w:right w:val="single" w:sz="8" w:color="auto"/>
            </w:tcBorders>
            <w:shd w:val="clear" w:color="auto" w:fill="E7E6E6"/>
          </w:tcPr>
          <w:p>
            <w:pPr>
              <w:spacing w:after="0"/>
              <w:rPr>
                <w:sz w:val="17"/>
                <w:szCs w:val="17"/>
                <w:color w:val="auto"/>
              </w:rPr>
            </w:pPr>
          </w:p>
        </w:tc>
        <w:tc>
          <w:tcPr>
            <w:tcW w:w="160" w:type="dxa"/>
            <w:vAlign w:val="bottom"/>
            <w:tcBorders>
              <w:bottom w:val="single" w:sz="8" w:color="E7E6E6"/>
            </w:tcBorders>
            <w:shd w:val="clear" w:color="auto" w:fill="E7E6E6"/>
          </w:tcPr>
          <w:p>
            <w:pPr>
              <w:spacing w:after="0"/>
              <w:rPr>
                <w:sz w:val="17"/>
                <w:szCs w:val="17"/>
                <w:color w:val="auto"/>
              </w:rPr>
            </w:pPr>
          </w:p>
        </w:tc>
        <w:tc>
          <w:tcPr>
            <w:tcW w:w="820" w:type="dxa"/>
            <w:vAlign w:val="bottom"/>
            <w:tcBorders>
              <w:bottom w:val="single" w:sz="8" w:color="E7E6E6"/>
              <w:right w:val="single" w:sz="8" w:color="auto"/>
            </w:tcBorders>
            <w:shd w:val="clear" w:color="auto" w:fill="E7E6E6"/>
          </w:tcPr>
          <w:p>
            <w:pPr>
              <w:spacing w:after="0"/>
              <w:rPr>
                <w:sz w:val="17"/>
                <w:szCs w:val="17"/>
                <w:color w:val="auto"/>
              </w:rPr>
            </w:pPr>
          </w:p>
        </w:tc>
        <w:tc>
          <w:tcPr>
            <w:tcW w:w="120" w:type="dxa"/>
            <w:vAlign w:val="bottom"/>
            <w:tcBorders>
              <w:bottom w:val="single" w:sz="8" w:color="E7E6E6"/>
            </w:tcBorders>
            <w:shd w:val="clear" w:color="auto" w:fill="E7E6E6"/>
          </w:tcPr>
          <w:p>
            <w:pPr>
              <w:spacing w:after="0"/>
              <w:rPr>
                <w:sz w:val="17"/>
                <w:szCs w:val="17"/>
                <w:color w:val="auto"/>
              </w:rPr>
            </w:pPr>
          </w:p>
        </w:tc>
        <w:tc>
          <w:tcPr>
            <w:tcW w:w="740" w:type="dxa"/>
            <w:vAlign w:val="bottom"/>
            <w:tcBorders>
              <w:bottom w:val="single" w:sz="8" w:color="E7E6E6"/>
              <w:right w:val="single" w:sz="8" w:color="auto"/>
            </w:tcBorders>
            <w:shd w:val="clear" w:color="auto" w:fill="E7E6E6"/>
          </w:tcPr>
          <w:p>
            <w:pPr>
              <w:spacing w:after="0"/>
              <w:rPr>
                <w:sz w:val="17"/>
                <w:szCs w:val="17"/>
                <w:color w:val="auto"/>
              </w:rPr>
            </w:pPr>
          </w:p>
        </w:tc>
        <w:tc>
          <w:tcPr>
            <w:tcW w:w="120" w:type="dxa"/>
            <w:vAlign w:val="bottom"/>
            <w:tcBorders>
              <w:bottom w:val="single" w:sz="8" w:color="E7E6E6"/>
            </w:tcBorders>
            <w:shd w:val="clear" w:color="auto" w:fill="E7E6E6"/>
          </w:tcPr>
          <w:p>
            <w:pPr>
              <w:spacing w:after="0"/>
              <w:rPr>
                <w:sz w:val="17"/>
                <w:szCs w:val="17"/>
                <w:color w:val="auto"/>
              </w:rPr>
            </w:pPr>
          </w:p>
        </w:tc>
        <w:tc>
          <w:tcPr>
            <w:tcW w:w="820" w:type="dxa"/>
            <w:vAlign w:val="bottom"/>
            <w:tcBorders>
              <w:bottom w:val="single" w:sz="8" w:color="E7E6E6"/>
              <w:right w:val="single" w:sz="8" w:color="auto"/>
            </w:tcBorders>
            <w:shd w:val="clear" w:color="auto" w:fill="E7E6E6"/>
          </w:tcPr>
          <w:p>
            <w:pPr>
              <w:spacing w:after="0"/>
              <w:rPr>
                <w:sz w:val="17"/>
                <w:szCs w:val="17"/>
                <w:color w:val="auto"/>
              </w:rPr>
            </w:pPr>
          </w:p>
        </w:tc>
        <w:tc>
          <w:tcPr>
            <w:tcW w:w="80" w:type="dxa"/>
            <w:vAlign w:val="bottom"/>
            <w:tcBorders>
              <w:bottom w:val="single" w:sz="8" w:color="E7E6E6"/>
            </w:tcBorders>
            <w:shd w:val="clear" w:color="auto" w:fill="E7E6E6"/>
          </w:tcPr>
          <w:p>
            <w:pPr>
              <w:spacing w:after="0"/>
              <w:rPr>
                <w:sz w:val="17"/>
                <w:szCs w:val="17"/>
                <w:color w:val="auto"/>
              </w:rPr>
            </w:pPr>
          </w:p>
        </w:tc>
        <w:tc>
          <w:tcPr>
            <w:tcW w:w="1020" w:type="dxa"/>
            <w:vAlign w:val="bottom"/>
            <w:tcBorders>
              <w:bottom w:val="single" w:sz="8" w:color="E7E6E6"/>
              <w:right w:val="single" w:sz="8" w:color="auto"/>
            </w:tcBorders>
            <w:shd w:val="clear" w:color="auto" w:fill="E7E6E6"/>
          </w:tcPr>
          <w:p>
            <w:pPr>
              <w:spacing w:after="0"/>
              <w:rPr>
                <w:sz w:val="17"/>
                <w:szCs w:val="17"/>
                <w:color w:val="auto"/>
              </w:rPr>
            </w:pPr>
          </w:p>
        </w:tc>
        <w:tc>
          <w:tcPr>
            <w:tcW w:w="80" w:type="dxa"/>
            <w:vAlign w:val="bottom"/>
            <w:tcBorders>
              <w:bottom w:val="single" w:sz="8" w:color="E7E6E6"/>
            </w:tcBorders>
            <w:shd w:val="clear" w:color="auto" w:fill="E7E6E6"/>
          </w:tcPr>
          <w:p>
            <w:pPr>
              <w:spacing w:after="0"/>
              <w:rPr>
                <w:sz w:val="17"/>
                <w:szCs w:val="17"/>
                <w:color w:val="auto"/>
              </w:rPr>
            </w:pPr>
          </w:p>
        </w:tc>
        <w:tc>
          <w:tcPr>
            <w:tcW w:w="980" w:type="dxa"/>
            <w:vAlign w:val="bottom"/>
            <w:tcBorders>
              <w:bottom w:val="single" w:sz="8" w:color="E7E6E6"/>
              <w:right w:val="single" w:sz="8" w:color="auto"/>
            </w:tcBorders>
            <w:shd w:val="clear" w:color="auto" w:fill="E7E6E6"/>
          </w:tcPr>
          <w:p>
            <w:pPr>
              <w:spacing w:after="0"/>
              <w:rPr>
                <w:sz w:val="17"/>
                <w:szCs w:val="17"/>
                <w:color w:val="auto"/>
              </w:rPr>
            </w:pPr>
          </w:p>
        </w:tc>
        <w:tc>
          <w:tcPr>
            <w:tcW w:w="100" w:type="dxa"/>
            <w:vAlign w:val="bottom"/>
            <w:tcBorders>
              <w:bottom w:val="single" w:sz="8" w:color="E7E6E6"/>
            </w:tcBorders>
            <w:shd w:val="clear" w:color="auto" w:fill="E7E6E6"/>
          </w:tcPr>
          <w:p>
            <w:pPr>
              <w:spacing w:after="0"/>
              <w:rPr>
                <w:sz w:val="17"/>
                <w:szCs w:val="17"/>
                <w:color w:val="auto"/>
              </w:rPr>
            </w:pPr>
          </w:p>
        </w:tc>
        <w:tc>
          <w:tcPr>
            <w:tcW w:w="780" w:type="dxa"/>
            <w:vAlign w:val="bottom"/>
            <w:tcBorders>
              <w:bottom w:val="single" w:sz="8" w:color="E7E6E6"/>
              <w:right w:val="single" w:sz="8" w:color="auto"/>
            </w:tcBorders>
            <w:shd w:val="clear" w:color="auto" w:fill="E7E6E6"/>
          </w:tcPr>
          <w:p>
            <w:pPr>
              <w:spacing w:after="0"/>
              <w:rPr>
                <w:sz w:val="17"/>
                <w:szCs w:val="17"/>
                <w:color w:val="auto"/>
              </w:rPr>
            </w:pPr>
          </w:p>
        </w:tc>
        <w:tc>
          <w:tcPr>
            <w:tcW w:w="160" w:type="dxa"/>
            <w:vAlign w:val="bottom"/>
            <w:tcBorders>
              <w:bottom w:val="single" w:sz="8" w:color="E7E6E6"/>
            </w:tcBorders>
            <w:shd w:val="clear" w:color="auto" w:fill="E7E6E6"/>
          </w:tcPr>
          <w:p>
            <w:pPr>
              <w:spacing w:after="0"/>
              <w:rPr>
                <w:sz w:val="17"/>
                <w:szCs w:val="17"/>
                <w:color w:val="auto"/>
              </w:rPr>
            </w:pPr>
          </w:p>
        </w:tc>
        <w:tc>
          <w:tcPr>
            <w:tcW w:w="800" w:type="dxa"/>
            <w:vAlign w:val="bottom"/>
            <w:tcBorders>
              <w:bottom w:val="single" w:sz="8" w:color="E7E6E6"/>
              <w:right w:val="single" w:sz="8" w:color="auto"/>
            </w:tcBorders>
            <w:shd w:val="clear" w:color="auto" w:fill="E7E6E6"/>
          </w:tcPr>
          <w:p>
            <w:pPr>
              <w:spacing w:after="0"/>
              <w:rPr>
                <w:sz w:val="17"/>
                <w:szCs w:val="17"/>
                <w:color w:val="auto"/>
              </w:rPr>
            </w:pPr>
          </w:p>
        </w:tc>
      </w:tr>
      <w:tr>
        <w:trPr>
          <w:trHeight w:val="163"/>
        </w:trPr>
        <w:tc>
          <w:tcPr>
            <w:tcW w:w="2280" w:type="dxa"/>
            <w:vAlign w:val="bottom"/>
            <w:tcBorders>
              <w:top w:val="single" w:sz="8" w:color="auto"/>
              <w:left w:val="single" w:sz="8" w:color="auto"/>
              <w:right w:val="single" w:sz="8" w:color="auto"/>
            </w:tcBorders>
          </w:tcPr>
          <w:p>
            <w:pPr>
              <w:ind w:left="40"/>
              <w:spacing w:after="0" w:line="164" w:lineRule="exact"/>
              <w:rPr>
                <w:sz w:val="20"/>
                <w:szCs w:val="20"/>
                <w:color w:val="auto"/>
              </w:rPr>
            </w:pPr>
            <w:r>
              <w:rPr>
                <w:rFonts w:ascii="Calibri" w:cs="Calibri" w:eastAsia="Calibri" w:hAnsi="Calibri"/>
                <w:sz w:val="14"/>
                <w:szCs w:val="14"/>
                <w:color w:val="auto"/>
              </w:rPr>
              <w:t>D. Jones</w:t>
            </w:r>
          </w:p>
        </w:tc>
        <w:tc>
          <w:tcPr>
            <w:tcW w:w="1240" w:type="dxa"/>
            <w:vAlign w:val="bottom"/>
            <w:tcBorders>
              <w:top w:val="single" w:sz="8" w:color="auto"/>
              <w:right w:val="single" w:sz="8" w:color="auto"/>
            </w:tcBorders>
          </w:tcPr>
          <w:p>
            <w:pPr>
              <w:jc w:val="right"/>
              <w:ind w:right="88"/>
              <w:spacing w:after="0" w:line="164" w:lineRule="exact"/>
              <w:rPr>
                <w:sz w:val="20"/>
                <w:szCs w:val="20"/>
                <w:color w:val="auto"/>
              </w:rPr>
            </w:pPr>
            <w:r>
              <w:rPr>
                <w:rFonts w:ascii="Calibri" w:cs="Calibri" w:eastAsia="Calibri" w:hAnsi="Calibri"/>
                <w:sz w:val="14"/>
                <w:szCs w:val="14"/>
                <w:color w:val="auto"/>
              </w:rPr>
              <w:t>2023</w:t>
            </w:r>
          </w:p>
        </w:tc>
        <w:tc>
          <w:tcPr>
            <w:tcW w:w="14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800" w:type="dxa"/>
            <w:vAlign w:val="bottom"/>
            <w:tcBorders>
              <w:top w:val="single" w:sz="8" w:color="auto"/>
              <w:right w:val="single" w:sz="8" w:color="auto"/>
            </w:tcBorders>
          </w:tcPr>
          <w:p>
            <w:pPr>
              <w:jc w:val="right"/>
              <w:ind w:right="68"/>
              <w:spacing w:after="0" w:line="164" w:lineRule="exact"/>
              <w:rPr>
                <w:sz w:val="20"/>
                <w:szCs w:val="20"/>
                <w:color w:val="auto"/>
              </w:rPr>
            </w:pPr>
            <w:r>
              <w:rPr>
                <w:rFonts w:ascii="Calibri" w:cs="Calibri" w:eastAsia="Calibri" w:hAnsi="Calibri"/>
                <w:sz w:val="14"/>
                <w:szCs w:val="14"/>
                <w:color w:val="auto"/>
              </w:rPr>
              <w:t>437,070</w:t>
            </w:r>
          </w:p>
        </w:tc>
        <w:tc>
          <w:tcPr>
            <w:tcW w:w="160" w:type="dxa"/>
            <w:vAlign w:val="bottom"/>
            <w:tcBorders>
              <w:top w:val="single" w:sz="8" w:color="auto"/>
            </w:tcBorders>
          </w:tcPr>
          <w:p>
            <w:pPr>
              <w:jc w:val="right"/>
              <w:ind w:right="8"/>
              <w:spacing w:after="0" w:line="164" w:lineRule="exact"/>
              <w:rPr>
                <w:sz w:val="20"/>
                <w:szCs w:val="20"/>
                <w:color w:val="auto"/>
              </w:rPr>
            </w:pPr>
            <w:r>
              <w:rPr>
                <w:rFonts w:ascii="Calibri" w:cs="Calibri" w:eastAsia="Calibri" w:hAnsi="Calibri"/>
                <w:sz w:val="14"/>
                <w:szCs w:val="14"/>
                <w:color w:val="auto"/>
                <w:w w:val="83"/>
              </w:rPr>
              <w:t>$</w:t>
            </w:r>
          </w:p>
        </w:tc>
        <w:tc>
          <w:tcPr>
            <w:tcW w:w="820" w:type="dxa"/>
            <w:vAlign w:val="bottom"/>
            <w:tcBorders>
              <w:top w:val="single" w:sz="8" w:color="auto"/>
              <w:right w:val="single" w:sz="8" w:color="auto"/>
            </w:tcBorders>
          </w:tcPr>
          <w:p>
            <w:pPr>
              <w:jc w:val="right"/>
              <w:ind w:right="68"/>
              <w:spacing w:after="0" w:line="164" w:lineRule="exact"/>
              <w:rPr>
                <w:sz w:val="20"/>
                <w:szCs w:val="20"/>
                <w:color w:val="auto"/>
              </w:rPr>
            </w:pPr>
            <w:r>
              <w:rPr>
                <w:rFonts w:ascii="Calibri" w:cs="Calibri" w:eastAsia="Calibri" w:hAnsi="Calibri"/>
                <w:sz w:val="14"/>
                <w:szCs w:val="14"/>
                <w:color w:val="auto"/>
              </w:rPr>
              <w:t>—</w:t>
            </w:r>
          </w:p>
        </w:tc>
        <w:tc>
          <w:tcPr>
            <w:tcW w:w="12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740" w:type="dxa"/>
            <w:vAlign w:val="bottom"/>
            <w:tcBorders>
              <w:top w:val="single" w:sz="8" w:color="auto"/>
              <w:right w:val="single" w:sz="8" w:color="auto"/>
            </w:tcBorders>
          </w:tcPr>
          <w:p>
            <w:pPr>
              <w:jc w:val="right"/>
              <w:ind w:right="68"/>
              <w:spacing w:after="0" w:line="164" w:lineRule="exact"/>
              <w:rPr>
                <w:sz w:val="20"/>
                <w:szCs w:val="20"/>
                <w:color w:val="auto"/>
              </w:rPr>
            </w:pPr>
            <w:r>
              <w:rPr>
                <w:rFonts w:ascii="Calibri" w:cs="Calibri" w:eastAsia="Calibri" w:hAnsi="Calibri"/>
                <w:sz w:val="14"/>
                <w:szCs w:val="14"/>
                <w:color w:val="auto"/>
              </w:rPr>
              <w:t>665,258</w:t>
            </w:r>
          </w:p>
        </w:tc>
        <w:tc>
          <w:tcPr>
            <w:tcW w:w="12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820" w:type="dxa"/>
            <w:vAlign w:val="bottom"/>
            <w:tcBorders>
              <w:top w:val="single" w:sz="8" w:color="auto"/>
              <w:right w:val="single" w:sz="8" w:color="auto"/>
            </w:tcBorders>
          </w:tcPr>
          <w:p>
            <w:pPr>
              <w:ind w:left="560"/>
              <w:spacing w:after="0" w:line="164" w:lineRule="exact"/>
              <w:rPr>
                <w:sz w:val="20"/>
                <w:szCs w:val="20"/>
                <w:color w:val="auto"/>
              </w:rPr>
            </w:pPr>
            <w:r>
              <w:rPr>
                <w:rFonts w:ascii="Calibri" w:cs="Calibri" w:eastAsia="Calibri" w:hAnsi="Calibri"/>
                <w:sz w:val="14"/>
                <w:szCs w:val="14"/>
                <w:color w:val="auto"/>
              </w:rPr>
              <w:t>—</w:t>
            </w:r>
          </w:p>
        </w:tc>
        <w:tc>
          <w:tcPr>
            <w:tcW w:w="8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1020" w:type="dxa"/>
            <w:vAlign w:val="bottom"/>
            <w:tcBorders>
              <w:top w:val="single" w:sz="8" w:color="auto"/>
              <w:right w:val="single" w:sz="8" w:color="auto"/>
            </w:tcBorders>
          </w:tcPr>
          <w:p>
            <w:pPr>
              <w:jc w:val="right"/>
              <w:ind w:right="48"/>
              <w:spacing w:after="0" w:line="164" w:lineRule="exact"/>
              <w:rPr>
                <w:sz w:val="20"/>
                <w:szCs w:val="20"/>
                <w:color w:val="auto"/>
              </w:rPr>
            </w:pPr>
            <w:r>
              <w:rPr>
                <w:rFonts w:ascii="Calibri" w:cs="Calibri" w:eastAsia="Calibri" w:hAnsi="Calibri"/>
                <w:sz w:val="14"/>
                <w:szCs w:val="14"/>
                <w:color w:val="auto"/>
              </w:rPr>
              <w:t>356,731</w:t>
            </w:r>
          </w:p>
        </w:tc>
        <w:tc>
          <w:tcPr>
            <w:tcW w:w="8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980" w:type="dxa"/>
            <w:vAlign w:val="bottom"/>
            <w:tcBorders>
              <w:top w:val="single" w:sz="8" w:color="auto"/>
              <w:right w:val="single" w:sz="8" w:color="auto"/>
            </w:tcBorders>
          </w:tcPr>
          <w:p>
            <w:pPr>
              <w:jc w:val="right"/>
              <w:ind w:right="68"/>
              <w:spacing w:after="0" w:line="164" w:lineRule="exact"/>
              <w:rPr>
                <w:sz w:val="20"/>
                <w:szCs w:val="20"/>
                <w:color w:val="auto"/>
              </w:rPr>
            </w:pPr>
            <w:r>
              <w:rPr>
                <w:rFonts w:ascii="Calibri" w:cs="Calibri" w:eastAsia="Calibri" w:hAnsi="Calibri"/>
                <w:sz w:val="14"/>
                <w:szCs w:val="14"/>
                <w:color w:val="auto"/>
              </w:rPr>
              <w:t>1,122</w:t>
            </w:r>
          </w:p>
        </w:tc>
        <w:tc>
          <w:tcPr>
            <w:tcW w:w="10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780" w:type="dxa"/>
            <w:vAlign w:val="bottom"/>
            <w:tcBorders>
              <w:top w:val="single" w:sz="8" w:color="auto"/>
              <w:right w:val="single" w:sz="8" w:color="auto"/>
            </w:tcBorders>
          </w:tcPr>
          <w:p>
            <w:pPr>
              <w:jc w:val="right"/>
              <w:ind w:right="68"/>
              <w:spacing w:after="0" w:line="164" w:lineRule="exact"/>
              <w:rPr>
                <w:sz w:val="20"/>
                <w:szCs w:val="20"/>
                <w:color w:val="auto"/>
              </w:rPr>
            </w:pPr>
            <w:r>
              <w:rPr>
                <w:rFonts w:ascii="Calibri" w:cs="Calibri" w:eastAsia="Calibri" w:hAnsi="Calibri"/>
                <w:sz w:val="14"/>
                <w:szCs w:val="14"/>
                <w:color w:val="auto"/>
              </w:rPr>
              <w:t>34,909</w:t>
            </w:r>
          </w:p>
        </w:tc>
        <w:tc>
          <w:tcPr>
            <w:tcW w:w="160" w:type="dxa"/>
            <w:vAlign w:val="bottom"/>
            <w:tcBorders>
              <w:top w:val="single" w:sz="8" w:color="auto"/>
            </w:tcBorders>
          </w:tcPr>
          <w:p>
            <w:pPr>
              <w:jc w:val="right"/>
              <w:ind w:right="8"/>
              <w:spacing w:after="0" w:line="164" w:lineRule="exact"/>
              <w:rPr>
                <w:sz w:val="20"/>
                <w:szCs w:val="20"/>
                <w:color w:val="auto"/>
              </w:rPr>
            </w:pPr>
            <w:r>
              <w:rPr>
                <w:rFonts w:ascii="Calibri" w:cs="Calibri" w:eastAsia="Calibri" w:hAnsi="Calibri"/>
                <w:sz w:val="14"/>
                <w:szCs w:val="14"/>
                <w:color w:val="auto"/>
                <w:w w:val="83"/>
              </w:rPr>
              <w:t>$</w:t>
            </w:r>
          </w:p>
        </w:tc>
        <w:tc>
          <w:tcPr>
            <w:tcW w:w="800" w:type="dxa"/>
            <w:vAlign w:val="bottom"/>
            <w:tcBorders>
              <w:top w:val="single" w:sz="8" w:color="auto"/>
              <w:right w:val="single" w:sz="8" w:color="auto"/>
            </w:tcBorders>
          </w:tcPr>
          <w:p>
            <w:pPr>
              <w:jc w:val="right"/>
              <w:ind w:right="48"/>
              <w:spacing w:after="0" w:line="164" w:lineRule="exact"/>
              <w:rPr>
                <w:sz w:val="20"/>
                <w:szCs w:val="20"/>
                <w:color w:val="auto"/>
              </w:rPr>
            </w:pPr>
            <w:r>
              <w:rPr>
                <w:rFonts w:ascii="Calibri" w:cs="Calibri" w:eastAsia="Calibri" w:hAnsi="Calibri"/>
                <w:sz w:val="14"/>
                <w:szCs w:val="14"/>
                <w:color w:val="auto"/>
              </w:rPr>
              <w:t>1,495,090</w:t>
            </w:r>
          </w:p>
        </w:tc>
      </w:tr>
      <w:tr>
        <w:trPr>
          <w:trHeight w:val="33"/>
        </w:trPr>
        <w:tc>
          <w:tcPr>
            <w:tcW w:w="2280" w:type="dxa"/>
            <w:vAlign w:val="bottom"/>
            <w:tcBorders>
              <w:left w:val="single" w:sz="8" w:color="auto"/>
              <w:right w:val="single" w:sz="8" w:color="auto"/>
            </w:tcBorders>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r>
      <w:tr>
        <w:trPr>
          <w:trHeight w:val="183"/>
        </w:trPr>
        <w:tc>
          <w:tcPr>
            <w:tcW w:w="2280" w:type="dxa"/>
            <w:vAlign w:val="bottom"/>
            <w:tcBorders>
              <w:left w:val="single" w:sz="8" w:color="auto"/>
              <w:bottom w:val="single" w:sz="8" w:color="E7E6E6"/>
              <w:right w:val="single" w:sz="8" w:color="auto"/>
            </w:tcBorders>
            <w:shd w:val="clear" w:color="auto" w:fill="E7E6E6"/>
          </w:tcPr>
          <w:p>
            <w:pPr>
              <w:ind w:left="40"/>
              <w:spacing w:after="0"/>
              <w:rPr>
                <w:sz w:val="20"/>
                <w:szCs w:val="20"/>
                <w:color w:val="auto"/>
              </w:rPr>
            </w:pPr>
            <w:r>
              <w:rPr>
                <w:rFonts w:ascii="Calibri" w:cs="Calibri" w:eastAsia="Calibri" w:hAnsi="Calibri"/>
                <w:sz w:val="14"/>
                <w:szCs w:val="14"/>
                <w:color w:val="auto"/>
              </w:rPr>
              <w:t>Vice President, Utlity</w:t>
            </w:r>
          </w:p>
        </w:tc>
        <w:tc>
          <w:tcPr>
            <w:tcW w:w="1240" w:type="dxa"/>
            <w:vAlign w:val="bottom"/>
            <w:tcBorders>
              <w:bottom w:val="single" w:sz="8" w:color="E7E6E6"/>
              <w:right w:val="single" w:sz="8" w:color="auto"/>
            </w:tcBorders>
            <w:shd w:val="clear" w:color="auto" w:fill="E7E6E6"/>
          </w:tcPr>
          <w:p>
            <w:pPr>
              <w:jc w:val="right"/>
              <w:ind w:right="88"/>
              <w:spacing w:after="0"/>
              <w:rPr>
                <w:sz w:val="20"/>
                <w:szCs w:val="20"/>
                <w:color w:val="auto"/>
              </w:rPr>
            </w:pPr>
            <w:r>
              <w:rPr>
                <w:rFonts w:ascii="Calibri" w:cs="Calibri" w:eastAsia="Calibri" w:hAnsi="Calibri"/>
                <w:sz w:val="14"/>
                <w:szCs w:val="14"/>
                <w:color w:val="auto"/>
              </w:rPr>
              <w:t>2022</w:t>
            </w:r>
          </w:p>
        </w:tc>
        <w:tc>
          <w:tcPr>
            <w:tcW w:w="140" w:type="dxa"/>
            <w:vAlign w:val="bottom"/>
            <w:tcBorders>
              <w:bottom w:val="single" w:sz="8" w:color="E7E6E6"/>
            </w:tcBorders>
            <w:shd w:val="clear" w:color="auto" w:fill="E7E6E6"/>
          </w:tcPr>
          <w:p>
            <w:pPr>
              <w:jc w:val="right"/>
              <w:spacing w:after="0"/>
              <w:rPr>
                <w:sz w:val="20"/>
                <w:szCs w:val="20"/>
                <w:color w:val="auto"/>
              </w:rPr>
            </w:pPr>
            <w:r>
              <w:rPr>
                <w:rFonts w:ascii="Calibri" w:cs="Calibri" w:eastAsia="Calibri" w:hAnsi="Calibri"/>
                <w:sz w:val="14"/>
                <w:szCs w:val="14"/>
                <w:color w:val="auto"/>
                <w:w w:val="83"/>
              </w:rPr>
              <w:t>$</w:t>
            </w:r>
          </w:p>
        </w:tc>
        <w:tc>
          <w:tcPr>
            <w:tcW w:w="800" w:type="dxa"/>
            <w:vAlign w:val="bottom"/>
            <w:tcBorders>
              <w:bottom w:val="single" w:sz="8" w:color="E7E6E6"/>
              <w:right w:val="single" w:sz="8" w:color="auto"/>
            </w:tcBorders>
            <w:shd w:val="clear" w:color="auto" w:fill="E7E6E6"/>
          </w:tcPr>
          <w:p>
            <w:pPr>
              <w:jc w:val="right"/>
              <w:ind w:right="68"/>
              <w:spacing w:after="0"/>
              <w:rPr>
                <w:sz w:val="20"/>
                <w:szCs w:val="20"/>
                <w:color w:val="auto"/>
              </w:rPr>
            </w:pPr>
            <w:r>
              <w:rPr>
                <w:rFonts w:ascii="Calibri" w:cs="Calibri" w:eastAsia="Calibri" w:hAnsi="Calibri"/>
                <w:sz w:val="14"/>
                <w:szCs w:val="14"/>
                <w:color w:val="auto"/>
              </w:rPr>
              <w:t>404,706</w:t>
            </w:r>
          </w:p>
        </w:tc>
        <w:tc>
          <w:tcPr>
            <w:tcW w:w="160" w:type="dxa"/>
            <w:vAlign w:val="bottom"/>
            <w:tcBorders>
              <w:bottom w:val="single" w:sz="8" w:color="E7E6E6"/>
            </w:tcBorders>
            <w:shd w:val="clear" w:color="auto" w:fill="E7E6E6"/>
          </w:tcPr>
          <w:p>
            <w:pPr>
              <w:jc w:val="right"/>
              <w:ind w:right="8"/>
              <w:spacing w:after="0"/>
              <w:rPr>
                <w:sz w:val="20"/>
                <w:szCs w:val="20"/>
                <w:color w:val="auto"/>
              </w:rPr>
            </w:pPr>
            <w:r>
              <w:rPr>
                <w:rFonts w:ascii="Calibri" w:cs="Calibri" w:eastAsia="Calibri" w:hAnsi="Calibri"/>
                <w:sz w:val="14"/>
                <w:szCs w:val="14"/>
                <w:color w:val="auto"/>
                <w:w w:val="83"/>
              </w:rPr>
              <w:t>$</w:t>
            </w:r>
          </w:p>
        </w:tc>
        <w:tc>
          <w:tcPr>
            <w:tcW w:w="820" w:type="dxa"/>
            <w:vAlign w:val="bottom"/>
            <w:tcBorders>
              <w:bottom w:val="single" w:sz="8" w:color="E7E6E6"/>
              <w:right w:val="single" w:sz="8" w:color="auto"/>
            </w:tcBorders>
            <w:shd w:val="clear" w:color="auto" w:fill="E7E6E6"/>
          </w:tcPr>
          <w:p>
            <w:pPr>
              <w:jc w:val="right"/>
              <w:ind w:right="68"/>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E7E6E6"/>
            </w:tcBorders>
            <w:shd w:val="clear" w:color="auto" w:fill="E7E6E6"/>
          </w:tcPr>
          <w:p>
            <w:pPr>
              <w:jc w:val="right"/>
              <w:spacing w:after="0"/>
              <w:rPr>
                <w:sz w:val="20"/>
                <w:szCs w:val="20"/>
                <w:color w:val="auto"/>
              </w:rPr>
            </w:pPr>
            <w:r>
              <w:rPr>
                <w:rFonts w:ascii="Calibri" w:cs="Calibri" w:eastAsia="Calibri" w:hAnsi="Calibri"/>
                <w:sz w:val="14"/>
                <w:szCs w:val="14"/>
                <w:color w:val="auto"/>
                <w:w w:val="83"/>
              </w:rPr>
              <w:t>$</w:t>
            </w:r>
          </w:p>
        </w:tc>
        <w:tc>
          <w:tcPr>
            <w:tcW w:w="740" w:type="dxa"/>
            <w:vAlign w:val="bottom"/>
            <w:tcBorders>
              <w:bottom w:val="single" w:sz="8" w:color="E7E6E6"/>
              <w:right w:val="single" w:sz="8" w:color="auto"/>
            </w:tcBorders>
            <w:shd w:val="clear" w:color="auto" w:fill="E7E6E6"/>
          </w:tcPr>
          <w:p>
            <w:pPr>
              <w:jc w:val="right"/>
              <w:ind w:right="68"/>
              <w:spacing w:after="0"/>
              <w:rPr>
                <w:sz w:val="20"/>
                <w:szCs w:val="20"/>
                <w:color w:val="auto"/>
              </w:rPr>
            </w:pPr>
            <w:r>
              <w:rPr>
                <w:rFonts w:ascii="Calibri" w:cs="Calibri" w:eastAsia="Calibri" w:hAnsi="Calibri"/>
                <w:sz w:val="14"/>
                <w:szCs w:val="14"/>
                <w:color w:val="auto"/>
              </w:rPr>
              <w:t>575,039</w:t>
            </w:r>
          </w:p>
        </w:tc>
        <w:tc>
          <w:tcPr>
            <w:tcW w:w="120" w:type="dxa"/>
            <w:vAlign w:val="bottom"/>
            <w:tcBorders>
              <w:bottom w:val="single" w:sz="8" w:color="E7E6E6"/>
            </w:tcBorders>
            <w:shd w:val="clear" w:color="auto" w:fill="E7E6E6"/>
          </w:tcPr>
          <w:p>
            <w:pPr>
              <w:jc w:val="right"/>
              <w:spacing w:after="0"/>
              <w:rPr>
                <w:sz w:val="20"/>
                <w:szCs w:val="20"/>
                <w:color w:val="auto"/>
              </w:rPr>
            </w:pPr>
            <w:r>
              <w:rPr>
                <w:rFonts w:ascii="Calibri" w:cs="Calibri" w:eastAsia="Calibri" w:hAnsi="Calibri"/>
                <w:sz w:val="14"/>
                <w:szCs w:val="14"/>
                <w:color w:val="auto"/>
                <w:w w:val="83"/>
              </w:rPr>
              <w:t>$</w:t>
            </w:r>
          </w:p>
        </w:tc>
        <w:tc>
          <w:tcPr>
            <w:tcW w:w="820" w:type="dxa"/>
            <w:vAlign w:val="bottom"/>
            <w:tcBorders>
              <w:bottom w:val="single" w:sz="8" w:color="E7E6E6"/>
              <w:right w:val="single" w:sz="8" w:color="auto"/>
            </w:tcBorders>
            <w:shd w:val="clear" w:color="auto" w:fill="E7E6E6"/>
          </w:tcPr>
          <w:p>
            <w:pPr>
              <w:ind w:left="560"/>
              <w:spacing w:after="0"/>
              <w:rPr>
                <w:sz w:val="20"/>
                <w:szCs w:val="20"/>
                <w:color w:val="auto"/>
              </w:rPr>
            </w:pPr>
            <w:r>
              <w:rPr>
                <w:rFonts w:ascii="Calibri" w:cs="Calibri" w:eastAsia="Calibri" w:hAnsi="Calibri"/>
                <w:sz w:val="14"/>
                <w:szCs w:val="14"/>
                <w:color w:val="auto"/>
              </w:rPr>
              <w:t>—</w:t>
            </w:r>
          </w:p>
        </w:tc>
        <w:tc>
          <w:tcPr>
            <w:tcW w:w="80" w:type="dxa"/>
            <w:vAlign w:val="bottom"/>
            <w:tcBorders>
              <w:bottom w:val="single" w:sz="8" w:color="E7E6E6"/>
            </w:tcBorders>
            <w:shd w:val="clear" w:color="auto" w:fill="E7E6E6"/>
          </w:tcPr>
          <w:p>
            <w:pPr>
              <w:jc w:val="right"/>
              <w:spacing w:after="0"/>
              <w:rPr>
                <w:sz w:val="20"/>
                <w:szCs w:val="20"/>
                <w:color w:val="auto"/>
              </w:rPr>
            </w:pPr>
            <w:r>
              <w:rPr>
                <w:rFonts w:ascii="Calibri" w:cs="Calibri" w:eastAsia="Calibri" w:hAnsi="Calibri"/>
                <w:sz w:val="14"/>
                <w:szCs w:val="14"/>
                <w:color w:val="auto"/>
                <w:w w:val="83"/>
              </w:rPr>
              <w:t>$</w:t>
            </w:r>
          </w:p>
        </w:tc>
        <w:tc>
          <w:tcPr>
            <w:tcW w:w="1020" w:type="dxa"/>
            <w:vAlign w:val="bottom"/>
            <w:tcBorders>
              <w:bottom w:val="single" w:sz="8" w:color="E7E6E6"/>
              <w:right w:val="single" w:sz="8" w:color="auto"/>
            </w:tcBorders>
            <w:shd w:val="clear" w:color="auto" w:fill="E7E6E6"/>
          </w:tcPr>
          <w:p>
            <w:pPr>
              <w:jc w:val="right"/>
              <w:ind w:right="48"/>
              <w:spacing w:after="0"/>
              <w:rPr>
                <w:sz w:val="20"/>
                <w:szCs w:val="20"/>
                <w:color w:val="auto"/>
              </w:rPr>
            </w:pPr>
            <w:r>
              <w:rPr>
                <w:rFonts w:ascii="Calibri" w:cs="Calibri" w:eastAsia="Calibri" w:hAnsi="Calibri"/>
                <w:sz w:val="14"/>
                <w:szCs w:val="14"/>
                <w:color w:val="auto"/>
              </w:rPr>
              <w:t>281,368</w:t>
            </w:r>
          </w:p>
        </w:tc>
        <w:tc>
          <w:tcPr>
            <w:tcW w:w="80" w:type="dxa"/>
            <w:vAlign w:val="bottom"/>
            <w:tcBorders>
              <w:bottom w:val="single" w:sz="8" w:color="E7E6E6"/>
            </w:tcBorders>
            <w:shd w:val="clear" w:color="auto" w:fill="E7E6E6"/>
          </w:tcPr>
          <w:p>
            <w:pPr>
              <w:jc w:val="right"/>
              <w:spacing w:after="0"/>
              <w:rPr>
                <w:sz w:val="20"/>
                <w:szCs w:val="20"/>
                <w:color w:val="auto"/>
              </w:rPr>
            </w:pPr>
            <w:r>
              <w:rPr>
                <w:rFonts w:ascii="Calibri" w:cs="Calibri" w:eastAsia="Calibri" w:hAnsi="Calibri"/>
                <w:sz w:val="14"/>
                <w:szCs w:val="14"/>
                <w:color w:val="auto"/>
                <w:w w:val="83"/>
              </w:rPr>
              <w:t>$</w:t>
            </w:r>
          </w:p>
        </w:tc>
        <w:tc>
          <w:tcPr>
            <w:tcW w:w="980" w:type="dxa"/>
            <w:vAlign w:val="bottom"/>
            <w:tcBorders>
              <w:bottom w:val="single" w:sz="8" w:color="E7E6E6"/>
              <w:right w:val="single" w:sz="8" w:color="auto"/>
            </w:tcBorders>
            <w:shd w:val="clear" w:color="auto" w:fill="E7E6E6"/>
          </w:tcPr>
          <w:p>
            <w:pPr>
              <w:jc w:val="right"/>
              <w:ind w:right="68"/>
              <w:spacing w:after="0"/>
              <w:rPr>
                <w:sz w:val="20"/>
                <w:szCs w:val="20"/>
                <w:color w:val="auto"/>
              </w:rPr>
            </w:pPr>
            <w:r>
              <w:rPr>
                <w:rFonts w:ascii="Calibri" w:cs="Calibri" w:eastAsia="Calibri" w:hAnsi="Calibri"/>
                <w:sz w:val="14"/>
                <w:szCs w:val="14"/>
                <w:color w:val="auto"/>
              </w:rPr>
              <w:t>—</w:t>
            </w:r>
          </w:p>
        </w:tc>
        <w:tc>
          <w:tcPr>
            <w:tcW w:w="100" w:type="dxa"/>
            <w:vAlign w:val="bottom"/>
            <w:tcBorders>
              <w:bottom w:val="single" w:sz="8" w:color="E7E6E6"/>
            </w:tcBorders>
            <w:shd w:val="clear" w:color="auto" w:fill="E7E6E6"/>
          </w:tcPr>
          <w:p>
            <w:pPr>
              <w:jc w:val="right"/>
              <w:spacing w:after="0"/>
              <w:rPr>
                <w:sz w:val="20"/>
                <w:szCs w:val="20"/>
                <w:color w:val="auto"/>
              </w:rPr>
            </w:pPr>
            <w:r>
              <w:rPr>
                <w:rFonts w:ascii="Calibri" w:cs="Calibri" w:eastAsia="Calibri" w:hAnsi="Calibri"/>
                <w:sz w:val="14"/>
                <w:szCs w:val="14"/>
                <w:color w:val="auto"/>
                <w:w w:val="83"/>
              </w:rPr>
              <w:t>$</w:t>
            </w:r>
          </w:p>
        </w:tc>
        <w:tc>
          <w:tcPr>
            <w:tcW w:w="780" w:type="dxa"/>
            <w:vAlign w:val="bottom"/>
            <w:tcBorders>
              <w:bottom w:val="single" w:sz="8" w:color="E7E6E6"/>
              <w:right w:val="single" w:sz="8" w:color="auto"/>
            </w:tcBorders>
            <w:shd w:val="clear" w:color="auto" w:fill="E7E6E6"/>
          </w:tcPr>
          <w:p>
            <w:pPr>
              <w:jc w:val="right"/>
              <w:ind w:right="68"/>
              <w:spacing w:after="0"/>
              <w:rPr>
                <w:sz w:val="20"/>
                <w:szCs w:val="20"/>
                <w:color w:val="auto"/>
              </w:rPr>
            </w:pPr>
            <w:r>
              <w:rPr>
                <w:rFonts w:ascii="Calibri" w:cs="Calibri" w:eastAsia="Calibri" w:hAnsi="Calibri"/>
                <w:sz w:val="14"/>
                <w:szCs w:val="14"/>
                <w:color w:val="auto"/>
              </w:rPr>
              <w:t>32,465</w:t>
            </w:r>
          </w:p>
        </w:tc>
        <w:tc>
          <w:tcPr>
            <w:tcW w:w="160" w:type="dxa"/>
            <w:vAlign w:val="bottom"/>
            <w:tcBorders>
              <w:bottom w:val="single" w:sz="8" w:color="E7E6E6"/>
            </w:tcBorders>
            <w:shd w:val="clear" w:color="auto" w:fill="E7E6E6"/>
          </w:tcPr>
          <w:p>
            <w:pPr>
              <w:jc w:val="right"/>
              <w:ind w:right="8"/>
              <w:spacing w:after="0"/>
              <w:rPr>
                <w:sz w:val="20"/>
                <w:szCs w:val="20"/>
                <w:color w:val="auto"/>
              </w:rPr>
            </w:pPr>
            <w:r>
              <w:rPr>
                <w:rFonts w:ascii="Calibri" w:cs="Calibri" w:eastAsia="Calibri" w:hAnsi="Calibri"/>
                <w:sz w:val="14"/>
                <w:szCs w:val="14"/>
                <w:color w:val="auto"/>
                <w:w w:val="83"/>
              </w:rPr>
              <w:t>$</w:t>
            </w:r>
          </w:p>
        </w:tc>
        <w:tc>
          <w:tcPr>
            <w:tcW w:w="800" w:type="dxa"/>
            <w:vAlign w:val="bottom"/>
            <w:tcBorders>
              <w:bottom w:val="single" w:sz="8" w:color="E7E6E6"/>
              <w:right w:val="single" w:sz="8" w:color="auto"/>
            </w:tcBorders>
            <w:shd w:val="clear" w:color="auto" w:fill="E7E6E6"/>
          </w:tcPr>
          <w:p>
            <w:pPr>
              <w:jc w:val="right"/>
              <w:ind w:right="48"/>
              <w:spacing w:after="0"/>
              <w:rPr>
                <w:sz w:val="20"/>
                <w:szCs w:val="20"/>
                <w:color w:val="auto"/>
              </w:rPr>
            </w:pPr>
            <w:r>
              <w:rPr>
                <w:rFonts w:ascii="Calibri" w:cs="Calibri" w:eastAsia="Calibri" w:hAnsi="Calibri"/>
                <w:sz w:val="14"/>
                <w:szCs w:val="14"/>
                <w:color w:val="auto"/>
              </w:rPr>
              <w:t>1,293,578</w:t>
            </w:r>
          </w:p>
        </w:tc>
      </w:tr>
      <w:tr>
        <w:trPr>
          <w:trHeight w:val="170"/>
        </w:trPr>
        <w:tc>
          <w:tcPr>
            <w:tcW w:w="228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4"/>
                <w:szCs w:val="14"/>
                <w:color w:val="auto"/>
              </w:rPr>
              <w:t>Operatons of OG&amp;E</w:t>
            </w:r>
          </w:p>
        </w:tc>
        <w:tc>
          <w:tcPr>
            <w:tcW w:w="1240" w:type="dxa"/>
            <w:vAlign w:val="bottom"/>
            <w:tcBorders>
              <w:right w:val="single" w:sz="8" w:color="auto"/>
            </w:tcBorders>
          </w:tcPr>
          <w:p>
            <w:pPr>
              <w:jc w:val="right"/>
              <w:ind w:right="88"/>
              <w:spacing w:after="0"/>
              <w:rPr>
                <w:sz w:val="20"/>
                <w:szCs w:val="20"/>
                <w:color w:val="auto"/>
              </w:rPr>
            </w:pPr>
            <w:r>
              <w:rPr>
                <w:rFonts w:ascii="Calibri" w:cs="Calibri" w:eastAsia="Calibri" w:hAnsi="Calibri"/>
                <w:sz w:val="14"/>
                <w:szCs w:val="14"/>
                <w:color w:val="auto"/>
              </w:rPr>
              <w:t>2021</w:t>
            </w:r>
          </w:p>
        </w:tc>
        <w:tc>
          <w:tcPr>
            <w:tcW w:w="140" w:type="dxa"/>
            <w:vAlign w:val="bottom"/>
          </w:tcPr>
          <w:p>
            <w:pPr>
              <w:jc w:val="right"/>
              <w:spacing w:after="0"/>
              <w:rPr>
                <w:sz w:val="20"/>
                <w:szCs w:val="20"/>
                <w:color w:val="auto"/>
              </w:rPr>
            </w:pPr>
            <w:r>
              <w:rPr>
                <w:rFonts w:ascii="Calibri" w:cs="Calibri" w:eastAsia="Calibri" w:hAnsi="Calibri"/>
                <w:sz w:val="14"/>
                <w:szCs w:val="14"/>
                <w:color w:val="auto"/>
                <w:w w:val="83"/>
              </w:rPr>
              <w:t>$</w:t>
            </w:r>
          </w:p>
        </w:tc>
        <w:tc>
          <w:tcPr>
            <w:tcW w:w="800" w:type="dxa"/>
            <w:vAlign w:val="bottom"/>
            <w:tcBorders>
              <w:right w:val="single" w:sz="8" w:color="auto"/>
            </w:tcBorders>
          </w:tcPr>
          <w:p>
            <w:pPr>
              <w:jc w:val="right"/>
              <w:ind w:right="68"/>
              <w:spacing w:after="0"/>
              <w:rPr>
                <w:sz w:val="20"/>
                <w:szCs w:val="20"/>
                <w:color w:val="auto"/>
              </w:rPr>
            </w:pPr>
            <w:r>
              <w:rPr>
                <w:rFonts w:ascii="Calibri" w:cs="Calibri" w:eastAsia="Calibri" w:hAnsi="Calibri"/>
                <w:sz w:val="14"/>
                <w:szCs w:val="14"/>
                <w:color w:val="auto"/>
              </w:rPr>
              <w:t>332,846</w:t>
            </w:r>
          </w:p>
        </w:tc>
        <w:tc>
          <w:tcPr>
            <w:tcW w:w="160" w:type="dxa"/>
            <w:vAlign w:val="bottom"/>
          </w:tcPr>
          <w:p>
            <w:pPr>
              <w:jc w:val="right"/>
              <w:ind w:right="8"/>
              <w:spacing w:after="0"/>
              <w:rPr>
                <w:sz w:val="20"/>
                <w:szCs w:val="20"/>
                <w:color w:val="auto"/>
              </w:rPr>
            </w:pPr>
            <w:r>
              <w:rPr>
                <w:rFonts w:ascii="Calibri" w:cs="Calibri" w:eastAsia="Calibri" w:hAnsi="Calibri"/>
                <w:sz w:val="14"/>
                <w:szCs w:val="14"/>
                <w:color w:val="auto"/>
                <w:w w:val="83"/>
              </w:rPr>
              <w:t>$</w:t>
            </w:r>
          </w:p>
        </w:tc>
        <w:tc>
          <w:tcPr>
            <w:tcW w:w="820" w:type="dxa"/>
            <w:vAlign w:val="bottom"/>
            <w:tcBorders>
              <w:right w:val="single" w:sz="8" w:color="auto"/>
            </w:tcBorders>
          </w:tcPr>
          <w:p>
            <w:pPr>
              <w:jc w:val="right"/>
              <w:ind w:right="68"/>
              <w:spacing w:after="0"/>
              <w:rPr>
                <w:sz w:val="20"/>
                <w:szCs w:val="20"/>
                <w:color w:val="auto"/>
              </w:rPr>
            </w:pPr>
            <w:r>
              <w:rPr>
                <w:rFonts w:ascii="Calibri" w:cs="Calibri" w:eastAsia="Calibri" w:hAnsi="Calibri"/>
                <w:sz w:val="14"/>
                <w:szCs w:val="14"/>
                <w:color w:val="auto"/>
              </w:rPr>
              <w:t>—</w:t>
            </w:r>
          </w:p>
        </w:tc>
        <w:tc>
          <w:tcPr>
            <w:tcW w:w="120" w:type="dxa"/>
            <w:vAlign w:val="bottom"/>
          </w:tcPr>
          <w:p>
            <w:pPr>
              <w:jc w:val="right"/>
              <w:spacing w:after="0"/>
              <w:rPr>
                <w:sz w:val="20"/>
                <w:szCs w:val="20"/>
                <w:color w:val="auto"/>
              </w:rPr>
            </w:pPr>
            <w:r>
              <w:rPr>
                <w:rFonts w:ascii="Calibri" w:cs="Calibri" w:eastAsia="Calibri" w:hAnsi="Calibri"/>
                <w:sz w:val="14"/>
                <w:szCs w:val="14"/>
                <w:color w:val="auto"/>
                <w:w w:val="83"/>
              </w:rPr>
              <w:t>$</w:t>
            </w:r>
          </w:p>
        </w:tc>
        <w:tc>
          <w:tcPr>
            <w:tcW w:w="740" w:type="dxa"/>
            <w:vAlign w:val="bottom"/>
            <w:tcBorders>
              <w:right w:val="single" w:sz="8" w:color="auto"/>
            </w:tcBorders>
          </w:tcPr>
          <w:p>
            <w:pPr>
              <w:jc w:val="right"/>
              <w:ind w:right="68"/>
              <w:spacing w:after="0"/>
              <w:rPr>
                <w:sz w:val="20"/>
                <w:szCs w:val="20"/>
                <w:color w:val="auto"/>
              </w:rPr>
            </w:pPr>
            <w:r>
              <w:rPr>
                <w:rFonts w:ascii="Calibri" w:cs="Calibri" w:eastAsia="Calibri" w:hAnsi="Calibri"/>
                <w:sz w:val="14"/>
                <w:szCs w:val="14"/>
                <w:color w:val="auto"/>
              </w:rPr>
              <w:t>412,809</w:t>
            </w:r>
          </w:p>
        </w:tc>
        <w:tc>
          <w:tcPr>
            <w:tcW w:w="120" w:type="dxa"/>
            <w:vAlign w:val="bottom"/>
          </w:tcPr>
          <w:p>
            <w:pPr>
              <w:jc w:val="right"/>
              <w:spacing w:after="0"/>
              <w:rPr>
                <w:sz w:val="20"/>
                <w:szCs w:val="20"/>
                <w:color w:val="auto"/>
              </w:rPr>
            </w:pPr>
            <w:r>
              <w:rPr>
                <w:rFonts w:ascii="Calibri" w:cs="Calibri" w:eastAsia="Calibri" w:hAnsi="Calibri"/>
                <w:sz w:val="14"/>
                <w:szCs w:val="14"/>
                <w:color w:val="auto"/>
                <w:w w:val="83"/>
              </w:rPr>
              <w:t>$</w:t>
            </w:r>
          </w:p>
        </w:tc>
        <w:tc>
          <w:tcPr>
            <w:tcW w:w="820" w:type="dxa"/>
            <w:vAlign w:val="bottom"/>
            <w:tcBorders>
              <w:right w:val="single" w:sz="8" w:color="auto"/>
            </w:tcBorders>
          </w:tcPr>
          <w:p>
            <w:pPr>
              <w:ind w:left="560"/>
              <w:spacing w:after="0"/>
              <w:rPr>
                <w:sz w:val="20"/>
                <w:szCs w:val="20"/>
                <w:color w:val="auto"/>
              </w:rPr>
            </w:pPr>
            <w:r>
              <w:rPr>
                <w:rFonts w:ascii="Calibri" w:cs="Calibri" w:eastAsia="Calibri" w:hAnsi="Calibri"/>
                <w:sz w:val="14"/>
                <w:szCs w:val="14"/>
                <w:color w:val="auto"/>
              </w:rPr>
              <w:t>—</w:t>
            </w:r>
          </w:p>
        </w:tc>
        <w:tc>
          <w:tcPr>
            <w:tcW w:w="80" w:type="dxa"/>
            <w:vAlign w:val="bottom"/>
          </w:tcPr>
          <w:p>
            <w:pPr>
              <w:jc w:val="right"/>
              <w:spacing w:after="0"/>
              <w:rPr>
                <w:sz w:val="20"/>
                <w:szCs w:val="20"/>
                <w:color w:val="auto"/>
              </w:rPr>
            </w:pPr>
            <w:r>
              <w:rPr>
                <w:rFonts w:ascii="Calibri" w:cs="Calibri" w:eastAsia="Calibri" w:hAnsi="Calibri"/>
                <w:sz w:val="14"/>
                <w:szCs w:val="14"/>
                <w:color w:val="auto"/>
                <w:w w:val="83"/>
              </w:rPr>
              <w:t>$</w:t>
            </w:r>
          </w:p>
        </w:tc>
        <w:tc>
          <w:tcPr>
            <w:tcW w:w="1020" w:type="dxa"/>
            <w:vAlign w:val="bottom"/>
            <w:tcBorders>
              <w:right w:val="single" w:sz="8" w:color="auto"/>
            </w:tcBorders>
          </w:tcPr>
          <w:p>
            <w:pPr>
              <w:jc w:val="right"/>
              <w:ind w:right="48"/>
              <w:spacing w:after="0"/>
              <w:rPr>
                <w:sz w:val="20"/>
                <w:szCs w:val="20"/>
                <w:color w:val="auto"/>
              </w:rPr>
            </w:pPr>
            <w:r>
              <w:rPr>
                <w:rFonts w:ascii="Calibri" w:cs="Calibri" w:eastAsia="Calibri" w:hAnsi="Calibri"/>
                <w:sz w:val="14"/>
                <w:szCs w:val="14"/>
                <w:color w:val="auto"/>
              </w:rPr>
              <w:t>239,196</w:t>
            </w:r>
          </w:p>
        </w:tc>
        <w:tc>
          <w:tcPr>
            <w:tcW w:w="80" w:type="dxa"/>
            <w:vAlign w:val="bottom"/>
          </w:tcPr>
          <w:p>
            <w:pPr>
              <w:jc w:val="right"/>
              <w:spacing w:after="0"/>
              <w:rPr>
                <w:sz w:val="20"/>
                <w:szCs w:val="20"/>
                <w:color w:val="auto"/>
              </w:rPr>
            </w:pPr>
            <w:r>
              <w:rPr>
                <w:rFonts w:ascii="Calibri" w:cs="Calibri" w:eastAsia="Calibri" w:hAnsi="Calibri"/>
                <w:sz w:val="14"/>
                <w:szCs w:val="14"/>
                <w:color w:val="auto"/>
                <w:w w:val="83"/>
              </w:rPr>
              <w:t>$</w:t>
            </w:r>
          </w:p>
        </w:tc>
        <w:tc>
          <w:tcPr>
            <w:tcW w:w="980" w:type="dxa"/>
            <w:vAlign w:val="bottom"/>
            <w:tcBorders>
              <w:right w:val="single" w:sz="8" w:color="auto"/>
            </w:tcBorders>
          </w:tcPr>
          <w:p>
            <w:pPr>
              <w:jc w:val="right"/>
              <w:ind w:right="68"/>
              <w:spacing w:after="0"/>
              <w:rPr>
                <w:sz w:val="20"/>
                <w:szCs w:val="20"/>
                <w:color w:val="auto"/>
              </w:rPr>
            </w:pPr>
            <w:r>
              <w:rPr>
                <w:rFonts w:ascii="Calibri" w:cs="Calibri" w:eastAsia="Calibri" w:hAnsi="Calibri"/>
                <w:sz w:val="14"/>
                <w:szCs w:val="14"/>
                <w:color w:val="auto"/>
              </w:rPr>
              <w:t>—</w:t>
            </w:r>
          </w:p>
        </w:tc>
        <w:tc>
          <w:tcPr>
            <w:tcW w:w="100" w:type="dxa"/>
            <w:vAlign w:val="bottom"/>
          </w:tcPr>
          <w:p>
            <w:pPr>
              <w:jc w:val="right"/>
              <w:spacing w:after="0"/>
              <w:rPr>
                <w:sz w:val="20"/>
                <w:szCs w:val="20"/>
                <w:color w:val="auto"/>
              </w:rPr>
            </w:pPr>
            <w:r>
              <w:rPr>
                <w:rFonts w:ascii="Calibri" w:cs="Calibri" w:eastAsia="Calibri" w:hAnsi="Calibri"/>
                <w:sz w:val="14"/>
                <w:szCs w:val="14"/>
                <w:color w:val="auto"/>
                <w:w w:val="83"/>
              </w:rPr>
              <w:t>$</w:t>
            </w:r>
          </w:p>
        </w:tc>
        <w:tc>
          <w:tcPr>
            <w:tcW w:w="780" w:type="dxa"/>
            <w:vAlign w:val="bottom"/>
            <w:tcBorders>
              <w:right w:val="single" w:sz="8" w:color="auto"/>
            </w:tcBorders>
          </w:tcPr>
          <w:p>
            <w:pPr>
              <w:jc w:val="right"/>
              <w:ind w:right="68"/>
              <w:spacing w:after="0"/>
              <w:rPr>
                <w:sz w:val="20"/>
                <w:szCs w:val="20"/>
                <w:color w:val="auto"/>
              </w:rPr>
            </w:pPr>
            <w:r>
              <w:rPr>
                <w:rFonts w:ascii="Calibri" w:cs="Calibri" w:eastAsia="Calibri" w:hAnsi="Calibri"/>
                <w:sz w:val="14"/>
                <w:szCs w:val="14"/>
                <w:color w:val="auto"/>
              </w:rPr>
              <w:t>30,816</w:t>
            </w:r>
          </w:p>
        </w:tc>
        <w:tc>
          <w:tcPr>
            <w:tcW w:w="160" w:type="dxa"/>
            <w:vAlign w:val="bottom"/>
          </w:tcPr>
          <w:p>
            <w:pPr>
              <w:jc w:val="right"/>
              <w:ind w:right="8"/>
              <w:spacing w:after="0"/>
              <w:rPr>
                <w:sz w:val="20"/>
                <w:szCs w:val="20"/>
                <w:color w:val="auto"/>
              </w:rPr>
            </w:pPr>
            <w:r>
              <w:rPr>
                <w:rFonts w:ascii="Calibri" w:cs="Calibri" w:eastAsia="Calibri" w:hAnsi="Calibri"/>
                <w:sz w:val="14"/>
                <w:szCs w:val="14"/>
                <w:color w:val="auto"/>
                <w:w w:val="83"/>
              </w:rPr>
              <w:t>$</w:t>
            </w:r>
          </w:p>
        </w:tc>
        <w:tc>
          <w:tcPr>
            <w:tcW w:w="800" w:type="dxa"/>
            <w:vAlign w:val="bottom"/>
            <w:tcBorders>
              <w:right w:val="single" w:sz="8" w:color="auto"/>
            </w:tcBorders>
          </w:tcPr>
          <w:p>
            <w:pPr>
              <w:jc w:val="right"/>
              <w:ind w:right="48"/>
              <w:spacing w:after="0"/>
              <w:rPr>
                <w:sz w:val="20"/>
                <w:szCs w:val="20"/>
                <w:color w:val="auto"/>
              </w:rPr>
            </w:pPr>
            <w:r>
              <w:rPr>
                <w:rFonts w:ascii="Calibri" w:cs="Calibri" w:eastAsia="Calibri" w:hAnsi="Calibri"/>
                <w:sz w:val="14"/>
                <w:szCs w:val="14"/>
                <w:color w:val="auto"/>
              </w:rPr>
              <w:t>1,015,667</w:t>
            </w:r>
          </w:p>
        </w:tc>
      </w:tr>
      <w:tr>
        <w:trPr>
          <w:trHeight w:val="33"/>
        </w:trPr>
        <w:tc>
          <w:tcPr>
            <w:tcW w:w="228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176"/>
        </w:trPr>
        <w:tc>
          <w:tcPr>
            <w:tcW w:w="2280" w:type="dxa"/>
            <w:vAlign w:val="bottom"/>
            <w:tcBorders>
              <w:left w:val="single" w:sz="8" w:color="auto"/>
              <w:bottom w:val="single" w:sz="8" w:color="E7E6E6"/>
              <w:right w:val="single" w:sz="8" w:color="auto"/>
            </w:tcBorders>
            <w:shd w:val="clear" w:color="auto" w:fill="E7E6E6"/>
          </w:tcPr>
          <w:p>
            <w:pPr>
              <w:ind w:left="40"/>
              <w:spacing w:after="0" w:line="164" w:lineRule="exact"/>
              <w:rPr>
                <w:sz w:val="20"/>
                <w:szCs w:val="20"/>
                <w:color w:val="auto"/>
              </w:rPr>
            </w:pPr>
            <w:r>
              <w:rPr>
                <w:rFonts w:ascii="Calibri" w:cs="Calibri" w:eastAsia="Calibri" w:hAnsi="Calibri"/>
                <w:sz w:val="14"/>
                <w:szCs w:val="14"/>
                <w:color w:val="auto"/>
              </w:rPr>
              <w:t>C. McQuiston</w:t>
            </w:r>
          </w:p>
        </w:tc>
        <w:tc>
          <w:tcPr>
            <w:tcW w:w="1240" w:type="dxa"/>
            <w:vAlign w:val="bottom"/>
            <w:tcBorders>
              <w:bottom w:val="single" w:sz="8" w:color="E7E6E6"/>
              <w:right w:val="single" w:sz="8" w:color="auto"/>
            </w:tcBorders>
            <w:shd w:val="clear" w:color="auto" w:fill="E7E6E6"/>
          </w:tcPr>
          <w:p>
            <w:pPr>
              <w:jc w:val="right"/>
              <w:ind w:right="88"/>
              <w:spacing w:after="0" w:line="164" w:lineRule="exact"/>
              <w:rPr>
                <w:sz w:val="20"/>
                <w:szCs w:val="20"/>
                <w:color w:val="auto"/>
              </w:rPr>
            </w:pPr>
            <w:r>
              <w:rPr>
                <w:rFonts w:ascii="Calibri" w:cs="Calibri" w:eastAsia="Calibri" w:hAnsi="Calibri"/>
                <w:sz w:val="14"/>
                <w:szCs w:val="14"/>
                <w:color w:val="auto"/>
              </w:rPr>
              <w:t>2023</w:t>
            </w:r>
          </w:p>
        </w:tc>
        <w:tc>
          <w:tcPr>
            <w:tcW w:w="140" w:type="dxa"/>
            <w:vAlign w:val="bottom"/>
            <w:tcBorders>
              <w:bottom w:val="single" w:sz="8" w:color="E7E6E6"/>
            </w:tcBorders>
            <w:shd w:val="clear" w:color="auto" w:fill="E7E6E6"/>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800" w:type="dxa"/>
            <w:vAlign w:val="bottom"/>
            <w:tcBorders>
              <w:bottom w:val="single" w:sz="8" w:color="E7E6E6"/>
              <w:right w:val="single" w:sz="8" w:color="auto"/>
            </w:tcBorders>
            <w:shd w:val="clear" w:color="auto" w:fill="E7E6E6"/>
          </w:tcPr>
          <w:p>
            <w:pPr>
              <w:jc w:val="right"/>
              <w:ind w:right="68"/>
              <w:spacing w:after="0" w:line="164" w:lineRule="exact"/>
              <w:rPr>
                <w:sz w:val="20"/>
                <w:szCs w:val="20"/>
                <w:color w:val="auto"/>
              </w:rPr>
            </w:pPr>
            <w:r>
              <w:rPr>
                <w:rFonts w:ascii="Calibri" w:cs="Calibri" w:eastAsia="Calibri" w:hAnsi="Calibri"/>
                <w:sz w:val="14"/>
                <w:szCs w:val="14"/>
                <w:color w:val="auto"/>
              </w:rPr>
              <w:t>351,478</w:t>
            </w:r>
          </w:p>
        </w:tc>
        <w:tc>
          <w:tcPr>
            <w:tcW w:w="160" w:type="dxa"/>
            <w:vAlign w:val="bottom"/>
            <w:tcBorders>
              <w:bottom w:val="single" w:sz="8" w:color="E7E6E6"/>
            </w:tcBorders>
            <w:shd w:val="clear" w:color="auto" w:fill="E7E6E6"/>
          </w:tcPr>
          <w:p>
            <w:pPr>
              <w:jc w:val="right"/>
              <w:ind w:right="8"/>
              <w:spacing w:after="0" w:line="164" w:lineRule="exact"/>
              <w:rPr>
                <w:sz w:val="20"/>
                <w:szCs w:val="20"/>
                <w:color w:val="auto"/>
              </w:rPr>
            </w:pPr>
            <w:r>
              <w:rPr>
                <w:rFonts w:ascii="Calibri" w:cs="Calibri" w:eastAsia="Calibri" w:hAnsi="Calibri"/>
                <w:sz w:val="14"/>
                <w:szCs w:val="14"/>
                <w:color w:val="auto"/>
                <w:w w:val="83"/>
              </w:rPr>
              <w:t>$</w:t>
            </w:r>
          </w:p>
        </w:tc>
        <w:tc>
          <w:tcPr>
            <w:tcW w:w="820" w:type="dxa"/>
            <w:vAlign w:val="bottom"/>
            <w:tcBorders>
              <w:bottom w:val="single" w:sz="8" w:color="E7E6E6"/>
              <w:right w:val="single" w:sz="8" w:color="auto"/>
            </w:tcBorders>
            <w:shd w:val="clear" w:color="auto" w:fill="E7E6E6"/>
          </w:tcPr>
          <w:p>
            <w:pPr>
              <w:jc w:val="right"/>
              <w:ind w:right="68"/>
              <w:spacing w:after="0" w:line="164" w:lineRule="exact"/>
              <w:rPr>
                <w:sz w:val="20"/>
                <w:szCs w:val="20"/>
                <w:color w:val="auto"/>
              </w:rPr>
            </w:pPr>
            <w:r>
              <w:rPr>
                <w:rFonts w:ascii="Calibri" w:cs="Calibri" w:eastAsia="Calibri" w:hAnsi="Calibri"/>
                <w:sz w:val="14"/>
                <w:szCs w:val="14"/>
                <w:color w:val="auto"/>
              </w:rPr>
              <w:t>—</w:t>
            </w:r>
          </w:p>
        </w:tc>
        <w:tc>
          <w:tcPr>
            <w:tcW w:w="120" w:type="dxa"/>
            <w:vAlign w:val="bottom"/>
            <w:tcBorders>
              <w:bottom w:val="single" w:sz="8" w:color="E7E6E6"/>
            </w:tcBorders>
            <w:shd w:val="clear" w:color="auto" w:fill="E7E6E6"/>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740" w:type="dxa"/>
            <w:vAlign w:val="bottom"/>
            <w:tcBorders>
              <w:bottom w:val="single" w:sz="8" w:color="E7E6E6"/>
              <w:right w:val="single" w:sz="8" w:color="auto"/>
            </w:tcBorders>
            <w:shd w:val="clear" w:color="auto" w:fill="E7E6E6"/>
          </w:tcPr>
          <w:p>
            <w:pPr>
              <w:jc w:val="right"/>
              <w:ind w:right="68"/>
              <w:spacing w:after="0" w:line="164" w:lineRule="exact"/>
              <w:rPr>
                <w:sz w:val="20"/>
                <w:szCs w:val="20"/>
                <w:color w:val="auto"/>
              </w:rPr>
            </w:pPr>
            <w:r>
              <w:rPr>
                <w:rFonts w:ascii="Calibri" w:cs="Calibri" w:eastAsia="Calibri" w:hAnsi="Calibri"/>
                <w:sz w:val="14"/>
                <w:szCs w:val="14"/>
                <w:color w:val="auto"/>
              </w:rPr>
              <w:t>305,697</w:t>
            </w:r>
          </w:p>
        </w:tc>
        <w:tc>
          <w:tcPr>
            <w:tcW w:w="120" w:type="dxa"/>
            <w:vAlign w:val="bottom"/>
            <w:tcBorders>
              <w:bottom w:val="single" w:sz="8" w:color="E7E6E6"/>
            </w:tcBorders>
            <w:shd w:val="clear" w:color="auto" w:fill="E7E6E6"/>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820" w:type="dxa"/>
            <w:vAlign w:val="bottom"/>
            <w:tcBorders>
              <w:bottom w:val="single" w:sz="8" w:color="E7E6E6"/>
              <w:right w:val="single" w:sz="8" w:color="auto"/>
            </w:tcBorders>
            <w:shd w:val="clear" w:color="auto" w:fill="E7E6E6"/>
          </w:tcPr>
          <w:p>
            <w:pPr>
              <w:ind w:left="560"/>
              <w:spacing w:after="0" w:line="164" w:lineRule="exact"/>
              <w:rPr>
                <w:sz w:val="20"/>
                <w:szCs w:val="20"/>
                <w:color w:val="auto"/>
              </w:rPr>
            </w:pPr>
            <w:r>
              <w:rPr>
                <w:rFonts w:ascii="Calibri" w:cs="Calibri" w:eastAsia="Calibri" w:hAnsi="Calibri"/>
                <w:sz w:val="14"/>
                <w:szCs w:val="14"/>
                <w:color w:val="auto"/>
              </w:rPr>
              <w:t>—</w:t>
            </w:r>
          </w:p>
        </w:tc>
        <w:tc>
          <w:tcPr>
            <w:tcW w:w="80" w:type="dxa"/>
            <w:vAlign w:val="bottom"/>
            <w:tcBorders>
              <w:bottom w:val="single" w:sz="8" w:color="E7E6E6"/>
            </w:tcBorders>
            <w:shd w:val="clear" w:color="auto" w:fill="E7E6E6"/>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1020" w:type="dxa"/>
            <w:vAlign w:val="bottom"/>
            <w:tcBorders>
              <w:bottom w:val="single" w:sz="8" w:color="E7E6E6"/>
              <w:right w:val="single" w:sz="8" w:color="auto"/>
            </w:tcBorders>
            <w:shd w:val="clear" w:color="auto" w:fill="E7E6E6"/>
          </w:tcPr>
          <w:p>
            <w:pPr>
              <w:jc w:val="right"/>
              <w:ind w:right="48"/>
              <w:spacing w:after="0" w:line="164" w:lineRule="exact"/>
              <w:rPr>
                <w:sz w:val="20"/>
                <w:szCs w:val="20"/>
                <w:color w:val="auto"/>
              </w:rPr>
            </w:pPr>
            <w:r>
              <w:rPr>
                <w:rFonts w:ascii="Calibri" w:cs="Calibri" w:eastAsia="Calibri" w:hAnsi="Calibri"/>
                <w:sz w:val="14"/>
                <w:szCs w:val="14"/>
                <w:color w:val="auto"/>
              </w:rPr>
              <w:t>184,418</w:t>
            </w:r>
          </w:p>
        </w:tc>
        <w:tc>
          <w:tcPr>
            <w:tcW w:w="80" w:type="dxa"/>
            <w:vAlign w:val="bottom"/>
            <w:tcBorders>
              <w:bottom w:val="single" w:sz="8" w:color="E7E6E6"/>
            </w:tcBorders>
            <w:shd w:val="clear" w:color="auto" w:fill="E7E6E6"/>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980" w:type="dxa"/>
            <w:vAlign w:val="bottom"/>
            <w:tcBorders>
              <w:bottom w:val="single" w:sz="8" w:color="E7E6E6"/>
              <w:right w:val="single" w:sz="8" w:color="auto"/>
            </w:tcBorders>
            <w:shd w:val="clear" w:color="auto" w:fill="E7E6E6"/>
          </w:tcPr>
          <w:p>
            <w:pPr>
              <w:jc w:val="right"/>
              <w:ind w:right="68"/>
              <w:spacing w:after="0" w:line="164" w:lineRule="exact"/>
              <w:rPr>
                <w:sz w:val="20"/>
                <w:szCs w:val="20"/>
                <w:color w:val="auto"/>
              </w:rPr>
            </w:pPr>
            <w:r>
              <w:rPr>
                <w:rFonts w:ascii="Calibri" w:cs="Calibri" w:eastAsia="Calibri" w:hAnsi="Calibri"/>
                <w:sz w:val="14"/>
                <w:szCs w:val="14"/>
                <w:color w:val="auto"/>
              </w:rPr>
              <w:t>1,462</w:t>
            </w:r>
          </w:p>
        </w:tc>
        <w:tc>
          <w:tcPr>
            <w:tcW w:w="100" w:type="dxa"/>
            <w:vAlign w:val="bottom"/>
            <w:tcBorders>
              <w:bottom w:val="single" w:sz="8" w:color="E7E6E6"/>
            </w:tcBorders>
            <w:shd w:val="clear" w:color="auto" w:fill="E7E6E6"/>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780" w:type="dxa"/>
            <w:vAlign w:val="bottom"/>
            <w:tcBorders>
              <w:bottom w:val="single" w:sz="8" w:color="E7E6E6"/>
              <w:right w:val="single" w:sz="8" w:color="auto"/>
            </w:tcBorders>
            <w:shd w:val="clear" w:color="auto" w:fill="E7E6E6"/>
          </w:tcPr>
          <w:p>
            <w:pPr>
              <w:jc w:val="right"/>
              <w:ind w:right="68"/>
              <w:spacing w:after="0" w:line="164" w:lineRule="exact"/>
              <w:rPr>
                <w:sz w:val="20"/>
                <w:szCs w:val="20"/>
                <w:color w:val="auto"/>
              </w:rPr>
            </w:pPr>
            <w:r>
              <w:rPr>
                <w:rFonts w:ascii="Calibri" w:cs="Calibri" w:eastAsia="Calibri" w:hAnsi="Calibri"/>
                <w:sz w:val="14"/>
                <w:szCs w:val="14"/>
                <w:color w:val="auto"/>
              </w:rPr>
              <w:t>51,572</w:t>
            </w:r>
          </w:p>
        </w:tc>
        <w:tc>
          <w:tcPr>
            <w:tcW w:w="160" w:type="dxa"/>
            <w:vAlign w:val="bottom"/>
            <w:tcBorders>
              <w:bottom w:val="single" w:sz="8" w:color="E7E6E6"/>
            </w:tcBorders>
            <w:shd w:val="clear" w:color="auto" w:fill="E7E6E6"/>
          </w:tcPr>
          <w:p>
            <w:pPr>
              <w:jc w:val="right"/>
              <w:ind w:right="8"/>
              <w:spacing w:after="0" w:line="164" w:lineRule="exact"/>
              <w:rPr>
                <w:sz w:val="20"/>
                <w:szCs w:val="20"/>
                <w:color w:val="auto"/>
              </w:rPr>
            </w:pPr>
            <w:r>
              <w:rPr>
                <w:rFonts w:ascii="Calibri" w:cs="Calibri" w:eastAsia="Calibri" w:hAnsi="Calibri"/>
                <w:sz w:val="14"/>
                <w:szCs w:val="14"/>
                <w:color w:val="auto"/>
                <w:w w:val="83"/>
              </w:rPr>
              <w:t>$</w:t>
            </w:r>
          </w:p>
        </w:tc>
        <w:tc>
          <w:tcPr>
            <w:tcW w:w="800" w:type="dxa"/>
            <w:vAlign w:val="bottom"/>
            <w:tcBorders>
              <w:bottom w:val="single" w:sz="8" w:color="E7E6E6"/>
              <w:right w:val="single" w:sz="8" w:color="auto"/>
            </w:tcBorders>
            <w:shd w:val="clear" w:color="auto" w:fill="E7E6E6"/>
          </w:tcPr>
          <w:p>
            <w:pPr>
              <w:jc w:val="right"/>
              <w:ind w:right="48"/>
              <w:spacing w:after="0" w:line="164" w:lineRule="exact"/>
              <w:rPr>
                <w:sz w:val="20"/>
                <w:szCs w:val="20"/>
                <w:color w:val="auto"/>
              </w:rPr>
            </w:pPr>
            <w:r>
              <w:rPr>
                <w:rFonts w:ascii="Calibri" w:cs="Calibri" w:eastAsia="Calibri" w:hAnsi="Calibri"/>
                <w:sz w:val="14"/>
                <w:szCs w:val="14"/>
                <w:color w:val="auto"/>
              </w:rPr>
              <w:t>894,627</w:t>
            </w:r>
          </w:p>
        </w:tc>
      </w:tr>
      <w:tr>
        <w:trPr>
          <w:trHeight w:val="170"/>
        </w:trPr>
        <w:tc>
          <w:tcPr>
            <w:tcW w:w="228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4"/>
                <w:szCs w:val="14"/>
                <w:color w:val="auto"/>
              </w:rPr>
              <w:t>Vice President, Corporate</w:t>
            </w:r>
          </w:p>
        </w:tc>
        <w:tc>
          <w:tcPr>
            <w:tcW w:w="1240" w:type="dxa"/>
            <w:vAlign w:val="bottom"/>
            <w:tcBorders>
              <w:right w:val="single" w:sz="8" w:color="auto"/>
            </w:tcBorders>
          </w:tcPr>
          <w:p>
            <w:pPr>
              <w:jc w:val="right"/>
              <w:ind w:right="88"/>
              <w:spacing w:after="0"/>
              <w:rPr>
                <w:sz w:val="20"/>
                <w:szCs w:val="20"/>
                <w:color w:val="auto"/>
              </w:rPr>
            </w:pPr>
            <w:r>
              <w:rPr>
                <w:rFonts w:ascii="Calibri" w:cs="Calibri" w:eastAsia="Calibri" w:hAnsi="Calibri"/>
                <w:sz w:val="14"/>
                <w:szCs w:val="14"/>
                <w:color w:val="auto"/>
              </w:rPr>
              <w:t>2022</w:t>
            </w:r>
          </w:p>
        </w:tc>
        <w:tc>
          <w:tcPr>
            <w:tcW w:w="140" w:type="dxa"/>
            <w:vAlign w:val="bottom"/>
          </w:tcPr>
          <w:p>
            <w:pPr>
              <w:jc w:val="right"/>
              <w:spacing w:after="0"/>
              <w:rPr>
                <w:sz w:val="20"/>
                <w:szCs w:val="20"/>
                <w:color w:val="auto"/>
              </w:rPr>
            </w:pPr>
            <w:r>
              <w:rPr>
                <w:rFonts w:ascii="Calibri" w:cs="Calibri" w:eastAsia="Calibri" w:hAnsi="Calibri"/>
                <w:sz w:val="14"/>
                <w:szCs w:val="14"/>
                <w:color w:val="auto"/>
                <w:w w:val="83"/>
              </w:rPr>
              <w:t>$</w:t>
            </w:r>
          </w:p>
        </w:tc>
        <w:tc>
          <w:tcPr>
            <w:tcW w:w="800" w:type="dxa"/>
            <w:vAlign w:val="bottom"/>
            <w:tcBorders>
              <w:right w:val="single" w:sz="8" w:color="auto"/>
            </w:tcBorders>
          </w:tcPr>
          <w:p>
            <w:pPr>
              <w:jc w:val="right"/>
              <w:ind w:right="68"/>
              <w:spacing w:after="0"/>
              <w:rPr>
                <w:sz w:val="20"/>
                <w:szCs w:val="20"/>
                <w:color w:val="auto"/>
              </w:rPr>
            </w:pPr>
            <w:r>
              <w:rPr>
                <w:rFonts w:ascii="Calibri" w:cs="Calibri" w:eastAsia="Calibri" w:hAnsi="Calibri"/>
                <w:sz w:val="14"/>
                <w:szCs w:val="14"/>
                <w:color w:val="auto"/>
              </w:rPr>
              <w:t>334,755</w:t>
            </w:r>
          </w:p>
        </w:tc>
        <w:tc>
          <w:tcPr>
            <w:tcW w:w="160" w:type="dxa"/>
            <w:vAlign w:val="bottom"/>
          </w:tcPr>
          <w:p>
            <w:pPr>
              <w:jc w:val="right"/>
              <w:ind w:right="8"/>
              <w:spacing w:after="0"/>
              <w:rPr>
                <w:sz w:val="20"/>
                <w:szCs w:val="20"/>
                <w:color w:val="auto"/>
              </w:rPr>
            </w:pPr>
            <w:r>
              <w:rPr>
                <w:rFonts w:ascii="Calibri" w:cs="Calibri" w:eastAsia="Calibri" w:hAnsi="Calibri"/>
                <w:sz w:val="14"/>
                <w:szCs w:val="14"/>
                <w:color w:val="auto"/>
                <w:w w:val="83"/>
              </w:rPr>
              <w:t>$</w:t>
            </w:r>
          </w:p>
        </w:tc>
        <w:tc>
          <w:tcPr>
            <w:tcW w:w="820" w:type="dxa"/>
            <w:vAlign w:val="bottom"/>
            <w:tcBorders>
              <w:right w:val="single" w:sz="8" w:color="auto"/>
            </w:tcBorders>
          </w:tcPr>
          <w:p>
            <w:pPr>
              <w:jc w:val="right"/>
              <w:ind w:right="68"/>
              <w:spacing w:after="0"/>
              <w:rPr>
                <w:sz w:val="20"/>
                <w:szCs w:val="20"/>
                <w:color w:val="auto"/>
              </w:rPr>
            </w:pPr>
            <w:r>
              <w:rPr>
                <w:rFonts w:ascii="Calibri" w:cs="Calibri" w:eastAsia="Calibri" w:hAnsi="Calibri"/>
                <w:sz w:val="14"/>
                <w:szCs w:val="14"/>
                <w:color w:val="auto"/>
              </w:rPr>
              <w:t>—</w:t>
            </w:r>
          </w:p>
        </w:tc>
        <w:tc>
          <w:tcPr>
            <w:tcW w:w="120" w:type="dxa"/>
            <w:vAlign w:val="bottom"/>
          </w:tcPr>
          <w:p>
            <w:pPr>
              <w:jc w:val="right"/>
              <w:spacing w:after="0"/>
              <w:rPr>
                <w:sz w:val="20"/>
                <w:szCs w:val="20"/>
                <w:color w:val="auto"/>
              </w:rPr>
            </w:pPr>
            <w:r>
              <w:rPr>
                <w:rFonts w:ascii="Calibri" w:cs="Calibri" w:eastAsia="Calibri" w:hAnsi="Calibri"/>
                <w:sz w:val="14"/>
                <w:szCs w:val="14"/>
                <w:color w:val="auto"/>
                <w:w w:val="83"/>
              </w:rPr>
              <w:t>$</w:t>
            </w:r>
          </w:p>
        </w:tc>
        <w:tc>
          <w:tcPr>
            <w:tcW w:w="740" w:type="dxa"/>
            <w:vAlign w:val="bottom"/>
            <w:tcBorders>
              <w:right w:val="single" w:sz="8" w:color="auto"/>
            </w:tcBorders>
          </w:tcPr>
          <w:p>
            <w:pPr>
              <w:jc w:val="right"/>
              <w:ind w:right="68"/>
              <w:spacing w:after="0"/>
              <w:rPr>
                <w:sz w:val="20"/>
                <w:szCs w:val="20"/>
                <w:color w:val="auto"/>
              </w:rPr>
            </w:pPr>
            <w:r>
              <w:rPr>
                <w:rFonts w:ascii="Calibri" w:cs="Calibri" w:eastAsia="Calibri" w:hAnsi="Calibri"/>
                <w:sz w:val="14"/>
                <w:szCs w:val="14"/>
                <w:color w:val="auto"/>
              </w:rPr>
              <w:t>274,401</w:t>
            </w:r>
          </w:p>
        </w:tc>
        <w:tc>
          <w:tcPr>
            <w:tcW w:w="120" w:type="dxa"/>
            <w:vAlign w:val="bottom"/>
          </w:tcPr>
          <w:p>
            <w:pPr>
              <w:jc w:val="right"/>
              <w:spacing w:after="0"/>
              <w:rPr>
                <w:sz w:val="20"/>
                <w:szCs w:val="20"/>
                <w:color w:val="auto"/>
              </w:rPr>
            </w:pPr>
            <w:r>
              <w:rPr>
                <w:rFonts w:ascii="Calibri" w:cs="Calibri" w:eastAsia="Calibri" w:hAnsi="Calibri"/>
                <w:sz w:val="14"/>
                <w:szCs w:val="14"/>
                <w:color w:val="auto"/>
                <w:w w:val="83"/>
              </w:rPr>
              <w:t>$</w:t>
            </w:r>
          </w:p>
        </w:tc>
        <w:tc>
          <w:tcPr>
            <w:tcW w:w="820" w:type="dxa"/>
            <w:vAlign w:val="bottom"/>
            <w:tcBorders>
              <w:right w:val="single" w:sz="8" w:color="auto"/>
            </w:tcBorders>
          </w:tcPr>
          <w:p>
            <w:pPr>
              <w:ind w:left="560"/>
              <w:spacing w:after="0"/>
              <w:rPr>
                <w:sz w:val="20"/>
                <w:szCs w:val="20"/>
                <w:color w:val="auto"/>
              </w:rPr>
            </w:pPr>
            <w:r>
              <w:rPr>
                <w:rFonts w:ascii="Calibri" w:cs="Calibri" w:eastAsia="Calibri" w:hAnsi="Calibri"/>
                <w:sz w:val="14"/>
                <w:szCs w:val="14"/>
                <w:color w:val="auto"/>
              </w:rPr>
              <w:t>—</w:t>
            </w:r>
          </w:p>
        </w:tc>
        <w:tc>
          <w:tcPr>
            <w:tcW w:w="80" w:type="dxa"/>
            <w:vAlign w:val="bottom"/>
          </w:tcPr>
          <w:p>
            <w:pPr>
              <w:jc w:val="right"/>
              <w:spacing w:after="0"/>
              <w:rPr>
                <w:sz w:val="20"/>
                <w:szCs w:val="20"/>
                <w:color w:val="auto"/>
              </w:rPr>
            </w:pPr>
            <w:r>
              <w:rPr>
                <w:rFonts w:ascii="Calibri" w:cs="Calibri" w:eastAsia="Calibri" w:hAnsi="Calibri"/>
                <w:sz w:val="14"/>
                <w:szCs w:val="14"/>
                <w:color w:val="auto"/>
                <w:w w:val="83"/>
              </w:rPr>
              <w:t>$</w:t>
            </w:r>
          </w:p>
        </w:tc>
        <w:tc>
          <w:tcPr>
            <w:tcW w:w="1020" w:type="dxa"/>
            <w:vAlign w:val="bottom"/>
            <w:tcBorders>
              <w:right w:val="single" w:sz="8" w:color="auto"/>
            </w:tcBorders>
          </w:tcPr>
          <w:p>
            <w:pPr>
              <w:jc w:val="right"/>
              <w:ind w:right="48"/>
              <w:spacing w:after="0"/>
              <w:rPr>
                <w:sz w:val="20"/>
                <w:szCs w:val="20"/>
                <w:color w:val="auto"/>
              </w:rPr>
            </w:pPr>
            <w:r>
              <w:rPr>
                <w:rFonts w:ascii="Calibri" w:cs="Calibri" w:eastAsia="Calibri" w:hAnsi="Calibri"/>
                <w:sz w:val="14"/>
                <w:szCs w:val="14"/>
                <w:color w:val="auto"/>
              </w:rPr>
              <w:t>149,615</w:t>
            </w:r>
          </w:p>
        </w:tc>
        <w:tc>
          <w:tcPr>
            <w:tcW w:w="80" w:type="dxa"/>
            <w:vAlign w:val="bottom"/>
          </w:tcPr>
          <w:p>
            <w:pPr>
              <w:jc w:val="right"/>
              <w:spacing w:after="0"/>
              <w:rPr>
                <w:sz w:val="20"/>
                <w:szCs w:val="20"/>
                <w:color w:val="auto"/>
              </w:rPr>
            </w:pPr>
            <w:r>
              <w:rPr>
                <w:rFonts w:ascii="Calibri" w:cs="Calibri" w:eastAsia="Calibri" w:hAnsi="Calibri"/>
                <w:sz w:val="14"/>
                <w:szCs w:val="14"/>
                <w:color w:val="auto"/>
                <w:w w:val="83"/>
              </w:rPr>
              <w:t>$</w:t>
            </w:r>
          </w:p>
        </w:tc>
        <w:tc>
          <w:tcPr>
            <w:tcW w:w="980" w:type="dxa"/>
            <w:vAlign w:val="bottom"/>
            <w:tcBorders>
              <w:right w:val="single" w:sz="8" w:color="auto"/>
            </w:tcBorders>
          </w:tcPr>
          <w:p>
            <w:pPr>
              <w:jc w:val="right"/>
              <w:ind w:right="68"/>
              <w:spacing w:after="0"/>
              <w:rPr>
                <w:sz w:val="20"/>
                <w:szCs w:val="20"/>
                <w:color w:val="auto"/>
              </w:rPr>
            </w:pPr>
            <w:r>
              <w:rPr>
                <w:rFonts w:ascii="Calibri" w:cs="Calibri" w:eastAsia="Calibri" w:hAnsi="Calibri"/>
                <w:sz w:val="14"/>
                <w:szCs w:val="14"/>
                <w:color w:val="auto"/>
              </w:rPr>
              <w:t>—</w:t>
            </w:r>
          </w:p>
        </w:tc>
        <w:tc>
          <w:tcPr>
            <w:tcW w:w="100" w:type="dxa"/>
            <w:vAlign w:val="bottom"/>
          </w:tcPr>
          <w:p>
            <w:pPr>
              <w:jc w:val="right"/>
              <w:spacing w:after="0"/>
              <w:rPr>
                <w:sz w:val="20"/>
                <w:szCs w:val="20"/>
                <w:color w:val="auto"/>
              </w:rPr>
            </w:pPr>
            <w:r>
              <w:rPr>
                <w:rFonts w:ascii="Calibri" w:cs="Calibri" w:eastAsia="Calibri" w:hAnsi="Calibri"/>
                <w:sz w:val="14"/>
                <w:szCs w:val="14"/>
                <w:color w:val="auto"/>
                <w:w w:val="83"/>
              </w:rPr>
              <w:t>$</w:t>
            </w:r>
          </w:p>
        </w:tc>
        <w:tc>
          <w:tcPr>
            <w:tcW w:w="780" w:type="dxa"/>
            <w:vAlign w:val="bottom"/>
            <w:tcBorders>
              <w:right w:val="single" w:sz="8" w:color="auto"/>
            </w:tcBorders>
          </w:tcPr>
          <w:p>
            <w:pPr>
              <w:jc w:val="right"/>
              <w:ind w:right="68"/>
              <w:spacing w:after="0"/>
              <w:rPr>
                <w:sz w:val="20"/>
                <w:szCs w:val="20"/>
                <w:color w:val="auto"/>
              </w:rPr>
            </w:pPr>
            <w:r>
              <w:rPr>
                <w:rFonts w:ascii="Calibri" w:cs="Calibri" w:eastAsia="Calibri" w:hAnsi="Calibri"/>
                <w:sz w:val="14"/>
                <w:szCs w:val="14"/>
                <w:color w:val="auto"/>
              </w:rPr>
              <w:t>51,387</w:t>
            </w:r>
          </w:p>
        </w:tc>
        <w:tc>
          <w:tcPr>
            <w:tcW w:w="160" w:type="dxa"/>
            <w:vAlign w:val="bottom"/>
          </w:tcPr>
          <w:p>
            <w:pPr>
              <w:jc w:val="right"/>
              <w:ind w:right="8"/>
              <w:spacing w:after="0"/>
              <w:rPr>
                <w:sz w:val="20"/>
                <w:szCs w:val="20"/>
                <w:color w:val="auto"/>
              </w:rPr>
            </w:pPr>
            <w:r>
              <w:rPr>
                <w:rFonts w:ascii="Calibri" w:cs="Calibri" w:eastAsia="Calibri" w:hAnsi="Calibri"/>
                <w:sz w:val="14"/>
                <w:szCs w:val="14"/>
                <w:color w:val="auto"/>
                <w:w w:val="83"/>
              </w:rPr>
              <w:t>$</w:t>
            </w:r>
          </w:p>
        </w:tc>
        <w:tc>
          <w:tcPr>
            <w:tcW w:w="800" w:type="dxa"/>
            <w:vAlign w:val="bottom"/>
            <w:tcBorders>
              <w:right w:val="single" w:sz="8" w:color="auto"/>
            </w:tcBorders>
          </w:tcPr>
          <w:p>
            <w:pPr>
              <w:jc w:val="right"/>
              <w:ind w:right="48"/>
              <w:spacing w:after="0"/>
              <w:rPr>
                <w:sz w:val="20"/>
                <w:szCs w:val="20"/>
                <w:color w:val="auto"/>
              </w:rPr>
            </w:pPr>
            <w:r>
              <w:rPr>
                <w:rFonts w:ascii="Calibri" w:cs="Calibri" w:eastAsia="Calibri" w:hAnsi="Calibri"/>
                <w:sz w:val="14"/>
                <w:szCs w:val="14"/>
                <w:color w:val="auto"/>
              </w:rPr>
              <w:t>810,158</w:t>
            </w:r>
          </w:p>
        </w:tc>
      </w:tr>
      <w:tr>
        <w:trPr>
          <w:trHeight w:val="33"/>
        </w:trPr>
        <w:tc>
          <w:tcPr>
            <w:tcW w:w="2280" w:type="dxa"/>
            <w:vAlign w:val="bottom"/>
            <w:tcBorders>
              <w:left w:val="single" w:sz="8" w:color="auto"/>
              <w:right w:val="single" w:sz="8" w:color="auto"/>
            </w:tcBorders>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r>
      <w:tr>
        <w:trPr>
          <w:trHeight w:val="183"/>
        </w:trPr>
        <w:tc>
          <w:tcPr>
            <w:tcW w:w="2280" w:type="dxa"/>
            <w:vAlign w:val="bottom"/>
            <w:tcBorders>
              <w:left w:val="single" w:sz="8" w:color="auto"/>
              <w:bottom w:val="single" w:sz="8" w:color="E7E6E6"/>
              <w:right w:val="single" w:sz="8" w:color="auto"/>
            </w:tcBorders>
            <w:shd w:val="clear" w:color="auto" w:fill="E7E6E6"/>
          </w:tcPr>
          <w:p>
            <w:pPr>
              <w:ind w:left="40"/>
              <w:spacing w:after="0"/>
              <w:rPr>
                <w:sz w:val="20"/>
                <w:szCs w:val="20"/>
                <w:color w:val="auto"/>
              </w:rPr>
            </w:pPr>
            <w:r>
              <w:rPr>
                <w:rFonts w:ascii="Calibri" w:cs="Calibri" w:eastAsia="Calibri" w:hAnsi="Calibri"/>
                <w:sz w:val="14"/>
                <w:szCs w:val="14"/>
                <w:color w:val="auto"/>
              </w:rPr>
              <w:t>Responsibility &amp; Stewardship</w:t>
            </w:r>
          </w:p>
        </w:tc>
        <w:tc>
          <w:tcPr>
            <w:tcW w:w="1240" w:type="dxa"/>
            <w:vAlign w:val="bottom"/>
            <w:tcBorders>
              <w:bottom w:val="single" w:sz="8" w:color="E7E6E6"/>
              <w:right w:val="single" w:sz="8" w:color="auto"/>
            </w:tcBorders>
            <w:shd w:val="clear" w:color="auto" w:fill="E7E6E6"/>
          </w:tcPr>
          <w:p>
            <w:pPr>
              <w:jc w:val="right"/>
              <w:ind w:right="88"/>
              <w:spacing w:after="0"/>
              <w:rPr>
                <w:sz w:val="20"/>
                <w:szCs w:val="20"/>
                <w:color w:val="auto"/>
              </w:rPr>
            </w:pPr>
            <w:r>
              <w:rPr>
                <w:rFonts w:ascii="Calibri" w:cs="Calibri" w:eastAsia="Calibri" w:hAnsi="Calibri"/>
                <w:sz w:val="14"/>
                <w:szCs w:val="14"/>
                <w:color w:val="auto"/>
              </w:rPr>
              <w:t>2021</w:t>
            </w:r>
          </w:p>
        </w:tc>
        <w:tc>
          <w:tcPr>
            <w:tcW w:w="140" w:type="dxa"/>
            <w:vAlign w:val="bottom"/>
            <w:tcBorders>
              <w:bottom w:val="single" w:sz="8" w:color="E7E6E6"/>
            </w:tcBorders>
            <w:shd w:val="clear" w:color="auto" w:fill="E7E6E6"/>
          </w:tcPr>
          <w:p>
            <w:pPr>
              <w:jc w:val="right"/>
              <w:spacing w:after="0"/>
              <w:rPr>
                <w:sz w:val="20"/>
                <w:szCs w:val="20"/>
                <w:color w:val="auto"/>
              </w:rPr>
            </w:pPr>
            <w:r>
              <w:rPr>
                <w:rFonts w:ascii="Calibri" w:cs="Calibri" w:eastAsia="Calibri" w:hAnsi="Calibri"/>
                <w:sz w:val="14"/>
                <w:szCs w:val="14"/>
                <w:color w:val="auto"/>
                <w:w w:val="83"/>
              </w:rPr>
              <w:t>$</w:t>
            </w:r>
          </w:p>
        </w:tc>
        <w:tc>
          <w:tcPr>
            <w:tcW w:w="800" w:type="dxa"/>
            <w:vAlign w:val="bottom"/>
            <w:tcBorders>
              <w:bottom w:val="single" w:sz="8" w:color="E7E6E6"/>
              <w:right w:val="single" w:sz="8" w:color="auto"/>
            </w:tcBorders>
            <w:shd w:val="clear" w:color="auto" w:fill="E7E6E6"/>
          </w:tcPr>
          <w:p>
            <w:pPr>
              <w:jc w:val="right"/>
              <w:ind w:right="68"/>
              <w:spacing w:after="0"/>
              <w:rPr>
                <w:sz w:val="20"/>
                <w:szCs w:val="20"/>
                <w:color w:val="auto"/>
              </w:rPr>
            </w:pPr>
            <w:r>
              <w:rPr>
                <w:rFonts w:ascii="Calibri" w:cs="Calibri" w:eastAsia="Calibri" w:hAnsi="Calibri"/>
                <w:sz w:val="14"/>
                <w:szCs w:val="14"/>
                <w:color w:val="auto"/>
              </w:rPr>
              <w:t>325,000</w:t>
            </w:r>
          </w:p>
        </w:tc>
        <w:tc>
          <w:tcPr>
            <w:tcW w:w="160" w:type="dxa"/>
            <w:vAlign w:val="bottom"/>
            <w:tcBorders>
              <w:bottom w:val="single" w:sz="8" w:color="E7E6E6"/>
            </w:tcBorders>
            <w:shd w:val="clear" w:color="auto" w:fill="E7E6E6"/>
          </w:tcPr>
          <w:p>
            <w:pPr>
              <w:spacing w:after="0"/>
              <w:rPr>
                <w:sz w:val="15"/>
                <w:szCs w:val="15"/>
                <w:color w:val="auto"/>
              </w:rPr>
            </w:pPr>
          </w:p>
        </w:tc>
        <w:tc>
          <w:tcPr>
            <w:tcW w:w="820" w:type="dxa"/>
            <w:vAlign w:val="bottom"/>
            <w:tcBorders>
              <w:bottom w:val="single" w:sz="8" w:color="E7E6E6"/>
              <w:right w:val="single" w:sz="8" w:color="auto"/>
            </w:tcBorders>
            <w:shd w:val="clear" w:color="auto" w:fill="E7E6E6"/>
          </w:tcPr>
          <w:p>
            <w:pPr>
              <w:spacing w:after="0"/>
              <w:rPr>
                <w:sz w:val="15"/>
                <w:szCs w:val="15"/>
                <w:color w:val="auto"/>
              </w:rPr>
            </w:pPr>
          </w:p>
        </w:tc>
        <w:tc>
          <w:tcPr>
            <w:tcW w:w="120" w:type="dxa"/>
            <w:vAlign w:val="bottom"/>
            <w:tcBorders>
              <w:bottom w:val="single" w:sz="8" w:color="E7E6E6"/>
            </w:tcBorders>
            <w:shd w:val="clear" w:color="auto" w:fill="E7E6E6"/>
          </w:tcPr>
          <w:p>
            <w:pPr>
              <w:jc w:val="right"/>
              <w:spacing w:after="0"/>
              <w:rPr>
                <w:sz w:val="20"/>
                <w:szCs w:val="20"/>
                <w:color w:val="auto"/>
              </w:rPr>
            </w:pPr>
            <w:r>
              <w:rPr>
                <w:rFonts w:ascii="Calibri" w:cs="Calibri" w:eastAsia="Calibri" w:hAnsi="Calibri"/>
                <w:sz w:val="14"/>
                <w:szCs w:val="14"/>
                <w:color w:val="auto"/>
                <w:w w:val="83"/>
              </w:rPr>
              <w:t>$</w:t>
            </w:r>
          </w:p>
        </w:tc>
        <w:tc>
          <w:tcPr>
            <w:tcW w:w="740" w:type="dxa"/>
            <w:vAlign w:val="bottom"/>
            <w:tcBorders>
              <w:bottom w:val="single" w:sz="8" w:color="E7E6E6"/>
              <w:right w:val="single" w:sz="8" w:color="auto"/>
            </w:tcBorders>
            <w:shd w:val="clear" w:color="auto" w:fill="E7E6E6"/>
          </w:tcPr>
          <w:p>
            <w:pPr>
              <w:jc w:val="right"/>
              <w:ind w:right="68"/>
              <w:spacing w:after="0"/>
              <w:rPr>
                <w:sz w:val="20"/>
                <w:szCs w:val="20"/>
                <w:color w:val="auto"/>
              </w:rPr>
            </w:pPr>
            <w:r>
              <w:rPr>
                <w:rFonts w:ascii="Calibri" w:cs="Calibri" w:eastAsia="Calibri" w:hAnsi="Calibri"/>
                <w:sz w:val="14"/>
                <w:szCs w:val="14"/>
                <w:color w:val="auto"/>
              </w:rPr>
              <w:t>283,240</w:t>
            </w:r>
          </w:p>
        </w:tc>
        <w:tc>
          <w:tcPr>
            <w:tcW w:w="120" w:type="dxa"/>
            <w:vAlign w:val="bottom"/>
            <w:tcBorders>
              <w:bottom w:val="single" w:sz="8" w:color="E7E6E6"/>
            </w:tcBorders>
            <w:shd w:val="clear" w:color="auto" w:fill="E7E6E6"/>
          </w:tcPr>
          <w:p>
            <w:pPr>
              <w:spacing w:after="0"/>
              <w:rPr>
                <w:sz w:val="15"/>
                <w:szCs w:val="15"/>
                <w:color w:val="auto"/>
              </w:rPr>
            </w:pPr>
          </w:p>
        </w:tc>
        <w:tc>
          <w:tcPr>
            <w:tcW w:w="820" w:type="dxa"/>
            <w:vAlign w:val="bottom"/>
            <w:tcBorders>
              <w:bottom w:val="single" w:sz="8" w:color="E7E6E6"/>
              <w:right w:val="single" w:sz="8" w:color="auto"/>
            </w:tcBorders>
            <w:shd w:val="clear" w:color="auto" w:fill="E7E6E6"/>
          </w:tcPr>
          <w:p>
            <w:pPr>
              <w:spacing w:after="0"/>
              <w:rPr>
                <w:sz w:val="15"/>
                <w:szCs w:val="15"/>
                <w:color w:val="auto"/>
              </w:rPr>
            </w:pPr>
          </w:p>
        </w:tc>
        <w:tc>
          <w:tcPr>
            <w:tcW w:w="80" w:type="dxa"/>
            <w:vAlign w:val="bottom"/>
            <w:tcBorders>
              <w:bottom w:val="single" w:sz="8" w:color="E7E6E6"/>
            </w:tcBorders>
            <w:shd w:val="clear" w:color="auto" w:fill="E7E6E6"/>
          </w:tcPr>
          <w:p>
            <w:pPr>
              <w:jc w:val="right"/>
              <w:spacing w:after="0"/>
              <w:rPr>
                <w:sz w:val="20"/>
                <w:szCs w:val="20"/>
                <w:color w:val="auto"/>
              </w:rPr>
            </w:pPr>
            <w:r>
              <w:rPr>
                <w:rFonts w:ascii="Calibri" w:cs="Calibri" w:eastAsia="Calibri" w:hAnsi="Calibri"/>
                <w:sz w:val="14"/>
                <w:szCs w:val="14"/>
                <w:color w:val="auto"/>
                <w:w w:val="83"/>
              </w:rPr>
              <w:t>$</w:t>
            </w:r>
          </w:p>
        </w:tc>
        <w:tc>
          <w:tcPr>
            <w:tcW w:w="1020" w:type="dxa"/>
            <w:vAlign w:val="bottom"/>
            <w:tcBorders>
              <w:bottom w:val="single" w:sz="8" w:color="E7E6E6"/>
              <w:right w:val="single" w:sz="8" w:color="auto"/>
            </w:tcBorders>
            <w:shd w:val="clear" w:color="auto" w:fill="E7E6E6"/>
          </w:tcPr>
          <w:p>
            <w:pPr>
              <w:jc w:val="right"/>
              <w:ind w:right="48"/>
              <w:spacing w:after="0"/>
              <w:rPr>
                <w:sz w:val="20"/>
                <w:szCs w:val="20"/>
                <w:color w:val="auto"/>
              </w:rPr>
            </w:pPr>
            <w:r>
              <w:rPr>
                <w:rFonts w:ascii="Calibri" w:cs="Calibri" w:eastAsia="Calibri" w:hAnsi="Calibri"/>
                <w:sz w:val="14"/>
                <w:szCs w:val="14"/>
                <w:color w:val="auto"/>
              </w:rPr>
              <w:t>161,694</w:t>
            </w:r>
          </w:p>
        </w:tc>
        <w:tc>
          <w:tcPr>
            <w:tcW w:w="80" w:type="dxa"/>
            <w:vAlign w:val="bottom"/>
            <w:tcBorders>
              <w:bottom w:val="single" w:sz="8" w:color="E7E6E6"/>
            </w:tcBorders>
            <w:shd w:val="clear" w:color="auto" w:fill="E7E6E6"/>
          </w:tcPr>
          <w:p>
            <w:pPr>
              <w:spacing w:after="0"/>
              <w:rPr>
                <w:sz w:val="15"/>
                <w:szCs w:val="15"/>
                <w:color w:val="auto"/>
              </w:rPr>
            </w:pPr>
          </w:p>
        </w:tc>
        <w:tc>
          <w:tcPr>
            <w:tcW w:w="980" w:type="dxa"/>
            <w:vAlign w:val="bottom"/>
            <w:tcBorders>
              <w:bottom w:val="single" w:sz="8" w:color="E7E6E6"/>
              <w:right w:val="single" w:sz="8" w:color="auto"/>
            </w:tcBorders>
            <w:shd w:val="clear" w:color="auto" w:fill="E7E6E6"/>
          </w:tcPr>
          <w:p>
            <w:pPr>
              <w:spacing w:after="0"/>
              <w:rPr>
                <w:sz w:val="15"/>
                <w:szCs w:val="15"/>
                <w:color w:val="auto"/>
              </w:rPr>
            </w:pPr>
          </w:p>
        </w:tc>
        <w:tc>
          <w:tcPr>
            <w:tcW w:w="100" w:type="dxa"/>
            <w:vAlign w:val="bottom"/>
            <w:tcBorders>
              <w:bottom w:val="single" w:sz="8" w:color="E7E6E6"/>
            </w:tcBorders>
            <w:shd w:val="clear" w:color="auto" w:fill="E7E6E6"/>
          </w:tcPr>
          <w:p>
            <w:pPr>
              <w:jc w:val="right"/>
              <w:spacing w:after="0"/>
              <w:rPr>
                <w:sz w:val="20"/>
                <w:szCs w:val="20"/>
                <w:color w:val="auto"/>
              </w:rPr>
            </w:pPr>
            <w:r>
              <w:rPr>
                <w:rFonts w:ascii="Calibri" w:cs="Calibri" w:eastAsia="Calibri" w:hAnsi="Calibri"/>
                <w:sz w:val="14"/>
                <w:szCs w:val="14"/>
                <w:color w:val="auto"/>
                <w:w w:val="83"/>
              </w:rPr>
              <w:t>$</w:t>
            </w:r>
          </w:p>
        </w:tc>
        <w:tc>
          <w:tcPr>
            <w:tcW w:w="780" w:type="dxa"/>
            <w:vAlign w:val="bottom"/>
            <w:tcBorders>
              <w:bottom w:val="single" w:sz="8" w:color="E7E6E6"/>
              <w:right w:val="single" w:sz="8" w:color="auto"/>
            </w:tcBorders>
            <w:shd w:val="clear" w:color="auto" w:fill="E7E6E6"/>
          </w:tcPr>
          <w:p>
            <w:pPr>
              <w:jc w:val="right"/>
              <w:ind w:right="68"/>
              <w:spacing w:after="0"/>
              <w:rPr>
                <w:sz w:val="20"/>
                <w:szCs w:val="20"/>
                <w:color w:val="auto"/>
              </w:rPr>
            </w:pPr>
            <w:r>
              <w:rPr>
                <w:rFonts w:ascii="Calibri" w:cs="Calibri" w:eastAsia="Calibri" w:hAnsi="Calibri"/>
                <w:sz w:val="14"/>
                <w:szCs w:val="14"/>
                <w:color w:val="auto"/>
              </w:rPr>
              <w:t>42,470</w:t>
            </w:r>
          </w:p>
        </w:tc>
        <w:tc>
          <w:tcPr>
            <w:tcW w:w="160" w:type="dxa"/>
            <w:vAlign w:val="bottom"/>
            <w:tcBorders>
              <w:bottom w:val="single" w:sz="8" w:color="E7E6E6"/>
            </w:tcBorders>
            <w:shd w:val="clear" w:color="auto" w:fill="E7E6E6"/>
          </w:tcPr>
          <w:p>
            <w:pPr>
              <w:jc w:val="right"/>
              <w:ind w:right="8"/>
              <w:spacing w:after="0"/>
              <w:rPr>
                <w:sz w:val="20"/>
                <w:szCs w:val="20"/>
                <w:color w:val="auto"/>
              </w:rPr>
            </w:pPr>
            <w:r>
              <w:rPr>
                <w:rFonts w:ascii="Calibri" w:cs="Calibri" w:eastAsia="Calibri" w:hAnsi="Calibri"/>
                <w:sz w:val="14"/>
                <w:szCs w:val="14"/>
                <w:color w:val="auto"/>
                <w:w w:val="83"/>
              </w:rPr>
              <w:t>$</w:t>
            </w:r>
          </w:p>
        </w:tc>
        <w:tc>
          <w:tcPr>
            <w:tcW w:w="800" w:type="dxa"/>
            <w:vAlign w:val="bottom"/>
            <w:tcBorders>
              <w:bottom w:val="single" w:sz="8" w:color="E7E6E6"/>
              <w:right w:val="single" w:sz="8" w:color="auto"/>
            </w:tcBorders>
            <w:shd w:val="clear" w:color="auto" w:fill="E7E6E6"/>
          </w:tcPr>
          <w:p>
            <w:pPr>
              <w:jc w:val="right"/>
              <w:ind w:right="48"/>
              <w:spacing w:after="0"/>
              <w:rPr>
                <w:sz w:val="20"/>
                <w:szCs w:val="20"/>
                <w:color w:val="auto"/>
              </w:rPr>
            </w:pPr>
            <w:r>
              <w:rPr>
                <w:rFonts w:ascii="Calibri" w:cs="Calibri" w:eastAsia="Calibri" w:hAnsi="Calibri"/>
                <w:sz w:val="14"/>
                <w:szCs w:val="14"/>
                <w:color w:val="auto"/>
              </w:rPr>
              <w:t>812,404</w:t>
            </w:r>
          </w:p>
        </w:tc>
      </w:tr>
      <w:tr>
        <w:trPr>
          <w:trHeight w:val="170"/>
        </w:trPr>
        <w:tc>
          <w:tcPr>
            <w:tcW w:w="228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4"/>
                <w:szCs w:val="14"/>
                <w:color w:val="auto"/>
              </w:rPr>
              <w:t>of the Company</w:t>
            </w:r>
          </w:p>
        </w:tc>
        <w:tc>
          <w:tcPr>
            <w:tcW w:w="124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r>
      <w:tr>
        <w:trPr>
          <w:trHeight w:val="33"/>
        </w:trPr>
        <w:tc>
          <w:tcPr>
            <w:tcW w:w="228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bl>
    <w:p>
      <w:pPr>
        <w:jc w:val="both"/>
        <w:ind w:left="380" w:hanging="372"/>
        <w:spacing w:after="0" w:line="233" w:lineRule="auto"/>
        <w:tabs>
          <w:tab w:leader="none" w:pos="380" w:val="left"/>
        </w:tabs>
        <w:numPr>
          <w:ilvl w:val="0"/>
          <w:numId w:val="46"/>
        </w:numPr>
        <w:rPr>
          <w:rFonts w:ascii="Calibri" w:cs="Calibri" w:eastAsia="Calibri" w:hAnsi="Calibri"/>
          <w:sz w:val="18"/>
          <w:szCs w:val="18"/>
          <w:color w:val="auto"/>
        </w:rPr>
      </w:pPr>
      <w:r>
        <w:rPr>
          <w:rFonts w:ascii="Calibri" w:cs="Calibri" w:eastAsia="Calibri" w:hAnsi="Calibri"/>
          <w:sz w:val="18"/>
          <w:szCs w:val="18"/>
          <w:color w:val="auto"/>
        </w:rPr>
        <w:t>For 2023, amounts in this column refect the grant date fair value amount of equity-based performance units and restricted stock units granted. The grant date fair value amount of the performance units is based on a probable value of these awards, or target value, of 100 percent payout. The grant date fair value of the restricted stock units is based on 100 percent payout at vestng. The grants of long-term incentves consisted of (i) 65 percent in the form of performance units, the payout of which is dependent upon the Company's TSR over a three-year period measured against the TSR for such period by a peer group selected by the Compensaton Commitee and (ii) 35 percent in the form of restricted stock units that vest, assuming contnued employment through the three-year vestng period. In the case of TSR, the performance units will pay out from 0 to 200 percent of the target amount, depending upon performance of the applicable performance goal. The assumptons used in the valuaton are discussed in Note 6 to our Consolidated Financial Statements included in our Form 10-K for the year ended December 31, 2023. Assuming achievement of the performance goals at the maximum level of 200 percent for performance units based on TSR and 100 percent for restricted stock units, the grant date fair value of the units granted in 2023 and included in this column would be: Mr. Trauschke, $7,634,396; Mr. Buckler, $1,344,947; Mr. Sultemeier, $1,184,086; Mr. Jones, $1,120,329 and Ms. McQuiston, $514,818.</w:t>
      </w:r>
    </w:p>
    <w:p>
      <w:pPr>
        <w:spacing w:after="0" w:line="5" w:lineRule="exact"/>
        <w:rPr>
          <w:rFonts w:ascii="Calibri" w:cs="Calibri" w:eastAsia="Calibri" w:hAnsi="Calibri"/>
          <w:sz w:val="18"/>
          <w:szCs w:val="18"/>
          <w:color w:val="auto"/>
        </w:rPr>
      </w:pPr>
    </w:p>
    <w:p>
      <w:pPr>
        <w:ind w:left="380" w:hanging="372"/>
        <w:spacing w:after="0" w:line="235" w:lineRule="auto"/>
        <w:tabs>
          <w:tab w:leader="none" w:pos="380" w:val="left"/>
        </w:tabs>
        <w:numPr>
          <w:ilvl w:val="0"/>
          <w:numId w:val="46"/>
        </w:numPr>
        <w:rPr>
          <w:rFonts w:ascii="Calibri" w:cs="Calibri" w:eastAsia="Calibri" w:hAnsi="Calibri"/>
          <w:sz w:val="18"/>
          <w:szCs w:val="18"/>
          <w:color w:val="auto"/>
        </w:rPr>
      </w:pPr>
      <w:r>
        <w:rPr>
          <w:rFonts w:ascii="Calibri" w:cs="Calibri" w:eastAsia="Calibri" w:hAnsi="Calibri"/>
          <w:sz w:val="18"/>
          <w:szCs w:val="18"/>
          <w:color w:val="auto"/>
        </w:rPr>
        <w:t>Amounts in this column refect payments under our Annual Incentve Plan for achievement of 2023 performance goals.</w:t>
      </w:r>
    </w:p>
    <w:p>
      <w:pPr>
        <w:spacing w:after="0" w:line="1" w:lineRule="exact"/>
        <w:rPr>
          <w:rFonts w:ascii="Calibri" w:cs="Calibri" w:eastAsia="Calibri" w:hAnsi="Calibri"/>
          <w:sz w:val="18"/>
          <w:szCs w:val="18"/>
          <w:color w:val="auto"/>
        </w:rPr>
      </w:pPr>
    </w:p>
    <w:p>
      <w:pPr>
        <w:jc w:val="both"/>
        <w:ind w:left="380" w:hanging="372"/>
        <w:spacing w:after="0" w:line="249" w:lineRule="auto"/>
        <w:tabs>
          <w:tab w:leader="none" w:pos="380" w:val="left"/>
        </w:tabs>
        <w:numPr>
          <w:ilvl w:val="0"/>
          <w:numId w:val="46"/>
        </w:numPr>
        <w:rPr>
          <w:rFonts w:ascii="Calibri" w:cs="Calibri" w:eastAsia="Calibri" w:hAnsi="Calibri"/>
          <w:sz w:val="17"/>
          <w:szCs w:val="17"/>
          <w:color w:val="auto"/>
        </w:rPr>
      </w:pPr>
      <w:r>
        <w:rPr>
          <w:rFonts w:ascii="Calibri" w:cs="Calibri" w:eastAsia="Calibri" w:hAnsi="Calibri"/>
          <w:sz w:val="17"/>
          <w:szCs w:val="17"/>
          <w:color w:val="auto"/>
        </w:rPr>
        <w:t>Amounts in this column refect the actuarial increase in the present value of the Named Executve Ofcers benefts under all pension plans established by the Company determined using interest rate and mortality rate assumptons consistent with those used in Note 11 to our Consolidated Financial Statements included in our Form 10-K for the year ended December 31, 2023 and includes amounts which the Named Executve Ofcer may not currently be enttled to receive because such amounts are not vested. Messrs. Buckler and Sultemeier are not eligible to partcipate in the Pension Plan.</w:t>
      </w:r>
    </w:p>
    <w:p>
      <w:pPr>
        <w:spacing w:after="0" w:line="2" w:lineRule="exact"/>
        <w:rPr>
          <w:rFonts w:ascii="Calibri" w:cs="Calibri" w:eastAsia="Calibri" w:hAnsi="Calibri"/>
          <w:sz w:val="17"/>
          <w:szCs w:val="17"/>
          <w:color w:val="auto"/>
        </w:rPr>
      </w:pPr>
    </w:p>
    <w:p>
      <w:pPr>
        <w:jc w:val="both"/>
        <w:ind w:left="380" w:hanging="372"/>
        <w:spacing w:after="0" w:line="235" w:lineRule="auto"/>
        <w:tabs>
          <w:tab w:leader="none" w:pos="380" w:val="left"/>
        </w:tabs>
        <w:numPr>
          <w:ilvl w:val="0"/>
          <w:numId w:val="46"/>
        </w:numPr>
        <w:rPr>
          <w:rFonts w:ascii="Calibri" w:cs="Calibri" w:eastAsia="Calibri" w:hAnsi="Calibri"/>
          <w:sz w:val="18"/>
          <w:szCs w:val="18"/>
          <w:color w:val="auto"/>
        </w:rPr>
      </w:pPr>
      <w:r>
        <w:rPr>
          <w:rFonts w:ascii="Calibri" w:cs="Calibri" w:eastAsia="Calibri" w:hAnsi="Calibri"/>
          <w:sz w:val="18"/>
          <w:szCs w:val="18"/>
          <w:color w:val="auto"/>
        </w:rPr>
        <w:t>Amounts in this column for 2023 refect: (i) for Mr. Trauschke, $141,809 (401(k) Plan and Deferred Compensaton Plan), $1,369 (insurance premiums) and $11,072 (use of a company car, payment of social membership dining and country club dues); (ii) for Mr. Buckler, $81,398 (401(k) Plan and Deferred Compensaton Plan), $1,280 (insurance premiums) and $630 (payment for an annual physical exam); (iii) Mr. Sultemeier, $80,337 (401(k) Plan and Deferred Compensaton Plan), $1,266 (insurance premiums) and $1,000 (payment for an annual physical exam); (iv) Mr. Jones, $33,000 (401(k) Plan), $1,159 (insurance premiums) and $750 (payment for an annual physical exam); and (v) Ms. McQuiston, $50,110 (401(k) Plan and Deferred Compensaton Plan), $1,007 (insurance premiums) and $455 (payment for an annual physical exam). A signifcant</w:t>
      </w:r>
    </w:p>
    <w:p>
      <w:pPr>
        <w:spacing w:after="0" w:line="176" w:lineRule="exact"/>
        <w:rPr>
          <w:sz w:val="20"/>
          <w:szCs w:val="20"/>
          <w:color w:val="auto"/>
        </w:rPr>
      </w:pPr>
    </w:p>
    <w:p>
      <w:pPr>
        <w:spacing w:after="0"/>
        <w:tabs>
          <w:tab w:leader="none" w:pos="660" w:val="left"/>
        </w:tabs>
        <w:rPr>
          <w:sz w:val="20"/>
          <w:szCs w:val="20"/>
          <w:color w:val="auto"/>
        </w:rPr>
      </w:pPr>
      <w:r>
        <w:rPr>
          <w:rFonts w:ascii="Calibri" w:cs="Calibri" w:eastAsia="Calibri" w:hAnsi="Calibri"/>
          <w:sz w:val="18"/>
          <w:szCs w:val="18"/>
          <w:color w:val="auto"/>
        </w:rPr>
        <w:t>43</w:t>
      </w:r>
      <w:r>
        <w:rPr>
          <w:sz w:val="20"/>
          <w:szCs w:val="20"/>
          <w:color w:val="auto"/>
        </w:rPr>
        <w:tab/>
      </w:r>
      <w:r>
        <w:rPr>
          <w:rFonts w:ascii="Calibri" w:cs="Calibri" w:eastAsia="Calibri" w:hAnsi="Calibri"/>
          <w:sz w:val="18"/>
          <w:szCs w:val="18"/>
          <w:b w:val="1"/>
          <w:bCs w:val="1"/>
          <w:color w:val="EE2724"/>
        </w:rPr>
        <w:t xml:space="preserve">OGE Energy Corp. </w:t>
      </w:r>
      <w:r>
        <w:rPr>
          <w:rFonts w:ascii="Calibri" w:cs="Calibri" w:eastAsia="Calibri" w:hAnsi="Calibri"/>
          <w:sz w:val="18"/>
          <w:szCs w:val="18"/>
          <w:color w:val="00000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3" w:right="339" w:bottom="1440" w:gutter="0" w:footer="0" w:header="0"/>
        </w:sectPr>
      </w:pPr>
    </w:p>
    <w:bookmarkStart w:id="49" w:name="page50"/>
    <w:bookmarkEnd w:id="49"/>
    <w:p>
      <w:pPr>
        <w:jc w:val="both"/>
        <w:ind w:left="380"/>
        <w:spacing w:after="0" w:line="235" w:lineRule="auto"/>
        <w:rPr>
          <w:sz w:val="20"/>
          <w:szCs w:val="20"/>
          <w:color w:val="auto"/>
        </w:rPr>
      </w:pPr>
      <w:r>
        <w:rPr>
          <w:rFonts w:ascii="Calibri" w:cs="Calibri" w:eastAsia="Calibri" w:hAnsi="Calibri"/>
          <w:sz w:val="18"/>
          <w:szCs w:val="18"/>
          <w:color w:val="auto"/>
        </w:rPr>
        <w:t>porton of the insurance premiums reported for each of these individuals is for life insurance policies and such premiums are recovered by the Company from the proceeds of the policies. Amounts shown as 401(k) Plan and Deferred Compensaton Plan represent Company contributons for the individual under those plans. Amounts in the column include the value of the perquisites for the Named Executve Ofcers, but, in each instance the amount was less than $12,000 in 2023.</w:t>
      </w:r>
    </w:p>
    <w:p>
      <w:pPr>
        <w:spacing w:after="0" w:line="228"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Grants of Plan-Based Awards Table for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tbl>
      <w:tblPr>
        <w:tblLayout w:type="fixed"/>
        <w:tblInd w:w="10" w:type="dxa"/>
        <w:tblCellMar>
          <w:top w:w="0" w:type="dxa"/>
          <w:left w:w="0" w:type="dxa"/>
          <w:bottom w:w="0" w:type="dxa"/>
          <w:right w:w="0" w:type="dxa"/>
        </w:tblCellMar>
      </w:tblPr>
      <w:tr>
        <w:trPr>
          <w:trHeight w:val="190"/>
        </w:trPr>
        <w:tc>
          <w:tcPr>
            <w:tcW w:w="1360" w:type="dxa"/>
            <w:vAlign w:val="bottom"/>
            <w:tcBorders>
              <w:top w:val="single" w:sz="8" w:color="auto"/>
              <w:left w:val="single" w:sz="8" w:color="auto"/>
              <w:right w:val="single" w:sz="8" w:color="auto"/>
            </w:tcBorders>
          </w:tcPr>
          <w:p>
            <w:pPr>
              <w:ind w:left="500"/>
              <w:spacing w:after="0"/>
              <w:rPr>
                <w:sz w:val="20"/>
                <w:szCs w:val="20"/>
                <w:color w:val="auto"/>
              </w:rPr>
            </w:pPr>
            <w:r>
              <w:rPr>
                <w:rFonts w:ascii="Calibri" w:cs="Calibri" w:eastAsia="Calibri" w:hAnsi="Calibri"/>
                <w:sz w:val="14"/>
                <w:szCs w:val="14"/>
                <w:color w:val="auto"/>
              </w:rPr>
              <w:t>Name</w:t>
            </w:r>
          </w:p>
        </w:tc>
        <w:tc>
          <w:tcPr>
            <w:tcW w:w="84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4"/>
                <w:szCs w:val="14"/>
                <w:color w:val="auto"/>
                <w:w w:val="98"/>
              </w:rPr>
              <w:t>Grant</w:t>
            </w:r>
          </w:p>
        </w:tc>
        <w:tc>
          <w:tcPr>
            <w:tcW w:w="460" w:type="dxa"/>
            <w:vAlign w:val="bottom"/>
            <w:tcBorders>
              <w:top w:val="single" w:sz="8" w:color="auto"/>
            </w:tcBorders>
          </w:tcPr>
          <w:p>
            <w:pPr>
              <w:spacing w:after="0"/>
              <w:rPr>
                <w:sz w:val="16"/>
                <w:szCs w:val="16"/>
                <w:color w:val="auto"/>
              </w:rPr>
            </w:pPr>
          </w:p>
        </w:tc>
        <w:tc>
          <w:tcPr>
            <w:tcW w:w="2500" w:type="dxa"/>
            <w:vAlign w:val="bottom"/>
            <w:tcBorders>
              <w:top w:val="single" w:sz="8" w:color="auto"/>
              <w:right w:val="single" w:sz="8" w:color="auto"/>
            </w:tcBorders>
            <w:gridSpan w:val="5"/>
          </w:tcPr>
          <w:p>
            <w:pPr>
              <w:jc w:val="center"/>
              <w:ind w:right="528"/>
              <w:spacing w:after="0"/>
              <w:rPr>
                <w:sz w:val="20"/>
                <w:szCs w:val="20"/>
                <w:color w:val="auto"/>
              </w:rPr>
            </w:pPr>
            <w:r>
              <w:rPr>
                <w:rFonts w:ascii="Calibri" w:cs="Calibri" w:eastAsia="Calibri" w:hAnsi="Calibri"/>
                <w:sz w:val="14"/>
                <w:szCs w:val="14"/>
                <w:color w:val="auto"/>
              </w:rPr>
              <w:t>Estmated Future Payouts Under</w:t>
            </w:r>
          </w:p>
        </w:tc>
        <w:tc>
          <w:tcPr>
            <w:tcW w:w="2680" w:type="dxa"/>
            <w:vAlign w:val="bottom"/>
            <w:tcBorders>
              <w:top w:val="single" w:sz="8" w:color="auto"/>
              <w:right w:val="single" w:sz="8" w:color="auto"/>
            </w:tcBorders>
            <w:gridSpan w:val="3"/>
          </w:tcPr>
          <w:p>
            <w:pPr>
              <w:jc w:val="center"/>
              <w:ind w:right="68"/>
              <w:spacing w:after="0"/>
              <w:rPr>
                <w:sz w:val="20"/>
                <w:szCs w:val="20"/>
                <w:color w:val="auto"/>
              </w:rPr>
            </w:pPr>
            <w:r>
              <w:rPr>
                <w:rFonts w:ascii="Calibri" w:cs="Calibri" w:eastAsia="Calibri" w:hAnsi="Calibri"/>
                <w:sz w:val="14"/>
                <w:szCs w:val="14"/>
                <w:color w:val="auto"/>
              </w:rPr>
              <w:t>Estmated Future Payouts</w:t>
            </w:r>
          </w:p>
        </w:tc>
        <w:tc>
          <w:tcPr>
            <w:tcW w:w="820" w:type="dxa"/>
            <w:vAlign w:val="bottom"/>
            <w:tcBorders>
              <w:top w:val="single" w:sz="8" w:color="auto"/>
              <w:right w:val="single" w:sz="8" w:color="auto"/>
            </w:tcBorders>
          </w:tcPr>
          <w:p>
            <w:pPr>
              <w:jc w:val="center"/>
              <w:ind w:right="48"/>
              <w:spacing w:after="0"/>
              <w:rPr>
                <w:sz w:val="20"/>
                <w:szCs w:val="20"/>
                <w:color w:val="auto"/>
              </w:rPr>
            </w:pPr>
            <w:r>
              <w:rPr>
                <w:rFonts w:ascii="Calibri" w:cs="Calibri" w:eastAsia="Calibri" w:hAnsi="Calibri"/>
                <w:sz w:val="14"/>
                <w:szCs w:val="14"/>
                <w:color w:val="auto"/>
                <w:w w:val="96"/>
              </w:rPr>
              <w:t>All</w:t>
            </w:r>
          </w:p>
        </w:tc>
        <w:tc>
          <w:tcPr>
            <w:tcW w:w="76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4"/>
                <w:szCs w:val="14"/>
                <w:color w:val="auto"/>
              </w:rPr>
              <w:t>All Other</w:t>
            </w:r>
          </w:p>
        </w:tc>
        <w:tc>
          <w:tcPr>
            <w:tcW w:w="780" w:type="dxa"/>
            <w:vAlign w:val="bottom"/>
            <w:tcBorders>
              <w:top w:val="single" w:sz="8" w:color="auto"/>
            </w:tcBorders>
          </w:tcPr>
          <w:p>
            <w:pPr>
              <w:jc w:val="center"/>
              <w:ind w:left="188"/>
              <w:spacing w:after="0"/>
              <w:rPr>
                <w:sz w:val="20"/>
                <w:szCs w:val="20"/>
                <w:color w:val="auto"/>
              </w:rPr>
            </w:pPr>
            <w:r>
              <w:rPr>
                <w:rFonts w:ascii="Calibri" w:cs="Calibri" w:eastAsia="Calibri" w:hAnsi="Calibri"/>
                <w:sz w:val="14"/>
                <w:szCs w:val="14"/>
                <w:color w:val="auto"/>
              </w:rPr>
              <w:t>Exercise</w:t>
            </w:r>
          </w:p>
        </w:tc>
        <w:tc>
          <w:tcPr>
            <w:tcW w:w="300" w:type="dxa"/>
            <w:vAlign w:val="bottom"/>
            <w:tcBorders>
              <w:top w:val="single" w:sz="8" w:color="auto"/>
              <w:right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60" w:type="dxa"/>
            <w:vAlign w:val="bottom"/>
            <w:tcBorders>
              <w:top w:val="single" w:sz="8" w:color="auto"/>
              <w:right w:val="single" w:sz="8" w:color="auto"/>
            </w:tcBorders>
          </w:tcPr>
          <w:p>
            <w:pPr>
              <w:jc w:val="center"/>
              <w:ind w:right="168"/>
              <w:spacing w:after="0"/>
              <w:rPr>
                <w:sz w:val="20"/>
                <w:szCs w:val="20"/>
                <w:color w:val="auto"/>
              </w:rPr>
            </w:pPr>
            <w:r>
              <w:rPr>
                <w:rFonts w:ascii="Calibri" w:cs="Calibri" w:eastAsia="Calibri" w:hAnsi="Calibri"/>
                <w:sz w:val="14"/>
                <w:szCs w:val="14"/>
                <w:color w:val="auto"/>
              </w:rPr>
              <w:t>Grant</w:t>
            </w:r>
          </w:p>
        </w:tc>
        <w:tc>
          <w:tcPr>
            <w:tcW w:w="0" w:type="dxa"/>
            <w:vAlign w:val="bottom"/>
          </w:tcPr>
          <w:p>
            <w:pPr>
              <w:spacing w:after="0"/>
              <w:rPr>
                <w:sz w:val="1"/>
                <w:szCs w:val="1"/>
                <w:color w:val="auto"/>
              </w:rPr>
            </w:pPr>
          </w:p>
        </w:tc>
      </w:tr>
      <w:tr>
        <w:trPr>
          <w:trHeight w:val="171"/>
        </w:trPr>
        <w:tc>
          <w:tcPr>
            <w:tcW w:w="1360" w:type="dxa"/>
            <w:vAlign w:val="bottom"/>
            <w:tcBorders>
              <w:left w:val="single" w:sz="8" w:color="auto"/>
              <w:right w:val="single" w:sz="8" w:color="auto"/>
            </w:tcBorders>
          </w:tcPr>
          <w:p>
            <w:pPr>
              <w:spacing w:after="0"/>
              <w:rPr>
                <w:sz w:val="14"/>
                <w:szCs w:val="14"/>
                <w:color w:val="auto"/>
              </w:rPr>
            </w:pPr>
          </w:p>
        </w:tc>
        <w:tc>
          <w:tcPr>
            <w:tcW w:w="84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rPr>
              <w:t>Date</w:t>
            </w:r>
          </w:p>
        </w:tc>
        <w:tc>
          <w:tcPr>
            <w:tcW w:w="460" w:type="dxa"/>
            <w:vAlign w:val="bottom"/>
          </w:tcPr>
          <w:p>
            <w:pPr>
              <w:spacing w:after="0"/>
              <w:rPr>
                <w:sz w:val="14"/>
                <w:szCs w:val="14"/>
                <w:color w:val="auto"/>
              </w:rPr>
            </w:pPr>
          </w:p>
        </w:tc>
        <w:tc>
          <w:tcPr>
            <w:tcW w:w="1740" w:type="dxa"/>
            <w:vAlign w:val="bottom"/>
            <w:gridSpan w:val="4"/>
          </w:tcPr>
          <w:p>
            <w:pPr>
              <w:jc w:val="center"/>
              <w:ind w:left="88"/>
              <w:spacing w:after="0"/>
              <w:rPr>
                <w:sz w:val="20"/>
                <w:szCs w:val="20"/>
                <w:color w:val="auto"/>
              </w:rPr>
            </w:pPr>
            <w:r>
              <w:rPr>
                <w:rFonts w:ascii="Calibri" w:cs="Calibri" w:eastAsia="Calibri" w:hAnsi="Calibri"/>
                <w:sz w:val="14"/>
                <w:szCs w:val="14"/>
                <w:color w:val="auto"/>
              </w:rPr>
              <w:t>Non-Equity Incentve Plan</w:t>
            </w:r>
          </w:p>
        </w:tc>
        <w:tc>
          <w:tcPr>
            <w:tcW w:w="760" w:type="dxa"/>
            <w:vAlign w:val="bottom"/>
            <w:tcBorders>
              <w:right w:val="single" w:sz="8" w:color="auto"/>
            </w:tcBorders>
          </w:tcPr>
          <w:p>
            <w:pPr>
              <w:spacing w:after="0"/>
              <w:rPr>
                <w:sz w:val="14"/>
                <w:szCs w:val="14"/>
                <w:color w:val="auto"/>
              </w:rPr>
            </w:pPr>
          </w:p>
        </w:tc>
        <w:tc>
          <w:tcPr>
            <w:tcW w:w="2680" w:type="dxa"/>
            <w:vAlign w:val="bottom"/>
            <w:tcBorders>
              <w:right w:val="single" w:sz="8" w:color="auto"/>
            </w:tcBorders>
            <w:gridSpan w:val="3"/>
          </w:tcPr>
          <w:p>
            <w:pPr>
              <w:jc w:val="center"/>
              <w:ind w:right="68"/>
              <w:spacing w:after="0"/>
              <w:rPr>
                <w:sz w:val="20"/>
                <w:szCs w:val="20"/>
                <w:color w:val="auto"/>
              </w:rPr>
            </w:pPr>
            <w:r>
              <w:rPr>
                <w:rFonts w:ascii="Calibri" w:cs="Calibri" w:eastAsia="Calibri" w:hAnsi="Calibri"/>
                <w:sz w:val="14"/>
                <w:szCs w:val="14"/>
                <w:color w:val="auto"/>
              </w:rPr>
              <w:t>Under Equity Incentve Plan</w:t>
            </w:r>
          </w:p>
        </w:tc>
        <w:tc>
          <w:tcPr>
            <w:tcW w:w="820" w:type="dxa"/>
            <w:vAlign w:val="bottom"/>
            <w:tcBorders>
              <w:right w:val="single" w:sz="8" w:color="auto"/>
            </w:tcBorders>
          </w:tcPr>
          <w:p>
            <w:pPr>
              <w:jc w:val="center"/>
              <w:ind w:right="48"/>
              <w:spacing w:after="0"/>
              <w:rPr>
                <w:sz w:val="20"/>
                <w:szCs w:val="20"/>
                <w:color w:val="auto"/>
              </w:rPr>
            </w:pPr>
            <w:r>
              <w:rPr>
                <w:rFonts w:ascii="Calibri" w:cs="Calibri" w:eastAsia="Calibri" w:hAnsi="Calibri"/>
                <w:sz w:val="14"/>
                <w:szCs w:val="14"/>
                <w:color w:val="auto"/>
              </w:rPr>
              <w:t>Other</w:t>
            </w:r>
          </w:p>
        </w:tc>
        <w:tc>
          <w:tcPr>
            <w:tcW w:w="76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rPr>
              <w:t>Opton</w:t>
            </w:r>
          </w:p>
        </w:tc>
        <w:tc>
          <w:tcPr>
            <w:tcW w:w="780" w:type="dxa"/>
            <w:vAlign w:val="bottom"/>
          </w:tcPr>
          <w:p>
            <w:pPr>
              <w:jc w:val="center"/>
              <w:ind w:left="188"/>
              <w:spacing w:after="0"/>
              <w:rPr>
                <w:sz w:val="20"/>
                <w:szCs w:val="20"/>
                <w:color w:val="auto"/>
              </w:rPr>
            </w:pPr>
            <w:r>
              <w:rPr>
                <w:rFonts w:ascii="Calibri" w:cs="Calibri" w:eastAsia="Calibri" w:hAnsi="Calibri"/>
                <w:sz w:val="14"/>
                <w:szCs w:val="14"/>
                <w:color w:val="auto"/>
              </w:rPr>
              <w:t>or Base</w:t>
            </w:r>
          </w:p>
        </w:tc>
        <w:tc>
          <w:tcPr>
            <w:tcW w:w="3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right w:val="single" w:sz="8" w:color="auto"/>
            </w:tcBorders>
          </w:tcPr>
          <w:p>
            <w:pPr>
              <w:jc w:val="center"/>
              <w:ind w:right="128"/>
              <w:spacing w:after="0"/>
              <w:rPr>
                <w:sz w:val="20"/>
                <w:szCs w:val="20"/>
                <w:color w:val="auto"/>
              </w:rPr>
            </w:pPr>
            <w:r>
              <w:rPr>
                <w:rFonts w:ascii="Calibri" w:cs="Calibri" w:eastAsia="Calibri" w:hAnsi="Calibri"/>
                <w:sz w:val="14"/>
                <w:szCs w:val="14"/>
                <w:color w:val="auto"/>
                <w:w w:val="96"/>
              </w:rPr>
              <w:t>Date</w:t>
            </w:r>
          </w:p>
        </w:tc>
        <w:tc>
          <w:tcPr>
            <w:tcW w:w="0" w:type="dxa"/>
            <w:vAlign w:val="bottom"/>
          </w:tcPr>
          <w:p>
            <w:pPr>
              <w:spacing w:after="0"/>
              <w:rPr>
                <w:sz w:val="1"/>
                <w:szCs w:val="1"/>
                <w:color w:val="auto"/>
              </w:rPr>
            </w:pPr>
          </w:p>
        </w:tc>
      </w:tr>
      <w:tr>
        <w:trPr>
          <w:trHeight w:val="176"/>
        </w:trPr>
        <w:tc>
          <w:tcPr>
            <w:tcW w:w="1360" w:type="dxa"/>
            <w:vAlign w:val="bottom"/>
            <w:tcBorders>
              <w:left w:val="single" w:sz="8" w:color="auto"/>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center"/>
              <w:ind w:right="68"/>
              <w:spacing w:after="0"/>
              <w:rPr>
                <w:sz w:val="20"/>
                <w:szCs w:val="20"/>
                <w:color w:val="auto"/>
              </w:rPr>
            </w:pPr>
            <w:r>
              <w:rPr>
                <w:rFonts w:ascii="Calibri" w:cs="Calibri" w:eastAsia="Calibri" w:hAnsi="Calibri"/>
                <w:sz w:val="14"/>
                <w:szCs w:val="14"/>
                <w:color w:val="auto"/>
              </w:rPr>
              <w:t>Awards (1)</w:t>
            </w:r>
          </w:p>
        </w:tc>
        <w:tc>
          <w:tcPr>
            <w:tcW w:w="26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880" w:type="dxa"/>
            <w:vAlign w:val="bottom"/>
          </w:tcPr>
          <w:p>
            <w:pPr>
              <w:spacing w:after="0"/>
              <w:rPr>
                <w:sz w:val="15"/>
                <w:szCs w:val="15"/>
                <w:color w:val="auto"/>
              </w:rPr>
            </w:pPr>
          </w:p>
        </w:tc>
        <w:tc>
          <w:tcPr>
            <w:tcW w:w="1040" w:type="dxa"/>
            <w:vAlign w:val="bottom"/>
          </w:tcPr>
          <w:p>
            <w:pPr>
              <w:jc w:val="center"/>
              <w:ind w:right="188"/>
              <w:spacing w:after="0"/>
              <w:rPr>
                <w:sz w:val="20"/>
                <w:szCs w:val="20"/>
                <w:color w:val="auto"/>
              </w:rPr>
            </w:pPr>
            <w:r>
              <w:rPr>
                <w:rFonts w:ascii="Calibri" w:cs="Calibri" w:eastAsia="Calibri" w:hAnsi="Calibri"/>
                <w:sz w:val="14"/>
                <w:szCs w:val="14"/>
                <w:color w:val="auto"/>
              </w:rPr>
              <w:t>Awards (2)</w:t>
            </w:r>
          </w:p>
        </w:tc>
        <w:tc>
          <w:tcPr>
            <w:tcW w:w="76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jc w:val="center"/>
              <w:ind w:right="48"/>
              <w:spacing w:after="0"/>
              <w:rPr>
                <w:sz w:val="20"/>
                <w:szCs w:val="20"/>
                <w:color w:val="auto"/>
              </w:rPr>
            </w:pPr>
            <w:r>
              <w:rPr>
                <w:rFonts w:ascii="Calibri" w:cs="Calibri" w:eastAsia="Calibri" w:hAnsi="Calibri"/>
                <w:sz w:val="14"/>
                <w:szCs w:val="14"/>
                <w:color w:val="auto"/>
                <w:w w:val="97"/>
              </w:rPr>
              <w:t>Stock</w:t>
            </w:r>
          </w:p>
        </w:tc>
        <w:tc>
          <w:tcPr>
            <w:tcW w:w="76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w w:val="99"/>
              </w:rPr>
              <w:t>Awards:</w:t>
            </w:r>
          </w:p>
        </w:tc>
        <w:tc>
          <w:tcPr>
            <w:tcW w:w="780" w:type="dxa"/>
            <w:vAlign w:val="bottom"/>
          </w:tcPr>
          <w:p>
            <w:pPr>
              <w:jc w:val="center"/>
              <w:ind w:left="188"/>
              <w:spacing w:after="0"/>
              <w:rPr>
                <w:sz w:val="20"/>
                <w:szCs w:val="20"/>
                <w:color w:val="auto"/>
              </w:rPr>
            </w:pPr>
            <w:r>
              <w:rPr>
                <w:rFonts w:ascii="Calibri" w:cs="Calibri" w:eastAsia="Calibri" w:hAnsi="Calibri"/>
                <w:sz w:val="14"/>
                <w:szCs w:val="14"/>
                <w:color w:val="auto"/>
              </w:rPr>
              <w:t>Price of</w:t>
            </w:r>
          </w:p>
        </w:tc>
        <w:tc>
          <w:tcPr>
            <w:tcW w:w="300" w:type="dxa"/>
            <w:vAlign w:val="bottom"/>
            <w:tcBorders>
              <w:right w:val="single" w:sz="8" w:color="auto"/>
            </w:tcBorders>
          </w:tcPr>
          <w:p>
            <w:pPr>
              <w:spacing w:after="0"/>
              <w:rPr>
                <w:sz w:val="15"/>
                <w:szCs w:val="15"/>
                <w:color w:val="auto"/>
              </w:rPr>
            </w:pPr>
          </w:p>
        </w:tc>
        <w:tc>
          <w:tcPr>
            <w:tcW w:w="740" w:type="dxa"/>
            <w:vAlign w:val="bottom"/>
            <w:tcBorders>
              <w:right w:val="single" w:sz="8" w:color="auto"/>
            </w:tcBorders>
            <w:gridSpan w:val="2"/>
          </w:tcPr>
          <w:p>
            <w:pPr>
              <w:jc w:val="center"/>
              <w:ind w:right="48"/>
              <w:spacing w:after="0"/>
              <w:rPr>
                <w:sz w:val="20"/>
                <w:szCs w:val="20"/>
                <w:color w:val="auto"/>
              </w:rPr>
            </w:pPr>
            <w:r>
              <w:rPr>
                <w:rFonts w:ascii="Calibri" w:cs="Calibri" w:eastAsia="Calibri" w:hAnsi="Calibri"/>
                <w:sz w:val="14"/>
                <w:szCs w:val="14"/>
                <w:color w:val="auto"/>
              </w:rPr>
              <w:t>Fair Value</w:t>
            </w:r>
          </w:p>
        </w:tc>
        <w:tc>
          <w:tcPr>
            <w:tcW w:w="0" w:type="dxa"/>
            <w:vAlign w:val="bottom"/>
          </w:tcPr>
          <w:p>
            <w:pPr>
              <w:spacing w:after="0"/>
              <w:rPr>
                <w:sz w:val="1"/>
                <w:szCs w:val="1"/>
                <w:color w:val="auto"/>
              </w:rPr>
            </w:pPr>
          </w:p>
        </w:tc>
      </w:tr>
      <w:tr>
        <w:trPr>
          <w:trHeight w:val="176"/>
        </w:trPr>
        <w:tc>
          <w:tcPr>
            <w:tcW w:w="1360" w:type="dxa"/>
            <w:vAlign w:val="bottom"/>
            <w:tcBorders>
              <w:left w:val="single" w:sz="8" w:color="auto"/>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8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jc w:val="center"/>
              <w:ind w:right="48"/>
              <w:spacing w:after="0"/>
              <w:rPr>
                <w:sz w:val="20"/>
                <w:szCs w:val="20"/>
                <w:color w:val="auto"/>
              </w:rPr>
            </w:pPr>
            <w:r>
              <w:rPr>
                <w:rFonts w:ascii="Calibri" w:cs="Calibri" w:eastAsia="Calibri" w:hAnsi="Calibri"/>
                <w:sz w:val="14"/>
                <w:szCs w:val="14"/>
                <w:color w:val="auto"/>
                <w:w w:val="99"/>
              </w:rPr>
              <w:t>Awards:</w:t>
            </w:r>
          </w:p>
        </w:tc>
        <w:tc>
          <w:tcPr>
            <w:tcW w:w="76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rPr>
              <w:t>Number of</w:t>
            </w:r>
          </w:p>
        </w:tc>
        <w:tc>
          <w:tcPr>
            <w:tcW w:w="780" w:type="dxa"/>
            <w:vAlign w:val="bottom"/>
          </w:tcPr>
          <w:p>
            <w:pPr>
              <w:jc w:val="center"/>
              <w:ind w:left="188"/>
              <w:spacing w:after="0"/>
              <w:rPr>
                <w:sz w:val="20"/>
                <w:szCs w:val="20"/>
                <w:color w:val="auto"/>
              </w:rPr>
            </w:pPr>
            <w:r>
              <w:rPr>
                <w:rFonts w:ascii="Calibri" w:cs="Calibri" w:eastAsia="Calibri" w:hAnsi="Calibri"/>
                <w:sz w:val="14"/>
                <w:szCs w:val="14"/>
                <w:color w:val="auto"/>
              </w:rPr>
              <w:t>Opton</w:t>
            </w:r>
          </w:p>
        </w:tc>
        <w:tc>
          <w:tcPr>
            <w:tcW w:w="3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Borders>
              <w:right w:val="single" w:sz="8" w:color="auto"/>
            </w:tcBorders>
          </w:tcPr>
          <w:p>
            <w:pPr>
              <w:jc w:val="center"/>
              <w:ind w:right="128"/>
              <w:spacing w:after="0"/>
              <w:rPr>
                <w:sz w:val="20"/>
                <w:szCs w:val="20"/>
                <w:color w:val="auto"/>
              </w:rPr>
            </w:pPr>
            <w:r>
              <w:rPr>
                <w:rFonts w:ascii="Calibri" w:cs="Calibri" w:eastAsia="Calibri" w:hAnsi="Calibri"/>
                <w:sz w:val="14"/>
                <w:szCs w:val="14"/>
                <w:color w:val="auto"/>
              </w:rPr>
              <w:t>of Stock</w:t>
            </w:r>
          </w:p>
        </w:tc>
        <w:tc>
          <w:tcPr>
            <w:tcW w:w="0" w:type="dxa"/>
            <w:vAlign w:val="bottom"/>
          </w:tcPr>
          <w:p>
            <w:pPr>
              <w:spacing w:after="0"/>
              <w:rPr>
                <w:sz w:val="1"/>
                <w:szCs w:val="1"/>
                <w:color w:val="auto"/>
              </w:rPr>
            </w:pPr>
          </w:p>
        </w:tc>
      </w:tr>
      <w:tr>
        <w:trPr>
          <w:trHeight w:val="175"/>
        </w:trPr>
        <w:tc>
          <w:tcPr>
            <w:tcW w:w="1360" w:type="dxa"/>
            <w:vAlign w:val="bottom"/>
            <w:tcBorders>
              <w:left w:val="single" w:sz="8" w:color="auto"/>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8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jc w:val="center"/>
              <w:ind w:right="68"/>
              <w:spacing w:after="0"/>
              <w:rPr>
                <w:sz w:val="20"/>
                <w:szCs w:val="20"/>
                <w:color w:val="auto"/>
              </w:rPr>
            </w:pPr>
            <w:r>
              <w:rPr>
                <w:rFonts w:ascii="Calibri" w:cs="Calibri" w:eastAsia="Calibri" w:hAnsi="Calibri"/>
                <w:sz w:val="14"/>
                <w:szCs w:val="14"/>
                <w:color w:val="auto"/>
              </w:rPr>
              <w:t>Number</w:t>
            </w:r>
          </w:p>
        </w:tc>
        <w:tc>
          <w:tcPr>
            <w:tcW w:w="76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rPr>
              <w:t>Securites</w:t>
            </w:r>
          </w:p>
        </w:tc>
        <w:tc>
          <w:tcPr>
            <w:tcW w:w="780" w:type="dxa"/>
            <w:vAlign w:val="bottom"/>
          </w:tcPr>
          <w:p>
            <w:pPr>
              <w:jc w:val="center"/>
              <w:ind w:left="188"/>
              <w:spacing w:after="0"/>
              <w:rPr>
                <w:sz w:val="20"/>
                <w:szCs w:val="20"/>
                <w:color w:val="auto"/>
              </w:rPr>
            </w:pPr>
            <w:r>
              <w:rPr>
                <w:rFonts w:ascii="Calibri" w:cs="Calibri" w:eastAsia="Calibri" w:hAnsi="Calibri"/>
                <w:sz w:val="14"/>
                <w:szCs w:val="14"/>
                <w:color w:val="auto"/>
              </w:rPr>
              <w:t>Awards</w:t>
            </w:r>
          </w:p>
        </w:tc>
        <w:tc>
          <w:tcPr>
            <w:tcW w:w="3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Borders>
              <w:right w:val="single" w:sz="8" w:color="auto"/>
            </w:tcBorders>
          </w:tcPr>
          <w:p>
            <w:pPr>
              <w:jc w:val="center"/>
              <w:ind w:right="168"/>
              <w:spacing w:after="0"/>
              <w:rPr>
                <w:sz w:val="20"/>
                <w:szCs w:val="20"/>
                <w:color w:val="auto"/>
              </w:rPr>
            </w:pPr>
            <w:r>
              <w:rPr>
                <w:rFonts w:ascii="Calibri" w:cs="Calibri" w:eastAsia="Calibri" w:hAnsi="Calibri"/>
                <w:sz w:val="14"/>
                <w:szCs w:val="14"/>
                <w:color w:val="auto"/>
              </w:rPr>
              <w:t>and</w:t>
            </w:r>
          </w:p>
        </w:tc>
        <w:tc>
          <w:tcPr>
            <w:tcW w:w="0" w:type="dxa"/>
            <w:vAlign w:val="bottom"/>
          </w:tcPr>
          <w:p>
            <w:pPr>
              <w:spacing w:after="0"/>
              <w:rPr>
                <w:sz w:val="1"/>
                <w:szCs w:val="1"/>
                <w:color w:val="auto"/>
              </w:rPr>
            </w:pPr>
          </w:p>
        </w:tc>
      </w:tr>
      <w:tr>
        <w:trPr>
          <w:trHeight w:val="176"/>
        </w:trPr>
        <w:tc>
          <w:tcPr>
            <w:tcW w:w="1360" w:type="dxa"/>
            <w:vAlign w:val="bottom"/>
            <w:tcBorders>
              <w:left w:val="single" w:sz="8" w:color="auto"/>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8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jc w:val="center"/>
              <w:ind w:right="68"/>
              <w:spacing w:after="0"/>
              <w:rPr>
                <w:sz w:val="20"/>
                <w:szCs w:val="20"/>
                <w:color w:val="auto"/>
              </w:rPr>
            </w:pPr>
            <w:r>
              <w:rPr>
                <w:rFonts w:ascii="Calibri" w:cs="Calibri" w:eastAsia="Calibri" w:hAnsi="Calibri"/>
                <w:sz w:val="14"/>
                <w:szCs w:val="14"/>
                <w:color w:val="auto"/>
              </w:rPr>
              <w:t>of</w:t>
            </w:r>
          </w:p>
        </w:tc>
        <w:tc>
          <w:tcPr>
            <w:tcW w:w="76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rPr>
              <w:t>Underlying</w:t>
            </w:r>
          </w:p>
        </w:tc>
        <w:tc>
          <w:tcPr>
            <w:tcW w:w="780" w:type="dxa"/>
            <w:vAlign w:val="bottom"/>
          </w:tcPr>
          <w:p>
            <w:pPr>
              <w:jc w:val="center"/>
              <w:ind w:left="188"/>
              <w:spacing w:after="0"/>
              <w:rPr>
                <w:sz w:val="20"/>
                <w:szCs w:val="20"/>
                <w:color w:val="auto"/>
              </w:rPr>
            </w:pPr>
            <w:r>
              <w:rPr>
                <w:rFonts w:ascii="Calibri" w:cs="Calibri" w:eastAsia="Calibri" w:hAnsi="Calibri"/>
                <w:sz w:val="14"/>
                <w:szCs w:val="14"/>
                <w:color w:val="auto"/>
              </w:rPr>
              <w:t>($/Sh)</w:t>
            </w:r>
          </w:p>
        </w:tc>
        <w:tc>
          <w:tcPr>
            <w:tcW w:w="3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Borders>
              <w:right w:val="single" w:sz="8" w:color="auto"/>
            </w:tcBorders>
          </w:tcPr>
          <w:p>
            <w:pPr>
              <w:jc w:val="center"/>
              <w:ind w:right="148"/>
              <w:spacing w:after="0"/>
              <w:rPr>
                <w:sz w:val="20"/>
                <w:szCs w:val="20"/>
                <w:color w:val="auto"/>
              </w:rPr>
            </w:pPr>
            <w:r>
              <w:rPr>
                <w:rFonts w:ascii="Calibri" w:cs="Calibri" w:eastAsia="Calibri" w:hAnsi="Calibri"/>
                <w:sz w:val="14"/>
                <w:szCs w:val="14"/>
                <w:color w:val="auto"/>
              </w:rPr>
              <w:t>Opton</w:t>
            </w:r>
          </w:p>
        </w:tc>
        <w:tc>
          <w:tcPr>
            <w:tcW w:w="0" w:type="dxa"/>
            <w:vAlign w:val="bottom"/>
          </w:tcPr>
          <w:p>
            <w:pPr>
              <w:spacing w:after="0"/>
              <w:rPr>
                <w:sz w:val="1"/>
                <w:szCs w:val="1"/>
                <w:color w:val="auto"/>
              </w:rPr>
            </w:pPr>
          </w:p>
        </w:tc>
      </w:tr>
      <w:tr>
        <w:trPr>
          <w:trHeight w:val="175"/>
        </w:trPr>
        <w:tc>
          <w:tcPr>
            <w:tcW w:w="1360" w:type="dxa"/>
            <w:vAlign w:val="bottom"/>
            <w:tcBorders>
              <w:left w:val="single" w:sz="8" w:color="auto"/>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8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jc w:val="center"/>
              <w:ind w:right="48"/>
              <w:spacing w:after="0"/>
              <w:rPr>
                <w:sz w:val="20"/>
                <w:szCs w:val="20"/>
                <w:color w:val="auto"/>
              </w:rPr>
            </w:pPr>
            <w:r>
              <w:rPr>
                <w:rFonts w:ascii="Calibri" w:cs="Calibri" w:eastAsia="Calibri" w:hAnsi="Calibri"/>
                <w:sz w:val="14"/>
                <w:szCs w:val="14"/>
                <w:color w:val="auto"/>
              </w:rPr>
              <w:t>Shares</w:t>
            </w:r>
          </w:p>
        </w:tc>
        <w:tc>
          <w:tcPr>
            <w:tcW w:w="76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rPr>
              <w:t>Optons</w:t>
            </w:r>
          </w:p>
        </w:tc>
        <w:tc>
          <w:tcPr>
            <w:tcW w:w="78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Borders>
              <w:right w:val="single" w:sz="8" w:color="auto"/>
            </w:tcBorders>
          </w:tcPr>
          <w:p>
            <w:pPr>
              <w:jc w:val="center"/>
              <w:ind w:right="128"/>
              <w:spacing w:after="0"/>
              <w:rPr>
                <w:sz w:val="20"/>
                <w:szCs w:val="20"/>
                <w:color w:val="auto"/>
              </w:rPr>
            </w:pPr>
            <w:r>
              <w:rPr>
                <w:rFonts w:ascii="Calibri" w:cs="Calibri" w:eastAsia="Calibri" w:hAnsi="Calibri"/>
                <w:sz w:val="14"/>
                <w:szCs w:val="14"/>
                <w:color w:val="auto"/>
                <w:w w:val="98"/>
              </w:rPr>
              <w:t>Awards</w:t>
            </w:r>
          </w:p>
        </w:tc>
        <w:tc>
          <w:tcPr>
            <w:tcW w:w="0" w:type="dxa"/>
            <w:vAlign w:val="bottom"/>
          </w:tcPr>
          <w:p>
            <w:pPr>
              <w:spacing w:after="0"/>
              <w:rPr>
                <w:sz w:val="1"/>
                <w:szCs w:val="1"/>
                <w:color w:val="auto"/>
              </w:rPr>
            </w:pPr>
          </w:p>
        </w:tc>
      </w:tr>
      <w:tr>
        <w:trPr>
          <w:trHeight w:val="176"/>
        </w:trPr>
        <w:tc>
          <w:tcPr>
            <w:tcW w:w="1360" w:type="dxa"/>
            <w:vAlign w:val="bottom"/>
            <w:tcBorders>
              <w:left w:val="single" w:sz="8" w:color="auto"/>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8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jc w:val="center"/>
              <w:ind w:right="48"/>
              <w:spacing w:after="0"/>
              <w:rPr>
                <w:sz w:val="20"/>
                <w:szCs w:val="20"/>
                <w:color w:val="auto"/>
              </w:rPr>
            </w:pPr>
            <w:r>
              <w:rPr>
                <w:rFonts w:ascii="Calibri" w:cs="Calibri" w:eastAsia="Calibri" w:hAnsi="Calibri"/>
                <w:sz w:val="14"/>
                <w:szCs w:val="14"/>
                <w:color w:val="auto"/>
              </w:rPr>
              <w:t>of Stock</w:t>
            </w:r>
          </w:p>
        </w:tc>
        <w:tc>
          <w:tcPr>
            <w:tcW w:w="76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rPr>
              <w:t>(#)</w:t>
            </w:r>
          </w:p>
        </w:tc>
        <w:tc>
          <w:tcPr>
            <w:tcW w:w="78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Borders>
              <w:right w:val="single" w:sz="8" w:color="auto"/>
            </w:tcBorders>
          </w:tcPr>
          <w:p>
            <w:pPr>
              <w:jc w:val="center"/>
              <w:ind w:right="148"/>
              <w:spacing w:after="0"/>
              <w:rPr>
                <w:sz w:val="20"/>
                <w:szCs w:val="20"/>
                <w:color w:val="auto"/>
              </w:rPr>
            </w:pPr>
            <w:r>
              <w:rPr>
                <w:rFonts w:ascii="Calibri" w:cs="Calibri" w:eastAsia="Calibri" w:hAnsi="Calibri"/>
                <w:sz w:val="14"/>
                <w:szCs w:val="14"/>
                <w:color w:val="auto"/>
              </w:rPr>
              <w:t>($)(4)</w:t>
            </w:r>
          </w:p>
        </w:tc>
        <w:tc>
          <w:tcPr>
            <w:tcW w:w="0" w:type="dxa"/>
            <w:vAlign w:val="bottom"/>
          </w:tcPr>
          <w:p>
            <w:pPr>
              <w:spacing w:after="0"/>
              <w:rPr>
                <w:sz w:val="1"/>
                <w:szCs w:val="1"/>
                <w:color w:val="auto"/>
              </w:rPr>
            </w:pPr>
          </w:p>
        </w:tc>
      </w:tr>
      <w:tr>
        <w:trPr>
          <w:trHeight w:val="175"/>
        </w:trPr>
        <w:tc>
          <w:tcPr>
            <w:tcW w:w="1360" w:type="dxa"/>
            <w:vAlign w:val="bottom"/>
            <w:tcBorders>
              <w:left w:val="single" w:sz="8" w:color="auto"/>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8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jc w:val="center"/>
              <w:ind w:right="48"/>
              <w:spacing w:after="0"/>
              <w:rPr>
                <w:sz w:val="20"/>
                <w:szCs w:val="20"/>
                <w:color w:val="auto"/>
              </w:rPr>
            </w:pPr>
            <w:r>
              <w:rPr>
                <w:rFonts w:ascii="Calibri" w:cs="Calibri" w:eastAsia="Calibri" w:hAnsi="Calibri"/>
                <w:sz w:val="14"/>
                <w:szCs w:val="14"/>
                <w:color w:val="auto"/>
              </w:rPr>
              <w:t>or Units</w:t>
            </w:r>
          </w:p>
        </w:tc>
        <w:tc>
          <w:tcPr>
            <w:tcW w:w="760" w:type="dxa"/>
            <w:vAlign w:val="bottom"/>
            <w:tcBorders>
              <w:right w:val="single" w:sz="8" w:color="auto"/>
            </w:tcBorders>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60" w:type="dxa"/>
            <w:vAlign w:val="bottom"/>
            <w:tcBorders>
              <w:left w:val="single" w:sz="8" w:color="auto"/>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8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jc w:val="center"/>
              <w:ind w:right="68"/>
              <w:spacing w:after="0"/>
              <w:rPr>
                <w:sz w:val="20"/>
                <w:szCs w:val="20"/>
                <w:color w:val="auto"/>
              </w:rPr>
            </w:pPr>
            <w:r>
              <w:rPr>
                <w:rFonts w:ascii="Calibri" w:cs="Calibri" w:eastAsia="Calibri" w:hAnsi="Calibri"/>
                <w:sz w:val="14"/>
                <w:szCs w:val="14"/>
                <w:color w:val="auto"/>
              </w:rPr>
              <w:t>(#)(3)</w:t>
            </w:r>
          </w:p>
        </w:tc>
        <w:tc>
          <w:tcPr>
            <w:tcW w:w="760" w:type="dxa"/>
            <w:vAlign w:val="bottom"/>
            <w:tcBorders>
              <w:right w:val="single" w:sz="8" w:color="auto"/>
            </w:tcBorders>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0"/>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20" w:type="dxa"/>
            <w:vAlign w:val="bottom"/>
            <w:tcBorders>
              <w:bottom w:val="single" w:sz="8" w:color="auto"/>
              <w:right w:val="single" w:sz="8" w:color="auto"/>
            </w:tcBorders>
            <w:gridSpan w:val="2"/>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1360" w:type="dxa"/>
            <w:vAlign w:val="bottom"/>
            <w:tcBorders>
              <w:left w:val="single" w:sz="8" w:color="auto"/>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gridSpan w:val="2"/>
          </w:tcPr>
          <w:p>
            <w:pPr>
              <w:ind w:left="80"/>
              <w:spacing w:after="0" w:line="146" w:lineRule="exact"/>
              <w:rPr>
                <w:sz w:val="20"/>
                <w:szCs w:val="20"/>
                <w:color w:val="auto"/>
              </w:rPr>
            </w:pPr>
            <w:r>
              <w:rPr>
                <w:rFonts w:ascii="Calibri" w:cs="Calibri" w:eastAsia="Calibri" w:hAnsi="Calibri"/>
                <w:sz w:val="14"/>
                <w:szCs w:val="14"/>
                <w:color w:val="auto"/>
              </w:rPr>
              <w:t>Threshold</w:t>
            </w:r>
          </w:p>
        </w:tc>
        <w:tc>
          <w:tcPr>
            <w:tcW w:w="160" w:type="dxa"/>
            <w:vAlign w:val="bottom"/>
          </w:tcPr>
          <w:p>
            <w:pPr>
              <w:spacing w:after="0"/>
              <w:rPr>
                <w:sz w:val="12"/>
                <w:szCs w:val="12"/>
                <w:color w:val="auto"/>
              </w:rPr>
            </w:pPr>
          </w:p>
        </w:tc>
        <w:tc>
          <w:tcPr>
            <w:tcW w:w="920" w:type="dxa"/>
            <w:vAlign w:val="bottom"/>
            <w:tcBorders>
              <w:right w:val="single" w:sz="8" w:color="auto"/>
            </w:tcBorders>
          </w:tcPr>
          <w:p>
            <w:pPr>
              <w:jc w:val="right"/>
              <w:ind w:right="348"/>
              <w:spacing w:after="0" w:line="146" w:lineRule="exact"/>
              <w:rPr>
                <w:sz w:val="20"/>
                <w:szCs w:val="20"/>
                <w:color w:val="auto"/>
              </w:rPr>
            </w:pPr>
            <w:r>
              <w:rPr>
                <w:rFonts w:ascii="Calibri" w:cs="Calibri" w:eastAsia="Calibri" w:hAnsi="Calibri"/>
                <w:sz w:val="14"/>
                <w:szCs w:val="14"/>
                <w:color w:val="auto"/>
              </w:rPr>
              <w:t>Target</w:t>
            </w:r>
          </w:p>
        </w:tc>
        <w:tc>
          <w:tcPr>
            <w:tcW w:w="1020" w:type="dxa"/>
            <w:vAlign w:val="bottom"/>
            <w:tcBorders>
              <w:right w:val="single" w:sz="8" w:color="auto"/>
            </w:tcBorders>
            <w:gridSpan w:val="2"/>
          </w:tcPr>
          <w:p>
            <w:pPr>
              <w:jc w:val="right"/>
              <w:ind w:right="208"/>
              <w:spacing w:after="0" w:line="146" w:lineRule="exact"/>
              <w:rPr>
                <w:sz w:val="20"/>
                <w:szCs w:val="20"/>
                <w:color w:val="auto"/>
              </w:rPr>
            </w:pPr>
            <w:r>
              <w:rPr>
                <w:rFonts w:ascii="Calibri" w:cs="Calibri" w:eastAsia="Calibri" w:hAnsi="Calibri"/>
                <w:sz w:val="14"/>
                <w:szCs w:val="14"/>
                <w:color w:val="auto"/>
              </w:rPr>
              <w:t>Maximum</w:t>
            </w:r>
          </w:p>
        </w:tc>
        <w:tc>
          <w:tcPr>
            <w:tcW w:w="880" w:type="dxa"/>
            <w:vAlign w:val="bottom"/>
            <w:tcBorders>
              <w:right w:val="single" w:sz="8" w:color="auto"/>
            </w:tcBorders>
          </w:tcPr>
          <w:p>
            <w:pPr>
              <w:jc w:val="center"/>
              <w:ind w:right="28"/>
              <w:spacing w:after="0" w:line="146" w:lineRule="exact"/>
              <w:rPr>
                <w:sz w:val="20"/>
                <w:szCs w:val="20"/>
                <w:color w:val="auto"/>
              </w:rPr>
            </w:pPr>
            <w:r>
              <w:rPr>
                <w:rFonts w:ascii="Calibri" w:cs="Calibri" w:eastAsia="Calibri" w:hAnsi="Calibri"/>
                <w:sz w:val="14"/>
                <w:szCs w:val="14"/>
                <w:color w:val="auto"/>
              </w:rPr>
              <w:t>Threshold</w:t>
            </w:r>
          </w:p>
        </w:tc>
        <w:tc>
          <w:tcPr>
            <w:tcW w:w="1040" w:type="dxa"/>
            <w:vAlign w:val="bottom"/>
            <w:tcBorders>
              <w:right w:val="single" w:sz="8" w:color="auto"/>
            </w:tcBorders>
          </w:tcPr>
          <w:p>
            <w:pPr>
              <w:jc w:val="right"/>
              <w:ind w:right="328"/>
              <w:spacing w:after="0" w:line="146" w:lineRule="exact"/>
              <w:rPr>
                <w:sz w:val="20"/>
                <w:szCs w:val="20"/>
                <w:color w:val="auto"/>
              </w:rPr>
            </w:pPr>
            <w:r>
              <w:rPr>
                <w:rFonts w:ascii="Calibri" w:cs="Calibri" w:eastAsia="Calibri" w:hAnsi="Calibri"/>
                <w:sz w:val="14"/>
                <w:szCs w:val="14"/>
                <w:color w:val="auto"/>
              </w:rPr>
              <w:t>Target</w:t>
            </w:r>
          </w:p>
        </w:tc>
        <w:tc>
          <w:tcPr>
            <w:tcW w:w="760" w:type="dxa"/>
            <w:vAlign w:val="bottom"/>
            <w:tcBorders>
              <w:right w:val="single" w:sz="8" w:color="auto"/>
            </w:tcBorders>
          </w:tcPr>
          <w:p>
            <w:pPr>
              <w:jc w:val="right"/>
              <w:ind w:right="88"/>
              <w:spacing w:after="0" w:line="146" w:lineRule="exact"/>
              <w:rPr>
                <w:sz w:val="20"/>
                <w:szCs w:val="20"/>
                <w:color w:val="auto"/>
              </w:rPr>
            </w:pPr>
            <w:r>
              <w:rPr>
                <w:rFonts w:ascii="Calibri" w:cs="Calibri" w:eastAsia="Calibri" w:hAnsi="Calibri"/>
                <w:sz w:val="14"/>
                <w:szCs w:val="14"/>
                <w:color w:val="auto"/>
              </w:rPr>
              <w:t>Maximum</w:t>
            </w:r>
          </w:p>
        </w:tc>
        <w:tc>
          <w:tcPr>
            <w:tcW w:w="82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360" w:type="dxa"/>
            <w:vAlign w:val="bottom"/>
            <w:tcBorders>
              <w:left w:val="single" w:sz="8" w:color="auto"/>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4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40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Borders>
              <w:right w:val="single" w:sz="8" w:color="auto"/>
            </w:tcBorders>
          </w:tcPr>
          <w:p>
            <w:pPr>
              <w:jc w:val="right"/>
              <w:ind w:right="448"/>
              <w:spacing w:after="0"/>
              <w:rPr>
                <w:sz w:val="20"/>
                <w:szCs w:val="20"/>
                <w:color w:val="auto"/>
              </w:rPr>
            </w:pPr>
            <w:r>
              <w:rPr>
                <w:rFonts w:ascii="Calibri" w:cs="Calibri" w:eastAsia="Calibri" w:hAnsi="Calibri"/>
                <w:sz w:val="14"/>
                <w:szCs w:val="14"/>
                <w:color w:val="auto"/>
              </w:rPr>
              <w:t>($)</w:t>
            </w:r>
          </w:p>
        </w:tc>
        <w:tc>
          <w:tcPr>
            <w:tcW w:w="260" w:type="dxa"/>
            <w:vAlign w:val="bottom"/>
          </w:tcPr>
          <w:p>
            <w:pPr>
              <w:spacing w:after="0"/>
              <w:rPr>
                <w:sz w:val="15"/>
                <w:szCs w:val="15"/>
                <w:color w:val="auto"/>
              </w:rPr>
            </w:pPr>
          </w:p>
        </w:tc>
        <w:tc>
          <w:tcPr>
            <w:tcW w:w="760" w:type="dxa"/>
            <w:vAlign w:val="bottom"/>
            <w:tcBorders>
              <w:right w:val="single" w:sz="8" w:color="auto"/>
            </w:tcBorders>
          </w:tcPr>
          <w:p>
            <w:pPr>
              <w:jc w:val="right"/>
              <w:ind w:right="428"/>
              <w:spacing w:after="0"/>
              <w:rPr>
                <w:sz w:val="20"/>
                <w:szCs w:val="20"/>
                <w:color w:val="auto"/>
              </w:rPr>
            </w:pPr>
            <w:r>
              <w:rPr>
                <w:rFonts w:ascii="Calibri" w:cs="Calibri" w:eastAsia="Calibri" w:hAnsi="Calibri"/>
                <w:sz w:val="14"/>
                <w:szCs w:val="14"/>
                <w:color w:val="auto"/>
              </w:rPr>
              <w:t>($)</w:t>
            </w:r>
          </w:p>
        </w:tc>
        <w:tc>
          <w:tcPr>
            <w:tcW w:w="880" w:type="dxa"/>
            <w:vAlign w:val="bottom"/>
            <w:tcBorders>
              <w:right w:val="single" w:sz="8" w:color="auto"/>
            </w:tcBorders>
          </w:tcPr>
          <w:p>
            <w:pPr>
              <w:jc w:val="center"/>
              <w:ind w:right="48"/>
              <w:spacing w:after="0"/>
              <w:rPr>
                <w:sz w:val="20"/>
                <w:szCs w:val="20"/>
                <w:color w:val="auto"/>
              </w:rPr>
            </w:pPr>
            <w:r>
              <w:rPr>
                <w:rFonts w:ascii="Calibri" w:cs="Calibri" w:eastAsia="Calibri" w:hAnsi="Calibri"/>
                <w:sz w:val="14"/>
                <w:szCs w:val="14"/>
                <w:color w:val="auto"/>
              </w:rPr>
              <w:t>(#)</w:t>
            </w:r>
          </w:p>
        </w:tc>
        <w:tc>
          <w:tcPr>
            <w:tcW w:w="1040" w:type="dxa"/>
            <w:vAlign w:val="bottom"/>
            <w:tcBorders>
              <w:right w:val="single" w:sz="8" w:color="auto"/>
            </w:tcBorders>
          </w:tcPr>
          <w:p>
            <w:pPr>
              <w:jc w:val="right"/>
              <w:ind w:right="428"/>
              <w:spacing w:after="0"/>
              <w:rPr>
                <w:sz w:val="20"/>
                <w:szCs w:val="20"/>
                <w:color w:val="auto"/>
              </w:rPr>
            </w:pPr>
            <w:r>
              <w:rPr>
                <w:rFonts w:ascii="Calibri" w:cs="Calibri" w:eastAsia="Calibri" w:hAnsi="Calibri"/>
                <w:sz w:val="14"/>
                <w:szCs w:val="14"/>
                <w:color w:val="auto"/>
              </w:rPr>
              <w:t>(#)</w:t>
            </w:r>
          </w:p>
        </w:tc>
        <w:tc>
          <w:tcPr>
            <w:tcW w:w="760" w:type="dxa"/>
            <w:vAlign w:val="bottom"/>
            <w:tcBorders>
              <w:right w:val="single" w:sz="8" w:color="auto"/>
            </w:tcBorders>
          </w:tcPr>
          <w:p>
            <w:pPr>
              <w:jc w:val="right"/>
              <w:ind w:right="288"/>
              <w:spacing w:after="0"/>
              <w:rPr>
                <w:sz w:val="20"/>
                <w:szCs w:val="20"/>
                <w:color w:val="auto"/>
              </w:rPr>
            </w:pPr>
            <w:r>
              <w:rPr>
                <w:rFonts w:ascii="Calibri" w:cs="Calibri" w:eastAsia="Calibri" w:hAnsi="Calibri"/>
                <w:sz w:val="14"/>
                <w:szCs w:val="14"/>
                <w:color w:val="auto"/>
              </w:rPr>
              <w:t>(#)</w:t>
            </w:r>
          </w:p>
        </w:tc>
        <w:tc>
          <w:tcPr>
            <w:tcW w:w="82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360" w:type="dxa"/>
            <w:vAlign w:val="bottom"/>
            <w:tcBorders>
              <w:left w:val="single" w:sz="8" w:color="auto"/>
              <w:right w:val="single" w:sz="8" w:color="auto"/>
            </w:tcBorders>
          </w:tcPr>
          <w:p>
            <w:pPr>
              <w:ind w:left="600"/>
              <w:spacing w:after="0"/>
              <w:rPr>
                <w:sz w:val="20"/>
                <w:szCs w:val="20"/>
                <w:color w:val="auto"/>
              </w:rPr>
            </w:pPr>
            <w:r>
              <w:rPr>
                <w:rFonts w:ascii="Calibri" w:cs="Calibri" w:eastAsia="Calibri" w:hAnsi="Calibri"/>
                <w:sz w:val="14"/>
                <w:szCs w:val="14"/>
                <w:color w:val="auto"/>
              </w:rPr>
              <w:t>(a)</w:t>
            </w:r>
          </w:p>
        </w:tc>
        <w:tc>
          <w:tcPr>
            <w:tcW w:w="84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rPr>
              <w:t>(b)</w:t>
            </w:r>
          </w:p>
        </w:tc>
        <w:tc>
          <w:tcPr>
            <w:tcW w:w="460" w:type="dxa"/>
            <w:vAlign w:val="bottom"/>
          </w:tcPr>
          <w:p>
            <w:pPr>
              <w:jc w:val="right"/>
              <w:spacing w:after="0"/>
              <w:rPr>
                <w:sz w:val="20"/>
                <w:szCs w:val="20"/>
                <w:color w:val="auto"/>
              </w:rPr>
            </w:pPr>
            <w:r>
              <w:rPr>
                <w:rFonts w:ascii="Calibri" w:cs="Calibri" w:eastAsia="Calibri" w:hAnsi="Calibri"/>
                <w:sz w:val="14"/>
                <w:szCs w:val="14"/>
                <w:color w:val="auto"/>
              </w:rPr>
              <w:t>(c)</w:t>
            </w:r>
          </w:p>
        </w:tc>
        <w:tc>
          <w:tcPr>
            <w:tcW w:w="4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Borders>
              <w:right w:val="single" w:sz="8" w:color="auto"/>
            </w:tcBorders>
          </w:tcPr>
          <w:p>
            <w:pPr>
              <w:jc w:val="right"/>
              <w:ind w:right="448"/>
              <w:spacing w:after="0"/>
              <w:rPr>
                <w:sz w:val="20"/>
                <w:szCs w:val="20"/>
                <w:color w:val="auto"/>
              </w:rPr>
            </w:pPr>
            <w:r>
              <w:rPr>
                <w:rFonts w:ascii="Calibri" w:cs="Calibri" w:eastAsia="Calibri" w:hAnsi="Calibri"/>
                <w:sz w:val="14"/>
                <w:szCs w:val="14"/>
                <w:color w:val="auto"/>
              </w:rPr>
              <w:t>(d)</w:t>
            </w:r>
          </w:p>
        </w:tc>
        <w:tc>
          <w:tcPr>
            <w:tcW w:w="260" w:type="dxa"/>
            <w:vAlign w:val="bottom"/>
          </w:tcPr>
          <w:p>
            <w:pPr>
              <w:spacing w:after="0"/>
              <w:rPr>
                <w:sz w:val="17"/>
                <w:szCs w:val="17"/>
                <w:color w:val="auto"/>
              </w:rPr>
            </w:pPr>
          </w:p>
        </w:tc>
        <w:tc>
          <w:tcPr>
            <w:tcW w:w="760" w:type="dxa"/>
            <w:vAlign w:val="bottom"/>
            <w:tcBorders>
              <w:right w:val="single" w:sz="8" w:color="auto"/>
            </w:tcBorders>
          </w:tcPr>
          <w:p>
            <w:pPr>
              <w:jc w:val="right"/>
              <w:ind w:right="428"/>
              <w:spacing w:after="0"/>
              <w:rPr>
                <w:sz w:val="20"/>
                <w:szCs w:val="20"/>
                <w:color w:val="auto"/>
              </w:rPr>
            </w:pPr>
            <w:r>
              <w:rPr>
                <w:rFonts w:ascii="Calibri" w:cs="Calibri" w:eastAsia="Calibri" w:hAnsi="Calibri"/>
                <w:sz w:val="14"/>
                <w:szCs w:val="14"/>
                <w:color w:val="auto"/>
              </w:rPr>
              <w:t>(e)</w:t>
            </w:r>
          </w:p>
        </w:tc>
        <w:tc>
          <w:tcPr>
            <w:tcW w:w="880" w:type="dxa"/>
            <w:vAlign w:val="bottom"/>
            <w:tcBorders>
              <w:right w:val="single" w:sz="8" w:color="auto"/>
            </w:tcBorders>
          </w:tcPr>
          <w:p>
            <w:pPr>
              <w:jc w:val="center"/>
              <w:ind w:right="48"/>
              <w:spacing w:after="0"/>
              <w:rPr>
                <w:sz w:val="20"/>
                <w:szCs w:val="20"/>
                <w:color w:val="auto"/>
              </w:rPr>
            </w:pPr>
            <w:r>
              <w:rPr>
                <w:rFonts w:ascii="Calibri" w:cs="Calibri" w:eastAsia="Calibri" w:hAnsi="Calibri"/>
                <w:sz w:val="14"/>
                <w:szCs w:val="14"/>
                <w:color w:val="auto"/>
                <w:w w:val="93"/>
              </w:rPr>
              <w:t>(f)</w:t>
            </w:r>
          </w:p>
        </w:tc>
        <w:tc>
          <w:tcPr>
            <w:tcW w:w="1040" w:type="dxa"/>
            <w:vAlign w:val="bottom"/>
            <w:tcBorders>
              <w:right w:val="single" w:sz="8" w:color="auto"/>
            </w:tcBorders>
          </w:tcPr>
          <w:p>
            <w:pPr>
              <w:jc w:val="right"/>
              <w:ind w:right="428"/>
              <w:spacing w:after="0"/>
              <w:rPr>
                <w:sz w:val="20"/>
                <w:szCs w:val="20"/>
                <w:color w:val="auto"/>
              </w:rPr>
            </w:pPr>
            <w:r>
              <w:rPr>
                <w:rFonts w:ascii="Calibri" w:cs="Calibri" w:eastAsia="Calibri" w:hAnsi="Calibri"/>
                <w:sz w:val="14"/>
                <w:szCs w:val="14"/>
                <w:color w:val="auto"/>
              </w:rPr>
              <w:t>(g)</w:t>
            </w:r>
          </w:p>
        </w:tc>
        <w:tc>
          <w:tcPr>
            <w:tcW w:w="760" w:type="dxa"/>
            <w:vAlign w:val="bottom"/>
            <w:tcBorders>
              <w:right w:val="single" w:sz="8" w:color="auto"/>
            </w:tcBorders>
          </w:tcPr>
          <w:p>
            <w:pPr>
              <w:jc w:val="right"/>
              <w:ind w:right="288"/>
              <w:spacing w:after="0"/>
              <w:rPr>
                <w:sz w:val="20"/>
                <w:szCs w:val="20"/>
                <w:color w:val="auto"/>
              </w:rPr>
            </w:pPr>
            <w:r>
              <w:rPr>
                <w:rFonts w:ascii="Calibri" w:cs="Calibri" w:eastAsia="Calibri" w:hAnsi="Calibri"/>
                <w:sz w:val="14"/>
                <w:szCs w:val="14"/>
                <w:color w:val="auto"/>
              </w:rPr>
              <w:t>(h)</w:t>
            </w:r>
          </w:p>
        </w:tc>
        <w:tc>
          <w:tcPr>
            <w:tcW w:w="820" w:type="dxa"/>
            <w:vAlign w:val="bottom"/>
            <w:tcBorders>
              <w:right w:val="single" w:sz="8" w:color="auto"/>
            </w:tcBorders>
          </w:tcPr>
          <w:p>
            <w:pPr>
              <w:jc w:val="center"/>
              <w:ind w:right="68"/>
              <w:spacing w:after="0"/>
              <w:rPr>
                <w:sz w:val="20"/>
                <w:szCs w:val="20"/>
                <w:color w:val="auto"/>
              </w:rPr>
            </w:pPr>
            <w:r>
              <w:rPr>
                <w:rFonts w:ascii="Calibri" w:cs="Calibri" w:eastAsia="Calibri" w:hAnsi="Calibri"/>
                <w:sz w:val="14"/>
                <w:szCs w:val="14"/>
                <w:color w:val="auto"/>
              </w:rPr>
              <w:t>(i)</w:t>
            </w:r>
          </w:p>
        </w:tc>
        <w:tc>
          <w:tcPr>
            <w:tcW w:w="76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rPr>
              <w:t>(j)</w:t>
            </w:r>
          </w:p>
        </w:tc>
        <w:tc>
          <w:tcPr>
            <w:tcW w:w="780" w:type="dxa"/>
            <w:vAlign w:val="bottom"/>
          </w:tcPr>
          <w:p>
            <w:pPr>
              <w:jc w:val="center"/>
              <w:ind w:left="188"/>
              <w:spacing w:after="0"/>
              <w:rPr>
                <w:sz w:val="20"/>
                <w:szCs w:val="20"/>
                <w:color w:val="auto"/>
              </w:rPr>
            </w:pPr>
            <w:r>
              <w:rPr>
                <w:rFonts w:ascii="Calibri" w:cs="Calibri" w:eastAsia="Calibri" w:hAnsi="Calibri"/>
                <w:sz w:val="14"/>
                <w:szCs w:val="14"/>
                <w:color w:val="auto"/>
              </w:rPr>
              <w:t>(k)</w:t>
            </w:r>
          </w:p>
        </w:tc>
        <w:tc>
          <w:tcPr>
            <w:tcW w:w="3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Borders>
              <w:right w:val="single" w:sz="8" w:color="auto"/>
            </w:tcBorders>
          </w:tcPr>
          <w:p>
            <w:pPr>
              <w:jc w:val="center"/>
              <w:ind w:right="148"/>
              <w:spacing w:after="0"/>
              <w:rPr>
                <w:sz w:val="20"/>
                <w:szCs w:val="20"/>
                <w:color w:val="auto"/>
              </w:rPr>
            </w:pPr>
            <w:r>
              <w:rPr>
                <w:rFonts w:ascii="Calibri" w:cs="Calibri" w:eastAsia="Calibri" w:hAnsi="Calibri"/>
                <w:sz w:val="14"/>
                <w:szCs w:val="14"/>
                <w:color w:val="auto"/>
              </w:rPr>
              <w:t>(l)</w:t>
            </w:r>
          </w:p>
        </w:tc>
        <w:tc>
          <w:tcPr>
            <w:tcW w:w="0" w:type="dxa"/>
            <w:vAlign w:val="bottom"/>
          </w:tcPr>
          <w:p>
            <w:pPr>
              <w:spacing w:after="0"/>
              <w:rPr>
                <w:sz w:val="1"/>
                <w:szCs w:val="1"/>
                <w:color w:val="auto"/>
              </w:rPr>
            </w:pP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360" w:type="dxa"/>
            <w:vAlign w:val="bottom"/>
            <w:tcBorders>
              <w:left w:val="single" w:sz="8" w:color="auto"/>
              <w:bottom w:val="single" w:sz="8" w:color="E7E6E6"/>
              <w:right w:val="single" w:sz="8" w:color="auto"/>
            </w:tcBorders>
            <w:shd w:val="clear" w:color="auto" w:fill="E7E6E6"/>
          </w:tcPr>
          <w:p>
            <w:pPr>
              <w:ind w:left="40"/>
              <w:spacing w:after="0" w:line="164" w:lineRule="exact"/>
              <w:rPr>
                <w:sz w:val="20"/>
                <w:szCs w:val="20"/>
                <w:color w:val="auto"/>
              </w:rPr>
            </w:pPr>
            <w:r>
              <w:rPr>
                <w:rFonts w:ascii="Calibri" w:cs="Calibri" w:eastAsia="Calibri" w:hAnsi="Calibri"/>
                <w:sz w:val="14"/>
                <w:szCs w:val="14"/>
                <w:color w:val="auto"/>
              </w:rPr>
              <w:t>S. Trauschke</w:t>
            </w:r>
          </w:p>
        </w:tc>
        <w:tc>
          <w:tcPr>
            <w:tcW w:w="840" w:type="dxa"/>
            <w:vAlign w:val="bottom"/>
            <w:tcBorders>
              <w:bottom w:val="single" w:sz="8" w:color="E7E6E6"/>
              <w:right w:val="single" w:sz="8" w:color="auto"/>
            </w:tcBorders>
            <w:shd w:val="clear" w:color="auto" w:fill="E7E6E6"/>
          </w:tcPr>
          <w:p>
            <w:pPr>
              <w:spacing w:after="0"/>
              <w:rPr>
                <w:sz w:val="17"/>
                <w:szCs w:val="17"/>
                <w:color w:val="auto"/>
              </w:rPr>
            </w:pPr>
          </w:p>
        </w:tc>
        <w:tc>
          <w:tcPr>
            <w:tcW w:w="460" w:type="dxa"/>
            <w:vAlign w:val="bottom"/>
            <w:tcBorders>
              <w:bottom w:val="single" w:sz="8" w:color="E7E6E6"/>
            </w:tcBorders>
            <w:shd w:val="clear" w:color="auto" w:fill="E7E6E6"/>
          </w:tcPr>
          <w:p>
            <w:pPr>
              <w:jc w:val="right"/>
              <w:ind w:right="308"/>
              <w:spacing w:after="0" w:line="164" w:lineRule="exact"/>
              <w:rPr>
                <w:sz w:val="20"/>
                <w:szCs w:val="20"/>
                <w:color w:val="auto"/>
              </w:rPr>
            </w:pPr>
            <w:r>
              <w:rPr>
                <w:rFonts w:ascii="Calibri" w:cs="Calibri" w:eastAsia="Calibri" w:hAnsi="Calibri"/>
                <w:sz w:val="14"/>
                <w:szCs w:val="14"/>
                <w:color w:val="auto"/>
                <w:w w:val="83"/>
              </w:rPr>
              <w:t>$</w:t>
            </w:r>
          </w:p>
        </w:tc>
        <w:tc>
          <w:tcPr>
            <w:tcW w:w="400" w:type="dxa"/>
            <w:vAlign w:val="bottom"/>
            <w:tcBorders>
              <w:bottom w:val="single" w:sz="8" w:color="E7E6E6"/>
              <w:right w:val="single" w:sz="8" w:color="auto"/>
            </w:tcBorders>
            <w:shd w:val="clear" w:color="auto" w:fill="E7E6E6"/>
          </w:tcPr>
          <w:p>
            <w:pPr>
              <w:ind w:left="140"/>
              <w:spacing w:after="0" w:line="164" w:lineRule="exact"/>
              <w:rPr>
                <w:sz w:val="20"/>
                <w:szCs w:val="20"/>
                <w:color w:val="auto"/>
              </w:rPr>
            </w:pPr>
            <w:r>
              <w:rPr>
                <w:rFonts w:ascii="Calibri" w:cs="Calibri" w:eastAsia="Calibri" w:hAnsi="Calibri"/>
                <w:sz w:val="14"/>
                <w:szCs w:val="14"/>
                <w:color w:val="auto"/>
              </w:rPr>
              <w:t>—</w:t>
            </w:r>
          </w:p>
        </w:tc>
        <w:tc>
          <w:tcPr>
            <w:tcW w:w="160" w:type="dxa"/>
            <w:vAlign w:val="bottom"/>
            <w:tcBorders>
              <w:bottom w:val="single" w:sz="8" w:color="E7E6E6"/>
            </w:tcBorders>
            <w:shd w:val="clear" w:color="auto" w:fill="E7E6E6"/>
          </w:tcPr>
          <w:p>
            <w:pPr>
              <w:jc w:val="right"/>
              <w:ind w:right="8"/>
              <w:spacing w:after="0" w:line="164" w:lineRule="exact"/>
              <w:rPr>
                <w:sz w:val="20"/>
                <w:szCs w:val="20"/>
                <w:color w:val="auto"/>
              </w:rPr>
            </w:pPr>
            <w:r>
              <w:rPr>
                <w:rFonts w:ascii="Calibri" w:cs="Calibri" w:eastAsia="Calibri" w:hAnsi="Calibri"/>
                <w:sz w:val="14"/>
                <w:szCs w:val="14"/>
                <w:color w:val="auto"/>
                <w:w w:val="83"/>
              </w:rPr>
              <w:t>$</w:t>
            </w:r>
          </w:p>
        </w:tc>
        <w:tc>
          <w:tcPr>
            <w:tcW w:w="920" w:type="dxa"/>
            <w:vAlign w:val="bottom"/>
            <w:tcBorders>
              <w:bottom w:val="single" w:sz="8" w:color="E7E6E6"/>
              <w:right w:val="single" w:sz="8" w:color="auto"/>
            </w:tcBorders>
            <w:shd w:val="clear" w:color="auto" w:fill="E7E6E6"/>
          </w:tcPr>
          <w:p>
            <w:pPr>
              <w:jc w:val="right"/>
              <w:ind w:right="68"/>
              <w:spacing w:after="0" w:line="164" w:lineRule="exact"/>
              <w:rPr>
                <w:sz w:val="20"/>
                <w:szCs w:val="20"/>
                <w:color w:val="auto"/>
              </w:rPr>
            </w:pPr>
            <w:r>
              <w:rPr>
                <w:rFonts w:ascii="Calibri" w:cs="Calibri" w:eastAsia="Calibri" w:hAnsi="Calibri"/>
                <w:sz w:val="14"/>
                <w:szCs w:val="14"/>
                <w:color w:val="auto"/>
              </w:rPr>
              <w:t>1,274,119</w:t>
            </w:r>
          </w:p>
        </w:tc>
        <w:tc>
          <w:tcPr>
            <w:tcW w:w="260" w:type="dxa"/>
            <w:vAlign w:val="bottom"/>
            <w:tcBorders>
              <w:bottom w:val="single" w:sz="8" w:color="E7E6E6"/>
            </w:tcBorders>
            <w:shd w:val="clear" w:color="auto" w:fill="E7E6E6"/>
          </w:tcPr>
          <w:p>
            <w:pPr>
              <w:jc w:val="right"/>
              <w:ind w:right="108"/>
              <w:spacing w:after="0" w:line="164" w:lineRule="exact"/>
              <w:rPr>
                <w:sz w:val="20"/>
                <w:szCs w:val="20"/>
                <w:color w:val="auto"/>
              </w:rPr>
            </w:pPr>
            <w:r>
              <w:rPr>
                <w:rFonts w:ascii="Calibri" w:cs="Calibri" w:eastAsia="Calibri" w:hAnsi="Calibri"/>
                <w:sz w:val="14"/>
                <w:szCs w:val="14"/>
                <w:color w:val="auto"/>
                <w:w w:val="83"/>
              </w:rPr>
              <w:t>$</w:t>
            </w:r>
          </w:p>
        </w:tc>
        <w:tc>
          <w:tcPr>
            <w:tcW w:w="760" w:type="dxa"/>
            <w:vAlign w:val="bottom"/>
            <w:tcBorders>
              <w:bottom w:val="single" w:sz="8" w:color="E7E6E6"/>
              <w:right w:val="single" w:sz="8" w:color="auto"/>
            </w:tcBorders>
            <w:shd w:val="clear" w:color="auto" w:fill="E7E6E6"/>
          </w:tcPr>
          <w:p>
            <w:pPr>
              <w:jc w:val="right"/>
              <w:ind w:right="68"/>
              <w:spacing w:after="0" w:line="164" w:lineRule="exact"/>
              <w:rPr>
                <w:sz w:val="20"/>
                <w:szCs w:val="20"/>
                <w:color w:val="auto"/>
              </w:rPr>
            </w:pPr>
            <w:r>
              <w:rPr>
                <w:rFonts w:ascii="Calibri" w:cs="Calibri" w:eastAsia="Calibri" w:hAnsi="Calibri"/>
                <w:sz w:val="14"/>
                <w:szCs w:val="14"/>
                <w:color w:val="auto"/>
              </w:rPr>
              <w:t>2,548,238</w:t>
            </w:r>
          </w:p>
        </w:tc>
        <w:tc>
          <w:tcPr>
            <w:tcW w:w="880" w:type="dxa"/>
            <w:vAlign w:val="bottom"/>
            <w:tcBorders>
              <w:bottom w:val="single" w:sz="8" w:color="E7E6E6"/>
              <w:right w:val="single" w:sz="8" w:color="auto"/>
            </w:tcBorders>
            <w:shd w:val="clear" w:color="auto" w:fill="E7E6E6"/>
          </w:tcPr>
          <w:p>
            <w:pPr>
              <w:spacing w:after="0"/>
              <w:rPr>
                <w:sz w:val="17"/>
                <w:szCs w:val="17"/>
                <w:color w:val="auto"/>
              </w:rPr>
            </w:pPr>
          </w:p>
        </w:tc>
        <w:tc>
          <w:tcPr>
            <w:tcW w:w="1040" w:type="dxa"/>
            <w:vAlign w:val="bottom"/>
            <w:tcBorders>
              <w:bottom w:val="single" w:sz="8" w:color="E7E6E6"/>
              <w:right w:val="single" w:sz="8" w:color="auto"/>
            </w:tcBorders>
            <w:shd w:val="clear" w:color="auto" w:fill="E7E6E6"/>
          </w:tcPr>
          <w:p>
            <w:pPr>
              <w:spacing w:after="0"/>
              <w:rPr>
                <w:sz w:val="17"/>
                <w:szCs w:val="17"/>
                <w:color w:val="auto"/>
              </w:rPr>
            </w:pPr>
          </w:p>
        </w:tc>
        <w:tc>
          <w:tcPr>
            <w:tcW w:w="760" w:type="dxa"/>
            <w:vAlign w:val="bottom"/>
            <w:tcBorders>
              <w:bottom w:val="single" w:sz="8" w:color="E7E6E6"/>
              <w:right w:val="single" w:sz="8" w:color="auto"/>
            </w:tcBorders>
            <w:shd w:val="clear" w:color="auto" w:fill="E7E6E6"/>
          </w:tcPr>
          <w:p>
            <w:pPr>
              <w:spacing w:after="0"/>
              <w:rPr>
                <w:sz w:val="17"/>
                <w:szCs w:val="17"/>
                <w:color w:val="auto"/>
              </w:rPr>
            </w:pPr>
          </w:p>
        </w:tc>
        <w:tc>
          <w:tcPr>
            <w:tcW w:w="820" w:type="dxa"/>
            <w:vAlign w:val="bottom"/>
            <w:tcBorders>
              <w:bottom w:val="single" w:sz="8" w:color="E7E6E6"/>
              <w:right w:val="single" w:sz="8" w:color="auto"/>
            </w:tcBorders>
            <w:shd w:val="clear" w:color="auto" w:fill="E7E6E6"/>
          </w:tcPr>
          <w:p>
            <w:pPr>
              <w:spacing w:after="0"/>
              <w:rPr>
                <w:sz w:val="17"/>
                <w:szCs w:val="17"/>
                <w:color w:val="auto"/>
              </w:rPr>
            </w:pPr>
          </w:p>
        </w:tc>
        <w:tc>
          <w:tcPr>
            <w:tcW w:w="760" w:type="dxa"/>
            <w:vAlign w:val="bottom"/>
            <w:tcBorders>
              <w:bottom w:val="single" w:sz="8" w:color="E7E6E6"/>
              <w:right w:val="single" w:sz="8" w:color="auto"/>
            </w:tcBorders>
            <w:shd w:val="clear" w:color="auto" w:fill="E7E6E6"/>
          </w:tcPr>
          <w:p>
            <w:pPr>
              <w:ind w:left="500"/>
              <w:spacing w:after="0" w:line="164" w:lineRule="exact"/>
              <w:rPr>
                <w:sz w:val="20"/>
                <w:szCs w:val="20"/>
                <w:color w:val="auto"/>
              </w:rPr>
            </w:pPr>
            <w:r>
              <w:rPr>
                <w:rFonts w:ascii="Calibri" w:cs="Calibri" w:eastAsia="Calibri" w:hAnsi="Calibri"/>
                <w:sz w:val="14"/>
                <w:szCs w:val="14"/>
                <w:color w:val="auto"/>
                <w:w w:val="97"/>
              </w:rPr>
              <w:t>N/A</w:t>
            </w:r>
          </w:p>
        </w:tc>
        <w:tc>
          <w:tcPr>
            <w:tcW w:w="780" w:type="dxa"/>
            <w:vAlign w:val="bottom"/>
            <w:tcBorders>
              <w:bottom w:val="single" w:sz="8" w:color="E7E6E6"/>
            </w:tcBorders>
            <w:shd w:val="clear" w:color="auto" w:fill="E7E6E6"/>
          </w:tcPr>
          <w:p>
            <w:pPr>
              <w:spacing w:after="0"/>
              <w:rPr>
                <w:sz w:val="17"/>
                <w:szCs w:val="17"/>
                <w:color w:val="auto"/>
              </w:rPr>
            </w:pPr>
          </w:p>
        </w:tc>
        <w:tc>
          <w:tcPr>
            <w:tcW w:w="300" w:type="dxa"/>
            <w:vAlign w:val="bottom"/>
            <w:tcBorders>
              <w:bottom w:val="single" w:sz="8" w:color="E7E6E6"/>
              <w:right w:val="single" w:sz="8" w:color="auto"/>
            </w:tcBorders>
            <w:shd w:val="clear" w:color="auto" w:fill="E7E6E6"/>
          </w:tcPr>
          <w:p>
            <w:pPr>
              <w:ind w:left="40"/>
              <w:spacing w:after="0" w:line="164" w:lineRule="exact"/>
              <w:rPr>
                <w:sz w:val="20"/>
                <w:szCs w:val="20"/>
                <w:color w:val="auto"/>
              </w:rPr>
            </w:pPr>
            <w:r>
              <w:rPr>
                <w:rFonts w:ascii="Calibri" w:cs="Calibri" w:eastAsia="Calibri" w:hAnsi="Calibri"/>
                <w:sz w:val="14"/>
                <w:szCs w:val="14"/>
                <w:color w:val="auto"/>
                <w:w w:val="97"/>
              </w:rPr>
              <w:t>N/A</w:t>
            </w:r>
          </w:p>
        </w:tc>
        <w:tc>
          <w:tcPr>
            <w:tcW w:w="80" w:type="dxa"/>
            <w:vAlign w:val="bottom"/>
            <w:tcBorders>
              <w:bottom w:val="single" w:sz="8" w:color="E7E6E6"/>
            </w:tcBorders>
            <w:shd w:val="clear" w:color="auto" w:fill="E7E6E6"/>
          </w:tcPr>
          <w:p>
            <w:pPr>
              <w:spacing w:after="0"/>
              <w:rPr>
                <w:sz w:val="17"/>
                <w:szCs w:val="17"/>
                <w:color w:val="auto"/>
              </w:rPr>
            </w:pPr>
          </w:p>
        </w:tc>
        <w:tc>
          <w:tcPr>
            <w:tcW w:w="660" w:type="dxa"/>
            <w:vAlign w:val="bottom"/>
            <w:tcBorders>
              <w:bottom w:val="single" w:sz="8" w:color="E7E6E6"/>
              <w:right w:val="single" w:sz="8" w:color="auto"/>
            </w:tcBorders>
            <w:shd w:val="clear" w:color="auto" w:fill="E7E6E6"/>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360" w:type="dxa"/>
            <w:vAlign w:val="bottom"/>
            <w:tcBorders>
              <w:top w:val="single" w:sz="8" w:color="auto"/>
              <w:left w:val="single" w:sz="8" w:color="auto"/>
              <w:right w:val="single" w:sz="8" w:color="auto"/>
            </w:tcBorders>
          </w:tcPr>
          <w:p>
            <w:pPr>
              <w:spacing w:after="0"/>
              <w:rPr>
                <w:sz w:val="14"/>
                <w:szCs w:val="14"/>
                <w:color w:val="auto"/>
              </w:rPr>
            </w:pPr>
          </w:p>
        </w:tc>
        <w:tc>
          <w:tcPr>
            <w:tcW w:w="840" w:type="dxa"/>
            <w:vAlign w:val="bottom"/>
            <w:tcBorders>
              <w:top w:val="single" w:sz="8" w:color="auto"/>
              <w:right w:val="single" w:sz="8" w:color="auto"/>
            </w:tcBorders>
            <w:vMerge w:val="restart"/>
          </w:tcPr>
          <w:p>
            <w:pPr>
              <w:jc w:val="center"/>
              <w:spacing w:after="0"/>
              <w:rPr>
                <w:sz w:val="20"/>
                <w:szCs w:val="20"/>
                <w:color w:val="auto"/>
              </w:rPr>
            </w:pPr>
            <w:r>
              <w:rPr>
                <w:rFonts w:ascii="Calibri" w:cs="Calibri" w:eastAsia="Calibri" w:hAnsi="Calibri"/>
                <w:sz w:val="14"/>
                <w:szCs w:val="14"/>
                <w:color w:val="auto"/>
              </w:rPr>
              <w:t>2/21/23</w:t>
            </w:r>
          </w:p>
        </w:tc>
        <w:tc>
          <w:tcPr>
            <w:tcW w:w="460" w:type="dxa"/>
            <w:vAlign w:val="bottom"/>
            <w:tcBorders>
              <w:top w:val="single" w:sz="8" w:color="auto"/>
            </w:tcBorders>
          </w:tcPr>
          <w:p>
            <w:pPr>
              <w:spacing w:after="0"/>
              <w:rPr>
                <w:sz w:val="14"/>
                <w:szCs w:val="14"/>
                <w:color w:val="auto"/>
              </w:rPr>
            </w:pPr>
          </w:p>
        </w:tc>
        <w:tc>
          <w:tcPr>
            <w:tcW w:w="400" w:type="dxa"/>
            <w:vAlign w:val="bottom"/>
            <w:tcBorders>
              <w:top w:val="single" w:sz="8" w:color="auto"/>
              <w:right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20" w:type="dxa"/>
            <w:vAlign w:val="bottom"/>
            <w:tcBorders>
              <w:top w:val="single" w:sz="8" w:color="auto"/>
              <w:right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60" w:type="dxa"/>
            <w:vAlign w:val="bottom"/>
            <w:tcBorders>
              <w:top w:val="single" w:sz="8" w:color="auto"/>
              <w:right w:val="single" w:sz="8" w:color="auto"/>
            </w:tcBorders>
          </w:tcPr>
          <w:p>
            <w:pPr>
              <w:spacing w:after="0"/>
              <w:rPr>
                <w:sz w:val="14"/>
                <w:szCs w:val="14"/>
                <w:color w:val="auto"/>
              </w:rPr>
            </w:pPr>
          </w:p>
        </w:tc>
        <w:tc>
          <w:tcPr>
            <w:tcW w:w="880" w:type="dxa"/>
            <w:vAlign w:val="bottom"/>
            <w:tcBorders>
              <w:top w:val="single" w:sz="8" w:color="auto"/>
              <w:right w:val="single" w:sz="8" w:color="auto"/>
            </w:tcBorders>
          </w:tcPr>
          <w:p>
            <w:pPr>
              <w:spacing w:after="0"/>
              <w:rPr>
                <w:sz w:val="14"/>
                <w:szCs w:val="14"/>
                <w:color w:val="auto"/>
              </w:rPr>
            </w:pPr>
          </w:p>
        </w:tc>
        <w:tc>
          <w:tcPr>
            <w:tcW w:w="1040" w:type="dxa"/>
            <w:vAlign w:val="bottom"/>
            <w:tcBorders>
              <w:top w:val="single" w:sz="8" w:color="auto"/>
              <w:right w:val="single" w:sz="8" w:color="auto"/>
            </w:tcBorders>
          </w:tcPr>
          <w:p>
            <w:pPr>
              <w:spacing w:after="0"/>
              <w:rPr>
                <w:sz w:val="14"/>
                <w:szCs w:val="14"/>
                <w:color w:val="auto"/>
              </w:rPr>
            </w:pPr>
          </w:p>
        </w:tc>
        <w:tc>
          <w:tcPr>
            <w:tcW w:w="760" w:type="dxa"/>
            <w:vAlign w:val="bottom"/>
            <w:tcBorders>
              <w:top w:val="single" w:sz="8" w:color="auto"/>
              <w:right w:val="single" w:sz="8" w:color="auto"/>
            </w:tcBorders>
          </w:tcPr>
          <w:p>
            <w:pPr>
              <w:spacing w:after="0"/>
              <w:rPr>
                <w:sz w:val="14"/>
                <w:szCs w:val="14"/>
                <w:color w:val="auto"/>
              </w:rPr>
            </w:pPr>
          </w:p>
        </w:tc>
        <w:tc>
          <w:tcPr>
            <w:tcW w:w="820" w:type="dxa"/>
            <w:vAlign w:val="bottom"/>
            <w:tcBorders>
              <w:top w:val="single" w:sz="8" w:color="auto"/>
              <w:right w:val="single" w:sz="8" w:color="auto"/>
            </w:tcBorders>
          </w:tcPr>
          <w:p>
            <w:pPr>
              <w:spacing w:after="0"/>
              <w:rPr>
                <w:sz w:val="14"/>
                <w:szCs w:val="14"/>
                <w:color w:val="auto"/>
              </w:rPr>
            </w:pPr>
          </w:p>
        </w:tc>
        <w:tc>
          <w:tcPr>
            <w:tcW w:w="760" w:type="dxa"/>
            <w:vAlign w:val="bottom"/>
            <w:tcBorders>
              <w:top w:val="single" w:sz="8" w:color="auto"/>
              <w:right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300" w:type="dxa"/>
            <w:vAlign w:val="bottom"/>
            <w:tcBorders>
              <w:top w:val="single" w:sz="8" w:color="auto"/>
              <w:right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60" w:type="dxa"/>
            <w:vAlign w:val="bottom"/>
            <w:tcBorders>
              <w:top w:val="single" w:sz="8" w:color="auto"/>
              <w:right w:val="single" w:sz="8" w:color="auto"/>
            </w:tcBorders>
          </w:tcPr>
          <w:p>
            <w:pPr>
              <w:jc w:val="right"/>
              <w:ind w:right="48"/>
              <w:spacing w:after="0" w:line="164" w:lineRule="exact"/>
              <w:rPr>
                <w:sz w:val="20"/>
                <w:szCs w:val="20"/>
                <w:color w:val="auto"/>
              </w:rPr>
            </w:pPr>
            <w:r>
              <w:rPr>
                <w:rFonts w:ascii="Calibri" w:cs="Calibri" w:eastAsia="Calibri" w:hAnsi="Calibri"/>
                <w:sz w:val="14"/>
                <w:szCs w:val="14"/>
                <w:color w:val="auto"/>
              </w:rPr>
              <w:t>4,533,36</w:t>
            </w:r>
          </w:p>
        </w:tc>
        <w:tc>
          <w:tcPr>
            <w:tcW w:w="0" w:type="dxa"/>
            <w:vAlign w:val="bottom"/>
          </w:tcPr>
          <w:p>
            <w:pPr>
              <w:spacing w:after="0"/>
              <w:rPr>
                <w:sz w:val="1"/>
                <w:szCs w:val="1"/>
                <w:color w:val="auto"/>
              </w:rPr>
            </w:pPr>
          </w:p>
        </w:tc>
      </w:tr>
      <w:tr>
        <w:trPr>
          <w:trHeight w:val="80"/>
        </w:trPr>
        <w:tc>
          <w:tcPr>
            <w:tcW w:w="1360" w:type="dxa"/>
            <w:vAlign w:val="bottom"/>
            <w:tcBorders>
              <w:left w:val="single" w:sz="8" w:color="auto"/>
              <w:right w:val="single" w:sz="8" w:color="auto"/>
            </w:tcBorders>
          </w:tcPr>
          <w:p>
            <w:pPr>
              <w:spacing w:after="0"/>
              <w:rPr>
                <w:sz w:val="6"/>
                <w:szCs w:val="6"/>
                <w:color w:val="auto"/>
              </w:rPr>
            </w:pPr>
          </w:p>
        </w:tc>
        <w:tc>
          <w:tcPr>
            <w:tcW w:w="840" w:type="dxa"/>
            <w:vAlign w:val="bottom"/>
            <w:tcBorders>
              <w:right w:val="single" w:sz="8" w:color="auto"/>
            </w:tcBorders>
            <w:vMerge w:val="continue"/>
          </w:tcPr>
          <w:p>
            <w:pPr>
              <w:spacing w:after="0"/>
              <w:rPr>
                <w:sz w:val="6"/>
                <w:szCs w:val="6"/>
                <w:color w:val="auto"/>
              </w:rPr>
            </w:pPr>
          </w:p>
        </w:tc>
        <w:tc>
          <w:tcPr>
            <w:tcW w:w="460" w:type="dxa"/>
            <w:vAlign w:val="bottom"/>
          </w:tcPr>
          <w:p>
            <w:pPr>
              <w:spacing w:after="0"/>
              <w:rPr>
                <w:sz w:val="6"/>
                <w:szCs w:val="6"/>
                <w:color w:val="auto"/>
              </w:rPr>
            </w:pPr>
          </w:p>
        </w:tc>
        <w:tc>
          <w:tcPr>
            <w:tcW w:w="400" w:type="dxa"/>
            <w:vAlign w:val="bottom"/>
            <w:tcBorders>
              <w:righ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Borders>
              <w:right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880" w:type="dxa"/>
            <w:vAlign w:val="bottom"/>
            <w:tcBorders>
              <w:right w:val="single" w:sz="8" w:color="auto"/>
            </w:tcBorders>
            <w:vMerge w:val="restart"/>
          </w:tcPr>
          <w:p>
            <w:pPr>
              <w:ind w:left="640"/>
              <w:spacing w:after="0"/>
              <w:rPr>
                <w:sz w:val="20"/>
                <w:szCs w:val="20"/>
                <w:color w:val="auto"/>
              </w:rPr>
            </w:pPr>
            <w:r>
              <w:rPr>
                <w:rFonts w:ascii="Calibri" w:cs="Calibri" w:eastAsia="Calibri" w:hAnsi="Calibri"/>
                <w:sz w:val="14"/>
                <w:szCs w:val="14"/>
                <w:color w:val="auto"/>
              </w:rPr>
              <w:t>—</w:t>
            </w:r>
          </w:p>
        </w:tc>
        <w:tc>
          <w:tcPr>
            <w:tcW w:w="1040" w:type="dxa"/>
            <w:vAlign w:val="bottom"/>
            <w:tcBorders>
              <w:right w:val="single" w:sz="8" w:color="auto"/>
            </w:tcBorders>
            <w:vMerge w:val="restart"/>
          </w:tcPr>
          <w:p>
            <w:pPr>
              <w:jc w:val="right"/>
              <w:ind w:right="68"/>
              <w:spacing w:after="0"/>
              <w:rPr>
                <w:sz w:val="20"/>
                <w:szCs w:val="20"/>
                <w:color w:val="auto"/>
              </w:rPr>
            </w:pPr>
            <w:r>
              <w:rPr>
                <w:rFonts w:ascii="Calibri" w:cs="Calibri" w:eastAsia="Calibri" w:hAnsi="Calibri"/>
                <w:sz w:val="14"/>
                <w:szCs w:val="14"/>
                <w:color w:val="auto"/>
              </w:rPr>
              <w:t>70,897</w:t>
            </w:r>
          </w:p>
        </w:tc>
        <w:tc>
          <w:tcPr>
            <w:tcW w:w="760" w:type="dxa"/>
            <w:vAlign w:val="bottom"/>
            <w:tcBorders>
              <w:right w:val="single" w:sz="8" w:color="auto"/>
            </w:tcBorders>
            <w:vMerge w:val="restart"/>
          </w:tcPr>
          <w:p>
            <w:pPr>
              <w:jc w:val="right"/>
              <w:ind w:right="68"/>
              <w:spacing w:after="0"/>
              <w:rPr>
                <w:sz w:val="20"/>
                <w:szCs w:val="20"/>
                <w:color w:val="auto"/>
              </w:rPr>
            </w:pPr>
            <w:r>
              <w:rPr>
                <w:rFonts w:ascii="Calibri" w:cs="Calibri" w:eastAsia="Calibri" w:hAnsi="Calibri"/>
                <w:sz w:val="14"/>
                <w:szCs w:val="14"/>
                <w:color w:val="auto"/>
              </w:rPr>
              <w:t>141,794</w:t>
            </w:r>
          </w:p>
        </w:tc>
        <w:tc>
          <w:tcPr>
            <w:tcW w:w="820" w:type="dxa"/>
            <w:vAlign w:val="bottom"/>
            <w:tcBorders>
              <w:right w:val="single" w:sz="8" w:color="auto"/>
            </w:tcBorders>
            <w:vMerge w:val="restart"/>
          </w:tcPr>
          <w:p>
            <w:pPr>
              <w:jc w:val="right"/>
              <w:ind w:right="48"/>
              <w:spacing w:after="0"/>
              <w:rPr>
                <w:sz w:val="20"/>
                <w:szCs w:val="20"/>
                <w:color w:val="auto"/>
              </w:rPr>
            </w:pPr>
            <w:r>
              <w:rPr>
                <w:rFonts w:ascii="Calibri" w:cs="Calibri" w:eastAsia="Calibri" w:hAnsi="Calibri"/>
                <w:sz w:val="14"/>
                <w:szCs w:val="14"/>
                <w:color w:val="auto"/>
              </w:rPr>
              <w:t>38,175</w:t>
            </w:r>
          </w:p>
        </w:tc>
        <w:tc>
          <w:tcPr>
            <w:tcW w:w="760" w:type="dxa"/>
            <w:vAlign w:val="bottom"/>
            <w:tcBorders>
              <w:right w:val="single" w:sz="8" w:color="auto"/>
            </w:tcBorders>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tcBorders>
              <w:right w:val="single" w:sz="8" w:color="auto"/>
            </w:tcBorders>
          </w:tcPr>
          <w:p>
            <w:pPr>
              <w:spacing w:after="0"/>
              <w:rPr>
                <w:sz w:val="6"/>
                <w:szCs w:val="6"/>
                <w:color w:val="auto"/>
              </w:rPr>
            </w:pPr>
          </w:p>
        </w:tc>
        <w:tc>
          <w:tcPr>
            <w:tcW w:w="80" w:type="dxa"/>
            <w:vAlign w:val="bottom"/>
            <w:vMerge w:val="restart"/>
          </w:tcPr>
          <w:p>
            <w:pPr>
              <w:jc w:val="right"/>
              <w:spacing w:after="0"/>
              <w:rPr>
                <w:sz w:val="20"/>
                <w:szCs w:val="20"/>
                <w:color w:val="auto"/>
              </w:rPr>
            </w:pPr>
            <w:r>
              <w:rPr>
                <w:rFonts w:ascii="Calibri" w:cs="Calibri" w:eastAsia="Calibri" w:hAnsi="Calibri"/>
                <w:sz w:val="14"/>
                <w:szCs w:val="14"/>
                <w:color w:val="auto"/>
                <w:w w:val="83"/>
              </w:rPr>
              <w:t>$</w:t>
            </w:r>
          </w:p>
        </w:tc>
        <w:tc>
          <w:tcPr>
            <w:tcW w:w="660" w:type="dxa"/>
            <w:vAlign w:val="bottom"/>
            <w:tcBorders>
              <w:right w:val="single" w:sz="8" w:color="auto"/>
            </w:tcBorders>
            <w:vMerge w:val="restart"/>
          </w:tcPr>
          <w:p>
            <w:pPr>
              <w:jc w:val="right"/>
              <w:ind w:right="48"/>
              <w:spacing w:after="0"/>
              <w:rPr>
                <w:sz w:val="20"/>
                <w:szCs w:val="20"/>
                <w:color w:val="auto"/>
              </w:rPr>
            </w:pPr>
            <w:r>
              <w:rPr>
                <w:rFonts w:ascii="Calibri" w:cs="Calibri" w:eastAsia="Calibri" w:hAnsi="Calibri"/>
                <w:sz w:val="14"/>
                <w:szCs w:val="14"/>
                <w:color w:val="auto"/>
              </w:rPr>
              <w:t>1</w:t>
            </w:r>
          </w:p>
        </w:tc>
        <w:tc>
          <w:tcPr>
            <w:tcW w:w="0" w:type="dxa"/>
            <w:vAlign w:val="bottom"/>
          </w:tcPr>
          <w:p>
            <w:pPr>
              <w:spacing w:after="0"/>
              <w:rPr>
                <w:sz w:val="1"/>
                <w:szCs w:val="1"/>
                <w:color w:val="auto"/>
              </w:rPr>
            </w:pPr>
          </w:p>
        </w:tc>
      </w:tr>
      <w:tr>
        <w:trPr>
          <w:trHeight w:val="95"/>
        </w:trPr>
        <w:tc>
          <w:tcPr>
            <w:tcW w:w="1360" w:type="dxa"/>
            <w:vAlign w:val="bottom"/>
            <w:tcBorders>
              <w:left w:val="single" w:sz="8" w:color="auto"/>
              <w:right w:val="single" w:sz="8" w:color="auto"/>
            </w:tcBorders>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vMerge w:val="continue"/>
          </w:tcPr>
          <w:p>
            <w:pPr>
              <w:spacing w:after="0"/>
              <w:rPr>
                <w:sz w:val="8"/>
                <w:szCs w:val="8"/>
                <w:color w:val="auto"/>
              </w:rPr>
            </w:pPr>
          </w:p>
        </w:tc>
        <w:tc>
          <w:tcPr>
            <w:tcW w:w="1040" w:type="dxa"/>
            <w:vAlign w:val="bottom"/>
            <w:tcBorders>
              <w:right w:val="single" w:sz="8" w:color="auto"/>
            </w:tcBorders>
            <w:vMerge w:val="continue"/>
          </w:tcPr>
          <w:p>
            <w:pPr>
              <w:spacing w:after="0"/>
              <w:rPr>
                <w:sz w:val="8"/>
                <w:szCs w:val="8"/>
                <w:color w:val="auto"/>
              </w:rPr>
            </w:pPr>
          </w:p>
        </w:tc>
        <w:tc>
          <w:tcPr>
            <w:tcW w:w="760" w:type="dxa"/>
            <w:vAlign w:val="bottom"/>
            <w:tcBorders>
              <w:right w:val="single" w:sz="8" w:color="auto"/>
            </w:tcBorders>
            <w:vMerge w:val="continue"/>
          </w:tcPr>
          <w:p>
            <w:pPr>
              <w:spacing w:after="0"/>
              <w:rPr>
                <w:sz w:val="8"/>
                <w:szCs w:val="8"/>
                <w:color w:val="auto"/>
              </w:rPr>
            </w:pPr>
          </w:p>
        </w:tc>
        <w:tc>
          <w:tcPr>
            <w:tcW w:w="820" w:type="dxa"/>
            <w:vAlign w:val="bottom"/>
            <w:tcBorders>
              <w:right w:val="single" w:sz="8" w:color="auto"/>
            </w:tcBorders>
            <w:vMerge w:val="continue"/>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80" w:type="dxa"/>
            <w:vAlign w:val="bottom"/>
            <w:vMerge w:val="continue"/>
          </w:tcPr>
          <w:p>
            <w:pPr>
              <w:spacing w:after="0"/>
              <w:rPr>
                <w:sz w:val="8"/>
                <w:szCs w:val="8"/>
                <w:color w:val="auto"/>
              </w:rPr>
            </w:pPr>
          </w:p>
        </w:tc>
        <w:tc>
          <w:tcPr>
            <w:tcW w:w="6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360" w:type="dxa"/>
            <w:vAlign w:val="bottom"/>
            <w:tcBorders>
              <w:left w:val="single" w:sz="8" w:color="auto"/>
              <w:bottom w:val="single" w:sz="8" w:color="E7E6E6"/>
              <w:right w:val="single" w:sz="8" w:color="auto"/>
            </w:tcBorders>
            <w:shd w:val="clear" w:color="auto" w:fill="E7E6E6"/>
          </w:tcPr>
          <w:p>
            <w:pPr>
              <w:ind w:left="40"/>
              <w:spacing w:after="0" w:line="164" w:lineRule="exact"/>
              <w:rPr>
                <w:sz w:val="20"/>
                <w:szCs w:val="20"/>
                <w:color w:val="auto"/>
              </w:rPr>
            </w:pPr>
            <w:r>
              <w:rPr>
                <w:rFonts w:ascii="Calibri" w:cs="Calibri" w:eastAsia="Calibri" w:hAnsi="Calibri"/>
                <w:sz w:val="14"/>
                <w:szCs w:val="14"/>
                <w:color w:val="auto"/>
              </w:rPr>
              <w:t>B. Buckler</w:t>
            </w:r>
          </w:p>
        </w:tc>
        <w:tc>
          <w:tcPr>
            <w:tcW w:w="840" w:type="dxa"/>
            <w:vAlign w:val="bottom"/>
            <w:tcBorders>
              <w:bottom w:val="single" w:sz="8" w:color="E7E6E6"/>
              <w:right w:val="single" w:sz="8" w:color="auto"/>
            </w:tcBorders>
            <w:shd w:val="clear" w:color="auto" w:fill="E7E6E6"/>
          </w:tcPr>
          <w:p>
            <w:pPr>
              <w:spacing w:after="0"/>
              <w:rPr>
                <w:sz w:val="17"/>
                <w:szCs w:val="17"/>
                <w:color w:val="auto"/>
              </w:rPr>
            </w:pPr>
          </w:p>
        </w:tc>
        <w:tc>
          <w:tcPr>
            <w:tcW w:w="460" w:type="dxa"/>
            <w:vAlign w:val="bottom"/>
            <w:tcBorders>
              <w:bottom w:val="single" w:sz="8" w:color="E7E6E6"/>
            </w:tcBorders>
            <w:shd w:val="clear" w:color="auto" w:fill="E7E6E6"/>
          </w:tcPr>
          <w:p>
            <w:pPr>
              <w:jc w:val="right"/>
              <w:ind w:right="308"/>
              <w:spacing w:after="0" w:line="164" w:lineRule="exact"/>
              <w:rPr>
                <w:sz w:val="20"/>
                <w:szCs w:val="20"/>
                <w:color w:val="auto"/>
              </w:rPr>
            </w:pPr>
            <w:r>
              <w:rPr>
                <w:rFonts w:ascii="Calibri" w:cs="Calibri" w:eastAsia="Calibri" w:hAnsi="Calibri"/>
                <w:sz w:val="14"/>
                <w:szCs w:val="14"/>
                <w:color w:val="auto"/>
                <w:w w:val="83"/>
              </w:rPr>
              <w:t>$</w:t>
            </w:r>
          </w:p>
        </w:tc>
        <w:tc>
          <w:tcPr>
            <w:tcW w:w="400" w:type="dxa"/>
            <w:vAlign w:val="bottom"/>
            <w:tcBorders>
              <w:bottom w:val="single" w:sz="8" w:color="E7E6E6"/>
              <w:right w:val="single" w:sz="8" w:color="auto"/>
            </w:tcBorders>
            <w:shd w:val="clear" w:color="auto" w:fill="E7E6E6"/>
          </w:tcPr>
          <w:p>
            <w:pPr>
              <w:ind w:left="140"/>
              <w:spacing w:after="0" w:line="164" w:lineRule="exact"/>
              <w:rPr>
                <w:sz w:val="20"/>
                <w:szCs w:val="20"/>
                <w:color w:val="auto"/>
              </w:rPr>
            </w:pPr>
            <w:r>
              <w:rPr>
                <w:rFonts w:ascii="Calibri" w:cs="Calibri" w:eastAsia="Calibri" w:hAnsi="Calibri"/>
                <w:sz w:val="14"/>
                <w:szCs w:val="14"/>
                <w:color w:val="auto"/>
              </w:rPr>
              <w:t>—</w:t>
            </w:r>
          </w:p>
        </w:tc>
        <w:tc>
          <w:tcPr>
            <w:tcW w:w="160" w:type="dxa"/>
            <w:vAlign w:val="bottom"/>
            <w:tcBorders>
              <w:bottom w:val="single" w:sz="8" w:color="E7E6E6"/>
            </w:tcBorders>
            <w:shd w:val="clear" w:color="auto" w:fill="E7E6E6"/>
          </w:tcPr>
          <w:p>
            <w:pPr>
              <w:jc w:val="right"/>
              <w:ind w:right="8"/>
              <w:spacing w:after="0" w:line="164" w:lineRule="exact"/>
              <w:rPr>
                <w:sz w:val="20"/>
                <w:szCs w:val="20"/>
                <w:color w:val="auto"/>
              </w:rPr>
            </w:pPr>
            <w:r>
              <w:rPr>
                <w:rFonts w:ascii="Calibri" w:cs="Calibri" w:eastAsia="Calibri" w:hAnsi="Calibri"/>
                <w:sz w:val="14"/>
                <w:szCs w:val="14"/>
                <w:color w:val="auto"/>
                <w:w w:val="83"/>
              </w:rPr>
              <w:t>$</w:t>
            </w:r>
          </w:p>
        </w:tc>
        <w:tc>
          <w:tcPr>
            <w:tcW w:w="920" w:type="dxa"/>
            <w:vAlign w:val="bottom"/>
            <w:tcBorders>
              <w:bottom w:val="single" w:sz="8" w:color="E7E6E6"/>
              <w:right w:val="single" w:sz="8" w:color="auto"/>
            </w:tcBorders>
            <w:shd w:val="clear" w:color="auto" w:fill="E7E6E6"/>
          </w:tcPr>
          <w:p>
            <w:pPr>
              <w:jc w:val="right"/>
              <w:ind w:right="68"/>
              <w:spacing w:after="0" w:line="164" w:lineRule="exact"/>
              <w:rPr>
                <w:sz w:val="20"/>
                <w:szCs w:val="20"/>
                <w:color w:val="auto"/>
              </w:rPr>
            </w:pPr>
            <w:r>
              <w:rPr>
                <w:rFonts w:ascii="Calibri" w:cs="Calibri" w:eastAsia="Calibri" w:hAnsi="Calibri"/>
                <w:sz w:val="14"/>
                <w:szCs w:val="14"/>
                <w:color w:val="auto"/>
              </w:rPr>
              <w:t>342,801</w:t>
            </w:r>
          </w:p>
        </w:tc>
        <w:tc>
          <w:tcPr>
            <w:tcW w:w="260" w:type="dxa"/>
            <w:vAlign w:val="bottom"/>
            <w:tcBorders>
              <w:bottom w:val="single" w:sz="8" w:color="E7E6E6"/>
            </w:tcBorders>
            <w:shd w:val="clear" w:color="auto" w:fill="E7E6E6"/>
          </w:tcPr>
          <w:p>
            <w:pPr>
              <w:jc w:val="right"/>
              <w:ind w:right="108"/>
              <w:spacing w:after="0" w:line="164" w:lineRule="exact"/>
              <w:rPr>
                <w:sz w:val="20"/>
                <w:szCs w:val="20"/>
                <w:color w:val="auto"/>
              </w:rPr>
            </w:pPr>
            <w:r>
              <w:rPr>
                <w:rFonts w:ascii="Calibri" w:cs="Calibri" w:eastAsia="Calibri" w:hAnsi="Calibri"/>
                <w:sz w:val="14"/>
                <w:szCs w:val="14"/>
                <w:color w:val="auto"/>
                <w:w w:val="83"/>
              </w:rPr>
              <w:t>$</w:t>
            </w:r>
          </w:p>
        </w:tc>
        <w:tc>
          <w:tcPr>
            <w:tcW w:w="760" w:type="dxa"/>
            <w:vAlign w:val="bottom"/>
            <w:tcBorders>
              <w:bottom w:val="single" w:sz="8" w:color="E7E6E6"/>
              <w:right w:val="single" w:sz="8" w:color="auto"/>
            </w:tcBorders>
            <w:shd w:val="clear" w:color="auto" w:fill="E7E6E6"/>
          </w:tcPr>
          <w:p>
            <w:pPr>
              <w:jc w:val="right"/>
              <w:ind w:right="68"/>
              <w:spacing w:after="0" w:line="164" w:lineRule="exact"/>
              <w:rPr>
                <w:sz w:val="20"/>
                <w:szCs w:val="20"/>
                <w:color w:val="auto"/>
              </w:rPr>
            </w:pPr>
            <w:r>
              <w:rPr>
                <w:rFonts w:ascii="Calibri" w:cs="Calibri" w:eastAsia="Calibri" w:hAnsi="Calibri"/>
                <w:sz w:val="14"/>
                <w:szCs w:val="14"/>
                <w:color w:val="auto"/>
              </w:rPr>
              <w:t>685,602</w:t>
            </w:r>
          </w:p>
        </w:tc>
        <w:tc>
          <w:tcPr>
            <w:tcW w:w="880" w:type="dxa"/>
            <w:vAlign w:val="bottom"/>
            <w:tcBorders>
              <w:bottom w:val="single" w:sz="8" w:color="E7E6E6"/>
              <w:right w:val="single" w:sz="8" w:color="auto"/>
            </w:tcBorders>
            <w:shd w:val="clear" w:color="auto" w:fill="E7E6E6"/>
          </w:tcPr>
          <w:p>
            <w:pPr>
              <w:spacing w:after="0"/>
              <w:rPr>
                <w:sz w:val="17"/>
                <w:szCs w:val="17"/>
                <w:color w:val="auto"/>
              </w:rPr>
            </w:pPr>
          </w:p>
        </w:tc>
        <w:tc>
          <w:tcPr>
            <w:tcW w:w="1040" w:type="dxa"/>
            <w:vAlign w:val="bottom"/>
            <w:tcBorders>
              <w:bottom w:val="single" w:sz="8" w:color="E7E6E6"/>
              <w:right w:val="single" w:sz="8" w:color="auto"/>
            </w:tcBorders>
            <w:shd w:val="clear" w:color="auto" w:fill="E7E6E6"/>
          </w:tcPr>
          <w:p>
            <w:pPr>
              <w:spacing w:after="0"/>
              <w:rPr>
                <w:sz w:val="17"/>
                <w:szCs w:val="17"/>
                <w:color w:val="auto"/>
              </w:rPr>
            </w:pPr>
          </w:p>
        </w:tc>
        <w:tc>
          <w:tcPr>
            <w:tcW w:w="760" w:type="dxa"/>
            <w:vAlign w:val="bottom"/>
            <w:tcBorders>
              <w:bottom w:val="single" w:sz="8" w:color="E7E6E6"/>
              <w:right w:val="single" w:sz="8" w:color="auto"/>
            </w:tcBorders>
            <w:shd w:val="clear" w:color="auto" w:fill="E7E6E6"/>
          </w:tcPr>
          <w:p>
            <w:pPr>
              <w:spacing w:after="0"/>
              <w:rPr>
                <w:sz w:val="17"/>
                <w:szCs w:val="17"/>
                <w:color w:val="auto"/>
              </w:rPr>
            </w:pPr>
          </w:p>
        </w:tc>
        <w:tc>
          <w:tcPr>
            <w:tcW w:w="820" w:type="dxa"/>
            <w:vAlign w:val="bottom"/>
            <w:tcBorders>
              <w:bottom w:val="single" w:sz="8" w:color="E7E6E6"/>
              <w:right w:val="single" w:sz="8" w:color="auto"/>
            </w:tcBorders>
            <w:shd w:val="clear" w:color="auto" w:fill="E7E6E6"/>
          </w:tcPr>
          <w:p>
            <w:pPr>
              <w:spacing w:after="0"/>
              <w:rPr>
                <w:sz w:val="17"/>
                <w:szCs w:val="17"/>
                <w:color w:val="auto"/>
              </w:rPr>
            </w:pPr>
          </w:p>
        </w:tc>
        <w:tc>
          <w:tcPr>
            <w:tcW w:w="760" w:type="dxa"/>
            <w:vAlign w:val="bottom"/>
            <w:tcBorders>
              <w:bottom w:val="single" w:sz="8" w:color="E7E6E6"/>
              <w:right w:val="single" w:sz="8" w:color="auto"/>
            </w:tcBorders>
            <w:shd w:val="clear" w:color="auto" w:fill="E7E6E6"/>
          </w:tcPr>
          <w:p>
            <w:pPr>
              <w:ind w:left="500"/>
              <w:spacing w:after="0" w:line="164" w:lineRule="exact"/>
              <w:rPr>
                <w:sz w:val="20"/>
                <w:szCs w:val="20"/>
                <w:color w:val="auto"/>
              </w:rPr>
            </w:pPr>
            <w:r>
              <w:rPr>
                <w:rFonts w:ascii="Calibri" w:cs="Calibri" w:eastAsia="Calibri" w:hAnsi="Calibri"/>
                <w:sz w:val="14"/>
                <w:szCs w:val="14"/>
                <w:color w:val="auto"/>
                <w:w w:val="97"/>
              </w:rPr>
              <w:t>N/A</w:t>
            </w:r>
          </w:p>
        </w:tc>
        <w:tc>
          <w:tcPr>
            <w:tcW w:w="780" w:type="dxa"/>
            <w:vAlign w:val="bottom"/>
            <w:tcBorders>
              <w:bottom w:val="single" w:sz="8" w:color="E7E6E6"/>
            </w:tcBorders>
            <w:shd w:val="clear" w:color="auto" w:fill="E7E6E6"/>
          </w:tcPr>
          <w:p>
            <w:pPr>
              <w:spacing w:after="0"/>
              <w:rPr>
                <w:sz w:val="17"/>
                <w:szCs w:val="17"/>
                <w:color w:val="auto"/>
              </w:rPr>
            </w:pPr>
          </w:p>
        </w:tc>
        <w:tc>
          <w:tcPr>
            <w:tcW w:w="300" w:type="dxa"/>
            <w:vAlign w:val="bottom"/>
            <w:tcBorders>
              <w:bottom w:val="single" w:sz="8" w:color="E7E6E6"/>
              <w:right w:val="single" w:sz="8" w:color="auto"/>
            </w:tcBorders>
            <w:shd w:val="clear" w:color="auto" w:fill="E7E6E6"/>
          </w:tcPr>
          <w:p>
            <w:pPr>
              <w:ind w:left="40"/>
              <w:spacing w:after="0" w:line="164" w:lineRule="exact"/>
              <w:rPr>
                <w:sz w:val="20"/>
                <w:szCs w:val="20"/>
                <w:color w:val="auto"/>
              </w:rPr>
            </w:pPr>
            <w:r>
              <w:rPr>
                <w:rFonts w:ascii="Calibri" w:cs="Calibri" w:eastAsia="Calibri" w:hAnsi="Calibri"/>
                <w:sz w:val="14"/>
                <w:szCs w:val="14"/>
                <w:color w:val="auto"/>
                <w:w w:val="97"/>
              </w:rPr>
              <w:t>N/A</w:t>
            </w:r>
          </w:p>
        </w:tc>
        <w:tc>
          <w:tcPr>
            <w:tcW w:w="80" w:type="dxa"/>
            <w:vAlign w:val="bottom"/>
            <w:tcBorders>
              <w:bottom w:val="single" w:sz="8" w:color="E7E6E6"/>
            </w:tcBorders>
            <w:shd w:val="clear" w:color="auto" w:fill="E7E6E6"/>
          </w:tcPr>
          <w:p>
            <w:pPr>
              <w:spacing w:after="0"/>
              <w:rPr>
                <w:sz w:val="17"/>
                <w:szCs w:val="17"/>
                <w:color w:val="auto"/>
              </w:rPr>
            </w:pPr>
          </w:p>
        </w:tc>
        <w:tc>
          <w:tcPr>
            <w:tcW w:w="660" w:type="dxa"/>
            <w:vAlign w:val="bottom"/>
            <w:tcBorders>
              <w:bottom w:val="single" w:sz="8" w:color="E7E6E6"/>
              <w:right w:val="single" w:sz="8" w:color="auto"/>
            </w:tcBorders>
            <w:shd w:val="clear" w:color="auto" w:fill="E7E6E6"/>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360" w:type="dxa"/>
            <w:vAlign w:val="bottom"/>
            <w:tcBorders>
              <w:top w:val="single" w:sz="8" w:color="auto"/>
              <w:left w:val="single" w:sz="8" w:color="auto"/>
              <w:right w:val="single" w:sz="8" w:color="auto"/>
            </w:tcBorders>
          </w:tcPr>
          <w:p>
            <w:pPr>
              <w:spacing w:after="0"/>
              <w:rPr>
                <w:sz w:val="14"/>
                <w:szCs w:val="14"/>
                <w:color w:val="auto"/>
              </w:rPr>
            </w:pPr>
          </w:p>
        </w:tc>
        <w:tc>
          <w:tcPr>
            <w:tcW w:w="840" w:type="dxa"/>
            <w:vAlign w:val="bottom"/>
            <w:tcBorders>
              <w:top w:val="single" w:sz="8" w:color="auto"/>
              <w:right w:val="single" w:sz="8" w:color="auto"/>
            </w:tcBorders>
          </w:tcPr>
          <w:p>
            <w:pPr>
              <w:jc w:val="center"/>
              <w:spacing w:after="0" w:line="164" w:lineRule="exact"/>
              <w:rPr>
                <w:sz w:val="20"/>
                <w:szCs w:val="20"/>
                <w:color w:val="auto"/>
              </w:rPr>
            </w:pPr>
            <w:r>
              <w:rPr>
                <w:rFonts w:ascii="Calibri" w:cs="Calibri" w:eastAsia="Calibri" w:hAnsi="Calibri"/>
                <w:sz w:val="14"/>
                <w:szCs w:val="14"/>
                <w:color w:val="auto"/>
              </w:rPr>
              <w:t>2/21/23</w:t>
            </w:r>
          </w:p>
        </w:tc>
        <w:tc>
          <w:tcPr>
            <w:tcW w:w="460" w:type="dxa"/>
            <w:vAlign w:val="bottom"/>
            <w:tcBorders>
              <w:top w:val="single" w:sz="8" w:color="auto"/>
            </w:tcBorders>
          </w:tcPr>
          <w:p>
            <w:pPr>
              <w:spacing w:after="0"/>
              <w:rPr>
                <w:sz w:val="14"/>
                <w:szCs w:val="14"/>
                <w:color w:val="auto"/>
              </w:rPr>
            </w:pPr>
          </w:p>
        </w:tc>
        <w:tc>
          <w:tcPr>
            <w:tcW w:w="400" w:type="dxa"/>
            <w:vAlign w:val="bottom"/>
            <w:tcBorders>
              <w:top w:val="single" w:sz="8" w:color="auto"/>
              <w:right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20" w:type="dxa"/>
            <w:vAlign w:val="bottom"/>
            <w:tcBorders>
              <w:top w:val="single" w:sz="8" w:color="auto"/>
              <w:right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60" w:type="dxa"/>
            <w:vAlign w:val="bottom"/>
            <w:tcBorders>
              <w:top w:val="single" w:sz="8" w:color="auto"/>
              <w:right w:val="single" w:sz="8" w:color="auto"/>
            </w:tcBorders>
          </w:tcPr>
          <w:p>
            <w:pPr>
              <w:spacing w:after="0"/>
              <w:rPr>
                <w:sz w:val="14"/>
                <w:szCs w:val="14"/>
                <w:color w:val="auto"/>
              </w:rPr>
            </w:pPr>
          </w:p>
        </w:tc>
        <w:tc>
          <w:tcPr>
            <w:tcW w:w="880" w:type="dxa"/>
            <w:vAlign w:val="bottom"/>
            <w:tcBorders>
              <w:top w:val="single" w:sz="8" w:color="auto"/>
              <w:right w:val="single" w:sz="8" w:color="auto"/>
            </w:tcBorders>
          </w:tcPr>
          <w:p>
            <w:pPr>
              <w:ind w:left="640"/>
              <w:spacing w:after="0" w:line="164" w:lineRule="exact"/>
              <w:rPr>
                <w:sz w:val="20"/>
                <w:szCs w:val="20"/>
                <w:color w:val="auto"/>
              </w:rPr>
            </w:pPr>
            <w:r>
              <w:rPr>
                <w:rFonts w:ascii="Calibri" w:cs="Calibri" w:eastAsia="Calibri" w:hAnsi="Calibri"/>
                <w:sz w:val="14"/>
                <w:szCs w:val="14"/>
                <w:color w:val="auto"/>
              </w:rPr>
              <w:t>—</w:t>
            </w:r>
          </w:p>
        </w:tc>
        <w:tc>
          <w:tcPr>
            <w:tcW w:w="1040" w:type="dxa"/>
            <w:vAlign w:val="bottom"/>
            <w:tcBorders>
              <w:top w:val="single" w:sz="8" w:color="auto"/>
              <w:right w:val="single" w:sz="8" w:color="auto"/>
            </w:tcBorders>
          </w:tcPr>
          <w:p>
            <w:pPr>
              <w:jc w:val="right"/>
              <w:ind w:right="68"/>
              <w:spacing w:after="0" w:line="164" w:lineRule="exact"/>
              <w:rPr>
                <w:sz w:val="20"/>
                <w:szCs w:val="20"/>
                <w:color w:val="auto"/>
              </w:rPr>
            </w:pPr>
            <w:r>
              <w:rPr>
                <w:rFonts w:ascii="Calibri" w:cs="Calibri" w:eastAsia="Calibri" w:hAnsi="Calibri"/>
                <w:sz w:val="14"/>
                <w:szCs w:val="14"/>
                <w:color w:val="auto"/>
              </w:rPr>
              <w:t>12,490</w:t>
            </w:r>
          </w:p>
        </w:tc>
        <w:tc>
          <w:tcPr>
            <w:tcW w:w="760" w:type="dxa"/>
            <w:vAlign w:val="bottom"/>
            <w:tcBorders>
              <w:top w:val="single" w:sz="8" w:color="auto"/>
              <w:right w:val="single" w:sz="8" w:color="auto"/>
            </w:tcBorders>
          </w:tcPr>
          <w:p>
            <w:pPr>
              <w:jc w:val="right"/>
              <w:ind w:right="68"/>
              <w:spacing w:after="0" w:line="164" w:lineRule="exact"/>
              <w:rPr>
                <w:sz w:val="20"/>
                <w:szCs w:val="20"/>
                <w:color w:val="auto"/>
              </w:rPr>
            </w:pPr>
            <w:r>
              <w:rPr>
                <w:rFonts w:ascii="Calibri" w:cs="Calibri" w:eastAsia="Calibri" w:hAnsi="Calibri"/>
                <w:sz w:val="14"/>
                <w:szCs w:val="14"/>
                <w:color w:val="auto"/>
              </w:rPr>
              <w:t>24,980</w:t>
            </w:r>
          </w:p>
        </w:tc>
        <w:tc>
          <w:tcPr>
            <w:tcW w:w="820" w:type="dxa"/>
            <w:vAlign w:val="bottom"/>
            <w:tcBorders>
              <w:top w:val="single" w:sz="8" w:color="auto"/>
              <w:right w:val="single" w:sz="8" w:color="auto"/>
            </w:tcBorders>
          </w:tcPr>
          <w:p>
            <w:pPr>
              <w:jc w:val="right"/>
              <w:ind w:right="48"/>
              <w:spacing w:after="0" w:line="164" w:lineRule="exact"/>
              <w:rPr>
                <w:sz w:val="20"/>
                <w:szCs w:val="20"/>
                <w:color w:val="auto"/>
              </w:rPr>
            </w:pPr>
            <w:r>
              <w:rPr>
                <w:rFonts w:ascii="Calibri" w:cs="Calibri" w:eastAsia="Calibri" w:hAnsi="Calibri"/>
                <w:sz w:val="14"/>
                <w:szCs w:val="14"/>
                <w:color w:val="auto"/>
              </w:rPr>
              <w:t>6,725</w:t>
            </w:r>
          </w:p>
        </w:tc>
        <w:tc>
          <w:tcPr>
            <w:tcW w:w="760" w:type="dxa"/>
            <w:vAlign w:val="bottom"/>
            <w:tcBorders>
              <w:top w:val="single" w:sz="8" w:color="auto"/>
              <w:right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300" w:type="dxa"/>
            <w:vAlign w:val="bottom"/>
            <w:tcBorders>
              <w:top w:val="single" w:sz="8" w:color="auto"/>
              <w:right w:val="single" w:sz="8" w:color="auto"/>
            </w:tcBorders>
          </w:tcPr>
          <w:p>
            <w:pPr>
              <w:spacing w:after="0"/>
              <w:rPr>
                <w:sz w:val="14"/>
                <w:szCs w:val="14"/>
                <w:color w:val="auto"/>
              </w:rPr>
            </w:pPr>
          </w:p>
        </w:tc>
        <w:tc>
          <w:tcPr>
            <w:tcW w:w="8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660" w:type="dxa"/>
            <w:vAlign w:val="bottom"/>
            <w:tcBorders>
              <w:top w:val="single" w:sz="8" w:color="auto"/>
              <w:right w:val="single" w:sz="8" w:color="auto"/>
            </w:tcBorders>
          </w:tcPr>
          <w:p>
            <w:pPr>
              <w:jc w:val="right"/>
              <w:ind w:right="48"/>
              <w:spacing w:after="0" w:line="164" w:lineRule="exact"/>
              <w:rPr>
                <w:sz w:val="20"/>
                <w:szCs w:val="20"/>
                <w:color w:val="auto"/>
              </w:rPr>
            </w:pPr>
            <w:r>
              <w:rPr>
                <w:rFonts w:ascii="Calibri" w:cs="Calibri" w:eastAsia="Calibri" w:hAnsi="Calibri"/>
                <w:sz w:val="14"/>
                <w:szCs w:val="14"/>
                <w:color w:val="auto"/>
              </w:rPr>
              <w:t>798,635</w:t>
            </w:r>
          </w:p>
        </w:tc>
        <w:tc>
          <w:tcPr>
            <w:tcW w:w="0" w:type="dxa"/>
            <w:vAlign w:val="bottom"/>
          </w:tcPr>
          <w:p>
            <w:pPr>
              <w:spacing w:after="0"/>
              <w:rPr>
                <w:sz w:val="1"/>
                <w:szCs w:val="1"/>
                <w:color w:val="auto"/>
              </w:rPr>
            </w:pP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360" w:type="dxa"/>
            <w:vAlign w:val="bottom"/>
            <w:tcBorders>
              <w:left w:val="single" w:sz="8" w:color="auto"/>
              <w:bottom w:val="single" w:sz="8" w:color="E7E6E6"/>
              <w:right w:val="single" w:sz="8" w:color="auto"/>
            </w:tcBorders>
            <w:shd w:val="clear" w:color="auto" w:fill="E7E6E6"/>
          </w:tcPr>
          <w:p>
            <w:pPr>
              <w:ind w:left="40"/>
              <w:spacing w:after="0" w:line="164" w:lineRule="exact"/>
              <w:rPr>
                <w:sz w:val="20"/>
                <w:szCs w:val="20"/>
                <w:color w:val="auto"/>
              </w:rPr>
            </w:pPr>
            <w:r>
              <w:rPr>
                <w:rFonts w:ascii="Calibri" w:cs="Calibri" w:eastAsia="Calibri" w:hAnsi="Calibri"/>
                <w:sz w:val="14"/>
                <w:szCs w:val="14"/>
                <w:color w:val="auto"/>
              </w:rPr>
              <w:t>W. Sultemeier</w:t>
            </w:r>
          </w:p>
        </w:tc>
        <w:tc>
          <w:tcPr>
            <w:tcW w:w="840" w:type="dxa"/>
            <w:vAlign w:val="bottom"/>
            <w:tcBorders>
              <w:bottom w:val="single" w:sz="8" w:color="E7E6E6"/>
              <w:right w:val="single" w:sz="8" w:color="auto"/>
            </w:tcBorders>
            <w:shd w:val="clear" w:color="auto" w:fill="E7E6E6"/>
          </w:tcPr>
          <w:p>
            <w:pPr>
              <w:spacing w:after="0"/>
              <w:rPr>
                <w:sz w:val="17"/>
                <w:szCs w:val="17"/>
                <w:color w:val="auto"/>
              </w:rPr>
            </w:pPr>
          </w:p>
        </w:tc>
        <w:tc>
          <w:tcPr>
            <w:tcW w:w="460" w:type="dxa"/>
            <w:vAlign w:val="bottom"/>
            <w:tcBorders>
              <w:bottom w:val="single" w:sz="8" w:color="E7E6E6"/>
            </w:tcBorders>
            <w:shd w:val="clear" w:color="auto" w:fill="E7E6E6"/>
          </w:tcPr>
          <w:p>
            <w:pPr>
              <w:jc w:val="right"/>
              <w:ind w:right="308"/>
              <w:spacing w:after="0" w:line="164" w:lineRule="exact"/>
              <w:rPr>
                <w:sz w:val="20"/>
                <w:szCs w:val="20"/>
                <w:color w:val="auto"/>
              </w:rPr>
            </w:pPr>
            <w:r>
              <w:rPr>
                <w:rFonts w:ascii="Calibri" w:cs="Calibri" w:eastAsia="Calibri" w:hAnsi="Calibri"/>
                <w:sz w:val="14"/>
                <w:szCs w:val="14"/>
                <w:color w:val="auto"/>
                <w:w w:val="83"/>
              </w:rPr>
              <w:t>$</w:t>
            </w:r>
          </w:p>
        </w:tc>
        <w:tc>
          <w:tcPr>
            <w:tcW w:w="400" w:type="dxa"/>
            <w:vAlign w:val="bottom"/>
            <w:tcBorders>
              <w:bottom w:val="single" w:sz="8" w:color="E7E6E6"/>
              <w:right w:val="single" w:sz="8" w:color="auto"/>
            </w:tcBorders>
            <w:shd w:val="clear" w:color="auto" w:fill="E7E6E6"/>
          </w:tcPr>
          <w:p>
            <w:pPr>
              <w:ind w:left="140"/>
              <w:spacing w:after="0" w:line="164" w:lineRule="exact"/>
              <w:rPr>
                <w:sz w:val="20"/>
                <w:szCs w:val="20"/>
                <w:color w:val="auto"/>
              </w:rPr>
            </w:pPr>
            <w:r>
              <w:rPr>
                <w:rFonts w:ascii="Calibri" w:cs="Calibri" w:eastAsia="Calibri" w:hAnsi="Calibri"/>
                <w:sz w:val="14"/>
                <w:szCs w:val="14"/>
                <w:color w:val="auto"/>
              </w:rPr>
              <w:t>—</w:t>
            </w:r>
          </w:p>
        </w:tc>
        <w:tc>
          <w:tcPr>
            <w:tcW w:w="160" w:type="dxa"/>
            <w:vAlign w:val="bottom"/>
            <w:tcBorders>
              <w:bottom w:val="single" w:sz="8" w:color="E7E6E6"/>
            </w:tcBorders>
            <w:shd w:val="clear" w:color="auto" w:fill="E7E6E6"/>
          </w:tcPr>
          <w:p>
            <w:pPr>
              <w:jc w:val="right"/>
              <w:ind w:right="8"/>
              <w:spacing w:after="0" w:line="164" w:lineRule="exact"/>
              <w:rPr>
                <w:sz w:val="20"/>
                <w:szCs w:val="20"/>
                <w:color w:val="auto"/>
              </w:rPr>
            </w:pPr>
            <w:r>
              <w:rPr>
                <w:rFonts w:ascii="Calibri" w:cs="Calibri" w:eastAsia="Calibri" w:hAnsi="Calibri"/>
                <w:sz w:val="14"/>
                <w:szCs w:val="14"/>
                <w:color w:val="auto"/>
                <w:w w:val="83"/>
              </w:rPr>
              <w:t>$</w:t>
            </w:r>
          </w:p>
        </w:tc>
        <w:tc>
          <w:tcPr>
            <w:tcW w:w="920" w:type="dxa"/>
            <w:vAlign w:val="bottom"/>
            <w:tcBorders>
              <w:bottom w:val="single" w:sz="8" w:color="E7E6E6"/>
              <w:right w:val="single" w:sz="8" w:color="auto"/>
            </w:tcBorders>
            <w:shd w:val="clear" w:color="auto" w:fill="E7E6E6"/>
          </w:tcPr>
          <w:p>
            <w:pPr>
              <w:jc w:val="right"/>
              <w:ind w:right="68"/>
              <w:spacing w:after="0" w:line="164" w:lineRule="exact"/>
              <w:rPr>
                <w:sz w:val="20"/>
                <w:szCs w:val="20"/>
                <w:color w:val="auto"/>
              </w:rPr>
            </w:pPr>
            <w:r>
              <w:rPr>
                <w:rFonts w:ascii="Calibri" w:cs="Calibri" w:eastAsia="Calibri" w:hAnsi="Calibri"/>
                <w:sz w:val="14"/>
                <w:szCs w:val="14"/>
                <w:color w:val="auto"/>
              </w:rPr>
              <w:t>323,371</w:t>
            </w:r>
          </w:p>
        </w:tc>
        <w:tc>
          <w:tcPr>
            <w:tcW w:w="260" w:type="dxa"/>
            <w:vAlign w:val="bottom"/>
            <w:tcBorders>
              <w:bottom w:val="single" w:sz="8" w:color="E7E6E6"/>
            </w:tcBorders>
            <w:shd w:val="clear" w:color="auto" w:fill="E7E6E6"/>
          </w:tcPr>
          <w:p>
            <w:pPr>
              <w:jc w:val="right"/>
              <w:ind w:right="108"/>
              <w:spacing w:after="0" w:line="164" w:lineRule="exact"/>
              <w:rPr>
                <w:sz w:val="20"/>
                <w:szCs w:val="20"/>
                <w:color w:val="auto"/>
              </w:rPr>
            </w:pPr>
            <w:r>
              <w:rPr>
                <w:rFonts w:ascii="Calibri" w:cs="Calibri" w:eastAsia="Calibri" w:hAnsi="Calibri"/>
                <w:sz w:val="14"/>
                <w:szCs w:val="14"/>
                <w:color w:val="auto"/>
                <w:w w:val="83"/>
              </w:rPr>
              <w:t>$</w:t>
            </w:r>
          </w:p>
        </w:tc>
        <w:tc>
          <w:tcPr>
            <w:tcW w:w="760" w:type="dxa"/>
            <w:vAlign w:val="bottom"/>
            <w:tcBorders>
              <w:bottom w:val="single" w:sz="8" w:color="E7E6E6"/>
              <w:right w:val="single" w:sz="8" w:color="auto"/>
            </w:tcBorders>
            <w:shd w:val="clear" w:color="auto" w:fill="E7E6E6"/>
          </w:tcPr>
          <w:p>
            <w:pPr>
              <w:jc w:val="right"/>
              <w:ind w:right="68"/>
              <w:spacing w:after="0" w:line="164" w:lineRule="exact"/>
              <w:rPr>
                <w:sz w:val="20"/>
                <w:szCs w:val="20"/>
                <w:color w:val="auto"/>
              </w:rPr>
            </w:pPr>
            <w:r>
              <w:rPr>
                <w:rFonts w:ascii="Calibri" w:cs="Calibri" w:eastAsia="Calibri" w:hAnsi="Calibri"/>
                <w:sz w:val="14"/>
                <w:szCs w:val="14"/>
                <w:color w:val="auto"/>
              </w:rPr>
              <w:t>646,742</w:t>
            </w:r>
          </w:p>
        </w:tc>
        <w:tc>
          <w:tcPr>
            <w:tcW w:w="880" w:type="dxa"/>
            <w:vAlign w:val="bottom"/>
            <w:tcBorders>
              <w:bottom w:val="single" w:sz="8" w:color="E7E6E6"/>
              <w:right w:val="single" w:sz="8" w:color="auto"/>
            </w:tcBorders>
            <w:shd w:val="clear" w:color="auto" w:fill="E7E6E6"/>
          </w:tcPr>
          <w:p>
            <w:pPr>
              <w:spacing w:after="0"/>
              <w:rPr>
                <w:sz w:val="17"/>
                <w:szCs w:val="17"/>
                <w:color w:val="auto"/>
              </w:rPr>
            </w:pPr>
          </w:p>
        </w:tc>
        <w:tc>
          <w:tcPr>
            <w:tcW w:w="1040" w:type="dxa"/>
            <w:vAlign w:val="bottom"/>
            <w:tcBorders>
              <w:bottom w:val="single" w:sz="8" w:color="E7E6E6"/>
              <w:right w:val="single" w:sz="8" w:color="auto"/>
            </w:tcBorders>
            <w:shd w:val="clear" w:color="auto" w:fill="E7E6E6"/>
          </w:tcPr>
          <w:p>
            <w:pPr>
              <w:spacing w:after="0"/>
              <w:rPr>
                <w:sz w:val="17"/>
                <w:szCs w:val="17"/>
                <w:color w:val="auto"/>
              </w:rPr>
            </w:pPr>
          </w:p>
        </w:tc>
        <w:tc>
          <w:tcPr>
            <w:tcW w:w="760" w:type="dxa"/>
            <w:vAlign w:val="bottom"/>
            <w:tcBorders>
              <w:bottom w:val="single" w:sz="8" w:color="E7E6E6"/>
              <w:right w:val="single" w:sz="8" w:color="auto"/>
            </w:tcBorders>
            <w:shd w:val="clear" w:color="auto" w:fill="E7E6E6"/>
          </w:tcPr>
          <w:p>
            <w:pPr>
              <w:spacing w:after="0"/>
              <w:rPr>
                <w:sz w:val="17"/>
                <w:szCs w:val="17"/>
                <w:color w:val="auto"/>
              </w:rPr>
            </w:pPr>
          </w:p>
        </w:tc>
        <w:tc>
          <w:tcPr>
            <w:tcW w:w="820" w:type="dxa"/>
            <w:vAlign w:val="bottom"/>
            <w:tcBorders>
              <w:bottom w:val="single" w:sz="8" w:color="E7E6E6"/>
              <w:right w:val="single" w:sz="8" w:color="auto"/>
            </w:tcBorders>
            <w:shd w:val="clear" w:color="auto" w:fill="E7E6E6"/>
          </w:tcPr>
          <w:p>
            <w:pPr>
              <w:spacing w:after="0"/>
              <w:rPr>
                <w:sz w:val="17"/>
                <w:szCs w:val="17"/>
                <w:color w:val="auto"/>
              </w:rPr>
            </w:pPr>
          </w:p>
        </w:tc>
        <w:tc>
          <w:tcPr>
            <w:tcW w:w="760" w:type="dxa"/>
            <w:vAlign w:val="bottom"/>
            <w:tcBorders>
              <w:bottom w:val="single" w:sz="8" w:color="E7E6E6"/>
              <w:right w:val="single" w:sz="8" w:color="auto"/>
            </w:tcBorders>
            <w:shd w:val="clear" w:color="auto" w:fill="E7E6E6"/>
          </w:tcPr>
          <w:p>
            <w:pPr>
              <w:ind w:left="500"/>
              <w:spacing w:after="0" w:line="164" w:lineRule="exact"/>
              <w:rPr>
                <w:sz w:val="20"/>
                <w:szCs w:val="20"/>
                <w:color w:val="auto"/>
              </w:rPr>
            </w:pPr>
            <w:r>
              <w:rPr>
                <w:rFonts w:ascii="Calibri" w:cs="Calibri" w:eastAsia="Calibri" w:hAnsi="Calibri"/>
                <w:sz w:val="14"/>
                <w:szCs w:val="14"/>
                <w:color w:val="auto"/>
                <w:w w:val="97"/>
              </w:rPr>
              <w:t>N/A</w:t>
            </w:r>
          </w:p>
        </w:tc>
        <w:tc>
          <w:tcPr>
            <w:tcW w:w="780" w:type="dxa"/>
            <w:vAlign w:val="bottom"/>
            <w:tcBorders>
              <w:bottom w:val="single" w:sz="8" w:color="E7E6E6"/>
            </w:tcBorders>
            <w:shd w:val="clear" w:color="auto" w:fill="E7E6E6"/>
          </w:tcPr>
          <w:p>
            <w:pPr>
              <w:spacing w:after="0"/>
              <w:rPr>
                <w:sz w:val="17"/>
                <w:szCs w:val="17"/>
                <w:color w:val="auto"/>
              </w:rPr>
            </w:pPr>
          </w:p>
        </w:tc>
        <w:tc>
          <w:tcPr>
            <w:tcW w:w="300" w:type="dxa"/>
            <w:vAlign w:val="bottom"/>
            <w:tcBorders>
              <w:bottom w:val="single" w:sz="8" w:color="E7E6E6"/>
              <w:right w:val="single" w:sz="8" w:color="auto"/>
            </w:tcBorders>
            <w:shd w:val="clear" w:color="auto" w:fill="E7E6E6"/>
          </w:tcPr>
          <w:p>
            <w:pPr>
              <w:ind w:left="40"/>
              <w:spacing w:after="0" w:line="164" w:lineRule="exact"/>
              <w:rPr>
                <w:sz w:val="20"/>
                <w:szCs w:val="20"/>
                <w:color w:val="auto"/>
              </w:rPr>
            </w:pPr>
            <w:r>
              <w:rPr>
                <w:rFonts w:ascii="Calibri" w:cs="Calibri" w:eastAsia="Calibri" w:hAnsi="Calibri"/>
                <w:sz w:val="14"/>
                <w:szCs w:val="14"/>
                <w:color w:val="auto"/>
                <w:w w:val="97"/>
              </w:rPr>
              <w:t>N/A</w:t>
            </w:r>
          </w:p>
        </w:tc>
        <w:tc>
          <w:tcPr>
            <w:tcW w:w="80" w:type="dxa"/>
            <w:vAlign w:val="bottom"/>
            <w:tcBorders>
              <w:bottom w:val="single" w:sz="8" w:color="E7E6E6"/>
            </w:tcBorders>
            <w:shd w:val="clear" w:color="auto" w:fill="E7E6E6"/>
          </w:tcPr>
          <w:p>
            <w:pPr>
              <w:spacing w:after="0"/>
              <w:rPr>
                <w:sz w:val="17"/>
                <w:szCs w:val="17"/>
                <w:color w:val="auto"/>
              </w:rPr>
            </w:pPr>
          </w:p>
        </w:tc>
        <w:tc>
          <w:tcPr>
            <w:tcW w:w="660" w:type="dxa"/>
            <w:vAlign w:val="bottom"/>
            <w:tcBorders>
              <w:bottom w:val="single" w:sz="8" w:color="E7E6E6"/>
              <w:right w:val="single" w:sz="8" w:color="auto"/>
            </w:tcBorders>
            <w:shd w:val="clear" w:color="auto" w:fill="E7E6E6"/>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360" w:type="dxa"/>
            <w:vAlign w:val="bottom"/>
            <w:tcBorders>
              <w:top w:val="single" w:sz="8" w:color="auto"/>
              <w:left w:val="single" w:sz="8" w:color="auto"/>
              <w:right w:val="single" w:sz="8" w:color="auto"/>
            </w:tcBorders>
          </w:tcPr>
          <w:p>
            <w:pPr>
              <w:spacing w:after="0"/>
              <w:rPr>
                <w:sz w:val="14"/>
                <w:szCs w:val="14"/>
                <w:color w:val="auto"/>
              </w:rPr>
            </w:pPr>
          </w:p>
        </w:tc>
        <w:tc>
          <w:tcPr>
            <w:tcW w:w="840" w:type="dxa"/>
            <w:vAlign w:val="bottom"/>
            <w:tcBorders>
              <w:top w:val="single" w:sz="8" w:color="auto"/>
              <w:right w:val="single" w:sz="8" w:color="auto"/>
            </w:tcBorders>
          </w:tcPr>
          <w:p>
            <w:pPr>
              <w:jc w:val="center"/>
              <w:spacing w:after="0" w:line="164" w:lineRule="exact"/>
              <w:rPr>
                <w:sz w:val="20"/>
                <w:szCs w:val="20"/>
                <w:color w:val="auto"/>
              </w:rPr>
            </w:pPr>
            <w:r>
              <w:rPr>
                <w:rFonts w:ascii="Calibri" w:cs="Calibri" w:eastAsia="Calibri" w:hAnsi="Calibri"/>
                <w:sz w:val="14"/>
                <w:szCs w:val="14"/>
                <w:color w:val="auto"/>
              </w:rPr>
              <w:t>2/21/23</w:t>
            </w:r>
          </w:p>
        </w:tc>
        <w:tc>
          <w:tcPr>
            <w:tcW w:w="460" w:type="dxa"/>
            <w:vAlign w:val="bottom"/>
            <w:tcBorders>
              <w:top w:val="single" w:sz="8" w:color="auto"/>
            </w:tcBorders>
          </w:tcPr>
          <w:p>
            <w:pPr>
              <w:spacing w:after="0"/>
              <w:rPr>
                <w:sz w:val="14"/>
                <w:szCs w:val="14"/>
                <w:color w:val="auto"/>
              </w:rPr>
            </w:pPr>
          </w:p>
        </w:tc>
        <w:tc>
          <w:tcPr>
            <w:tcW w:w="400" w:type="dxa"/>
            <w:vAlign w:val="bottom"/>
            <w:tcBorders>
              <w:top w:val="single" w:sz="8" w:color="auto"/>
              <w:right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20" w:type="dxa"/>
            <w:vAlign w:val="bottom"/>
            <w:tcBorders>
              <w:top w:val="single" w:sz="8" w:color="auto"/>
              <w:right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60" w:type="dxa"/>
            <w:vAlign w:val="bottom"/>
            <w:tcBorders>
              <w:top w:val="single" w:sz="8" w:color="auto"/>
              <w:right w:val="single" w:sz="8" w:color="auto"/>
            </w:tcBorders>
          </w:tcPr>
          <w:p>
            <w:pPr>
              <w:spacing w:after="0"/>
              <w:rPr>
                <w:sz w:val="14"/>
                <w:szCs w:val="14"/>
                <w:color w:val="auto"/>
              </w:rPr>
            </w:pPr>
          </w:p>
        </w:tc>
        <w:tc>
          <w:tcPr>
            <w:tcW w:w="880" w:type="dxa"/>
            <w:vAlign w:val="bottom"/>
            <w:tcBorders>
              <w:top w:val="single" w:sz="8" w:color="auto"/>
              <w:right w:val="single" w:sz="8" w:color="auto"/>
            </w:tcBorders>
          </w:tcPr>
          <w:p>
            <w:pPr>
              <w:ind w:left="640"/>
              <w:spacing w:after="0" w:line="164" w:lineRule="exact"/>
              <w:rPr>
                <w:sz w:val="20"/>
                <w:szCs w:val="20"/>
                <w:color w:val="auto"/>
              </w:rPr>
            </w:pPr>
            <w:r>
              <w:rPr>
                <w:rFonts w:ascii="Calibri" w:cs="Calibri" w:eastAsia="Calibri" w:hAnsi="Calibri"/>
                <w:sz w:val="14"/>
                <w:szCs w:val="14"/>
                <w:color w:val="auto"/>
              </w:rPr>
              <w:t>—</w:t>
            </w:r>
          </w:p>
        </w:tc>
        <w:tc>
          <w:tcPr>
            <w:tcW w:w="1040" w:type="dxa"/>
            <w:vAlign w:val="bottom"/>
            <w:tcBorders>
              <w:top w:val="single" w:sz="8" w:color="auto"/>
              <w:right w:val="single" w:sz="8" w:color="auto"/>
            </w:tcBorders>
          </w:tcPr>
          <w:p>
            <w:pPr>
              <w:jc w:val="right"/>
              <w:ind w:right="68"/>
              <w:spacing w:after="0" w:line="164" w:lineRule="exact"/>
              <w:rPr>
                <w:sz w:val="20"/>
                <w:szCs w:val="20"/>
                <w:color w:val="auto"/>
              </w:rPr>
            </w:pPr>
            <w:r>
              <w:rPr>
                <w:rFonts w:ascii="Calibri" w:cs="Calibri" w:eastAsia="Calibri" w:hAnsi="Calibri"/>
                <w:sz w:val="14"/>
                <w:szCs w:val="14"/>
                <w:color w:val="auto"/>
              </w:rPr>
              <w:t>10,996</w:t>
            </w:r>
          </w:p>
        </w:tc>
        <w:tc>
          <w:tcPr>
            <w:tcW w:w="760" w:type="dxa"/>
            <w:vAlign w:val="bottom"/>
            <w:tcBorders>
              <w:top w:val="single" w:sz="8" w:color="auto"/>
              <w:right w:val="single" w:sz="8" w:color="auto"/>
            </w:tcBorders>
          </w:tcPr>
          <w:p>
            <w:pPr>
              <w:jc w:val="right"/>
              <w:ind w:right="68"/>
              <w:spacing w:after="0" w:line="164" w:lineRule="exact"/>
              <w:rPr>
                <w:sz w:val="20"/>
                <w:szCs w:val="20"/>
                <w:color w:val="auto"/>
              </w:rPr>
            </w:pPr>
            <w:r>
              <w:rPr>
                <w:rFonts w:ascii="Calibri" w:cs="Calibri" w:eastAsia="Calibri" w:hAnsi="Calibri"/>
                <w:sz w:val="14"/>
                <w:szCs w:val="14"/>
                <w:color w:val="auto"/>
              </w:rPr>
              <w:t>21,992</w:t>
            </w:r>
          </w:p>
        </w:tc>
        <w:tc>
          <w:tcPr>
            <w:tcW w:w="820" w:type="dxa"/>
            <w:vAlign w:val="bottom"/>
            <w:tcBorders>
              <w:top w:val="single" w:sz="8" w:color="auto"/>
              <w:right w:val="single" w:sz="8" w:color="auto"/>
            </w:tcBorders>
          </w:tcPr>
          <w:p>
            <w:pPr>
              <w:jc w:val="right"/>
              <w:ind w:right="48"/>
              <w:spacing w:after="0" w:line="164" w:lineRule="exact"/>
              <w:rPr>
                <w:sz w:val="20"/>
                <w:szCs w:val="20"/>
                <w:color w:val="auto"/>
              </w:rPr>
            </w:pPr>
            <w:r>
              <w:rPr>
                <w:rFonts w:ascii="Calibri" w:cs="Calibri" w:eastAsia="Calibri" w:hAnsi="Calibri"/>
                <w:sz w:val="14"/>
                <w:szCs w:val="14"/>
                <w:color w:val="auto"/>
              </w:rPr>
              <w:t>5,921</w:t>
            </w:r>
          </w:p>
        </w:tc>
        <w:tc>
          <w:tcPr>
            <w:tcW w:w="760" w:type="dxa"/>
            <w:vAlign w:val="bottom"/>
            <w:tcBorders>
              <w:top w:val="single" w:sz="8" w:color="auto"/>
              <w:right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300" w:type="dxa"/>
            <w:vAlign w:val="bottom"/>
            <w:tcBorders>
              <w:top w:val="single" w:sz="8" w:color="auto"/>
              <w:right w:val="single" w:sz="8" w:color="auto"/>
            </w:tcBorders>
          </w:tcPr>
          <w:p>
            <w:pPr>
              <w:spacing w:after="0"/>
              <w:rPr>
                <w:sz w:val="14"/>
                <w:szCs w:val="14"/>
                <w:color w:val="auto"/>
              </w:rPr>
            </w:pPr>
          </w:p>
        </w:tc>
        <w:tc>
          <w:tcPr>
            <w:tcW w:w="8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660" w:type="dxa"/>
            <w:vAlign w:val="bottom"/>
            <w:tcBorders>
              <w:top w:val="single" w:sz="8" w:color="auto"/>
              <w:right w:val="single" w:sz="8" w:color="auto"/>
            </w:tcBorders>
          </w:tcPr>
          <w:p>
            <w:pPr>
              <w:jc w:val="right"/>
              <w:ind w:right="48"/>
              <w:spacing w:after="0" w:line="164" w:lineRule="exact"/>
              <w:rPr>
                <w:sz w:val="20"/>
                <w:szCs w:val="20"/>
                <w:color w:val="auto"/>
              </w:rPr>
            </w:pPr>
            <w:r>
              <w:rPr>
                <w:rFonts w:ascii="Calibri" w:cs="Calibri" w:eastAsia="Calibri" w:hAnsi="Calibri"/>
                <w:sz w:val="14"/>
                <w:szCs w:val="14"/>
                <w:color w:val="auto"/>
              </w:rPr>
              <w:t>703,121</w:t>
            </w:r>
          </w:p>
        </w:tc>
        <w:tc>
          <w:tcPr>
            <w:tcW w:w="0" w:type="dxa"/>
            <w:vAlign w:val="bottom"/>
          </w:tcPr>
          <w:p>
            <w:pPr>
              <w:spacing w:after="0"/>
              <w:rPr>
                <w:sz w:val="1"/>
                <w:szCs w:val="1"/>
                <w:color w:val="auto"/>
              </w:rPr>
            </w:pP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360" w:type="dxa"/>
            <w:vAlign w:val="bottom"/>
            <w:tcBorders>
              <w:left w:val="single" w:sz="8" w:color="auto"/>
              <w:bottom w:val="single" w:sz="8" w:color="E7E6E6"/>
              <w:right w:val="single" w:sz="8" w:color="auto"/>
            </w:tcBorders>
            <w:shd w:val="clear" w:color="auto" w:fill="E7E6E6"/>
          </w:tcPr>
          <w:p>
            <w:pPr>
              <w:ind w:left="40"/>
              <w:spacing w:after="0" w:line="164" w:lineRule="exact"/>
              <w:rPr>
                <w:sz w:val="20"/>
                <w:szCs w:val="20"/>
                <w:color w:val="auto"/>
              </w:rPr>
            </w:pPr>
            <w:r>
              <w:rPr>
                <w:rFonts w:ascii="Calibri" w:cs="Calibri" w:eastAsia="Calibri" w:hAnsi="Calibri"/>
                <w:sz w:val="14"/>
                <w:szCs w:val="14"/>
                <w:color w:val="auto"/>
              </w:rPr>
              <w:t>D. Jones</w:t>
            </w:r>
          </w:p>
        </w:tc>
        <w:tc>
          <w:tcPr>
            <w:tcW w:w="840" w:type="dxa"/>
            <w:vAlign w:val="bottom"/>
            <w:tcBorders>
              <w:bottom w:val="single" w:sz="8" w:color="E7E6E6"/>
              <w:right w:val="single" w:sz="8" w:color="auto"/>
            </w:tcBorders>
            <w:shd w:val="clear" w:color="auto" w:fill="E7E6E6"/>
          </w:tcPr>
          <w:p>
            <w:pPr>
              <w:spacing w:after="0"/>
              <w:rPr>
                <w:sz w:val="17"/>
                <w:szCs w:val="17"/>
                <w:color w:val="auto"/>
              </w:rPr>
            </w:pPr>
          </w:p>
        </w:tc>
        <w:tc>
          <w:tcPr>
            <w:tcW w:w="460" w:type="dxa"/>
            <w:vAlign w:val="bottom"/>
            <w:tcBorders>
              <w:bottom w:val="single" w:sz="8" w:color="E7E6E6"/>
            </w:tcBorders>
            <w:shd w:val="clear" w:color="auto" w:fill="E7E6E6"/>
          </w:tcPr>
          <w:p>
            <w:pPr>
              <w:jc w:val="right"/>
              <w:ind w:right="308"/>
              <w:spacing w:after="0" w:line="164" w:lineRule="exact"/>
              <w:rPr>
                <w:sz w:val="20"/>
                <w:szCs w:val="20"/>
                <w:color w:val="auto"/>
              </w:rPr>
            </w:pPr>
            <w:r>
              <w:rPr>
                <w:rFonts w:ascii="Calibri" w:cs="Calibri" w:eastAsia="Calibri" w:hAnsi="Calibri"/>
                <w:sz w:val="14"/>
                <w:szCs w:val="14"/>
                <w:color w:val="auto"/>
                <w:w w:val="83"/>
              </w:rPr>
              <w:t>$</w:t>
            </w:r>
          </w:p>
        </w:tc>
        <w:tc>
          <w:tcPr>
            <w:tcW w:w="400" w:type="dxa"/>
            <w:vAlign w:val="bottom"/>
            <w:tcBorders>
              <w:bottom w:val="single" w:sz="8" w:color="E7E6E6"/>
              <w:right w:val="single" w:sz="8" w:color="auto"/>
            </w:tcBorders>
            <w:shd w:val="clear" w:color="auto" w:fill="E7E6E6"/>
          </w:tcPr>
          <w:p>
            <w:pPr>
              <w:ind w:left="140"/>
              <w:spacing w:after="0" w:line="164" w:lineRule="exact"/>
              <w:rPr>
                <w:sz w:val="20"/>
                <w:szCs w:val="20"/>
                <w:color w:val="auto"/>
              </w:rPr>
            </w:pPr>
            <w:r>
              <w:rPr>
                <w:rFonts w:ascii="Calibri" w:cs="Calibri" w:eastAsia="Calibri" w:hAnsi="Calibri"/>
                <w:sz w:val="14"/>
                <w:szCs w:val="14"/>
                <w:color w:val="auto"/>
              </w:rPr>
              <w:t>—</w:t>
            </w:r>
          </w:p>
        </w:tc>
        <w:tc>
          <w:tcPr>
            <w:tcW w:w="160" w:type="dxa"/>
            <w:vAlign w:val="bottom"/>
            <w:tcBorders>
              <w:bottom w:val="single" w:sz="8" w:color="E7E6E6"/>
            </w:tcBorders>
            <w:shd w:val="clear" w:color="auto" w:fill="E7E6E6"/>
          </w:tcPr>
          <w:p>
            <w:pPr>
              <w:jc w:val="right"/>
              <w:ind w:right="8"/>
              <w:spacing w:after="0" w:line="164" w:lineRule="exact"/>
              <w:rPr>
                <w:sz w:val="20"/>
                <w:szCs w:val="20"/>
                <w:color w:val="auto"/>
              </w:rPr>
            </w:pPr>
            <w:r>
              <w:rPr>
                <w:rFonts w:ascii="Calibri" w:cs="Calibri" w:eastAsia="Calibri" w:hAnsi="Calibri"/>
                <w:sz w:val="14"/>
                <w:szCs w:val="14"/>
                <w:color w:val="auto"/>
                <w:w w:val="83"/>
              </w:rPr>
              <w:t>$</w:t>
            </w:r>
          </w:p>
        </w:tc>
        <w:tc>
          <w:tcPr>
            <w:tcW w:w="920" w:type="dxa"/>
            <w:vAlign w:val="bottom"/>
            <w:tcBorders>
              <w:bottom w:val="single" w:sz="8" w:color="E7E6E6"/>
              <w:right w:val="single" w:sz="8" w:color="auto"/>
            </w:tcBorders>
            <w:shd w:val="clear" w:color="auto" w:fill="E7E6E6"/>
          </w:tcPr>
          <w:p>
            <w:pPr>
              <w:jc w:val="right"/>
              <w:ind w:right="68"/>
              <w:spacing w:after="0" w:line="164" w:lineRule="exact"/>
              <w:rPr>
                <w:sz w:val="20"/>
                <w:szCs w:val="20"/>
                <w:color w:val="auto"/>
              </w:rPr>
            </w:pPr>
            <w:r>
              <w:rPr>
                <w:rFonts w:ascii="Calibri" w:cs="Calibri" w:eastAsia="Calibri" w:hAnsi="Calibri"/>
                <w:sz w:val="14"/>
                <w:szCs w:val="14"/>
                <w:color w:val="auto"/>
              </w:rPr>
              <w:t>305,949</w:t>
            </w:r>
          </w:p>
        </w:tc>
        <w:tc>
          <w:tcPr>
            <w:tcW w:w="260" w:type="dxa"/>
            <w:vAlign w:val="bottom"/>
            <w:tcBorders>
              <w:bottom w:val="single" w:sz="8" w:color="E7E6E6"/>
            </w:tcBorders>
            <w:shd w:val="clear" w:color="auto" w:fill="E7E6E6"/>
          </w:tcPr>
          <w:p>
            <w:pPr>
              <w:jc w:val="right"/>
              <w:ind w:right="108"/>
              <w:spacing w:after="0" w:line="164" w:lineRule="exact"/>
              <w:rPr>
                <w:sz w:val="20"/>
                <w:szCs w:val="20"/>
                <w:color w:val="auto"/>
              </w:rPr>
            </w:pPr>
            <w:r>
              <w:rPr>
                <w:rFonts w:ascii="Calibri" w:cs="Calibri" w:eastAsia="Calibri" w:hAnsi="Calibri"/>
                <w:sz w:val="14"/>
                <w:szCs w:val="14"/>
                <w:color w:val="auto"/>
                <w:w w:val="83"/>
              </w:rPr>
              <w:t>$</w:t>
            </w:r>
          </w:p>
        </w:tc>
        <w:tc>
          <w:tcPr>
            <w:tcW w:w="760" w:type="dxa"/>
            <w:vAlign w:val="bottom"/>
            <w:tcBorders>
              <w:bottom w:val="single" w:sz="8" w:color="E7E6E6"/>
              <w:right w:val="single" w:sz="8" w:color="auto"/>
            </w:tcBorders>
            <w:shd w:val="clear" w:color="auto" w:fill="E7E6E6"/>
          </w:tcPr>
          <w:p>
            <w:pPr>
              <w:jc w:val="right"/>
              <w:ind w:right="68"/>
              <w:spacing w:after="0" w:line="164" w:lineRule="exact"/>
              <w:rPr>
                <w:sz w:val="20"/>
                <w:szCs w:val="20"/>
                <w:color w:val="auto"/>
              </w:rPr>
            </w:pPr>
            <w:r>
              <w:rPr>
                <w:rFonts w:ascii="Calibri" w:cs="Calibri" w:eastAsia="Calibri" w:hAnsi="Calibri"/>
                <w:sz w:val="14"/>
                <w:szCs w:val="14"/>
                <w:color w:val="auto"/>
              </w:rPr>
              <w:t>611,898</w:t>
            </w:r>
          </w:p>
        </w:tc>
        <w:tc>
          <w:tcPr>
            <w:tcW w:w="880" w:type="dxa"/>
            <w:vAlign w:val="bottom"/>
            <w:tcBorders>
              <w:bottom w:val="single" w:sz="8" w:color="E7E6E6"/>
              <w:right w:val="single" w:sz="8" w:color="auto"/>
            </w:tcBorders>
            <w:shd w:val="clear" w:color="auto" w:fill="E7E6E6"/>
          </w:tcPr>
          <w:p>
            <w:pPr>
              <w:spacing w:after="0"/>
              <w:rPr>
                <w:sz w:val="17"/>
                <w:szCs w:val="17"/>
                <w:color w:val="auto"/>
              </w:rPr>
            </w:pPr>
          </w:p>
        </w:tc>
        <w:tc>
          <w:tcPr>
            <w:tcW w:w="1040" w:type="dxa"/>
            <w:vAlign w:val="bottom"/>
            <w:tcBorders>
              <w:bottom w:val="single" w:sz="8" w:color="E7E6E6"/>
              <w:right w:val="single" w:sz="8" w:color="auto"/>
            </w:tcBorders>
            <w:shd w:val="clear" w:color="auto" w:fill="E7E6E6"/>
          </w:tcPr>
          <w:p>
            <w:pPr>
              <w:spacing w:after="0"/>
              <w:rPr>
                <w:sz w:val="17"/>
                <w:szCs w:val="17"/>
                <w:color w:val="auto"/>
              </w:rPr>
            </w:pPr>
          </w:p>
        </w:tc>
        <w:tc>
          <w:tcPr>
            <w:tcW w:w="760" w:type="dxa"/>
            <w:vAlign w:val="bottom"/>
            <w:tcBorders>
              <w:bottom w:val="single" w:sz="8" w:color="E7E6E6"/>
              <w:right w:val="single" w:sz="8" w:color="auto"/>
            </w:tcBorders>
            <w:shd w:val="clear" w:color="auto" w:fill="E7E6E6"/>
          </w:tcPr>
          <w:p>
            <w:pPr>
              <w:spacing w:after="0"/>
              <w:rPr>
                <w:sz w:val="17"/>
                <w:szCs w:val="17"/>
                <w:color w:val="auto"/>
              </w:rPr>
            </w:pPr>
          </w:p>
        </w:tc>
        <w:tc>
          <w:tcPr>
            <w:tcW w:w="820" w:type="dxa"/>
            <w:vAlign w:val="bottom"/>
            <w:tcBorders>
              <w:bottom w:val="single" w:sz="8" w:color="E7E6E6"/>
              <w:right w:val="single" w:sz="8" w:color="auto"/>
            </w:tcBorders>
            <w:shd w:val="clear" w:color="auto" w:fill="E7E6E6"/>
          </w:tcPr>
          <w:p>
            <w:pPr>
              <w:spacing w:after="0"/>
              <w:rPr>
                <w:sz w:val="17"/>
                <w:szCs w:val="17"/>
                <w:color w:val="auto"/>
              </w:rPr>
            </w:pPr>
          </w:p>
        </w:tc>
        <w:tc>
          <w:tcPr>
            <w:tcW w:w="760" w:type="dxa"/>
            <w:vAlign w:val="bottom"/>
            <w:tcBorders>
              <w:bottom w:val="single" w:sz="8" w:color="E7E6E6"/>
              <w:right w:val="single" w:sz="8" w:color="auto"/>
            </w:tcBorders>
            <w:shd w:val="clear" w:color="auto" w:fill="E7E6E6"/>
          </w:tcPr>
          <w:p>
            <w:pPr>
              <w:ind w:left="500"/>
              <w:spacing w:after="0" w:line="164" w:lineRule="exact"/>
              <w:rPr>
                <w:sz w:val="20"/>
                <w:szCs w:val="20"/>
                <w:color w:val="auto"/>
              </w:rPr>
            </w:pPr>
            <w:r>
              <w:rPr>
                <w:rFonts w:ascii="Calibri" w:cs="Calibri" w:eastAsia="Calibri" w:hAnsi="Calibri"/>
                <w:sz w:val="14"/>
                <w:szCs w:val="14"/>
                <w:color w:val="auto"/>
                <w:w w:val="97"/>
              </w:rPr>
              <w:t>N/A</w:t>
            </w:r>
          </w:p>
        </w:tc>
        <w:tc>
          <w:tcPr>
            <w:tcW w:w="780" w:type="dxa"/>
            <w:vAlign w:val="bottom"/>
            <w:tcBorders>
              <w:bottom w:val="single" w:sz="8" w:color="E7E6E6"/>
            </w:tcBorders>
            <w:shd w:val="clear" w:color="auto" w:fill="E7E6E6"/>
          </w:tcPr>
          <w:p>
            <w:pPr>
              <w:spacing w:after="0"/>
              <w:rPr>
                <w:sz w:val="17"/>
                <w:szCs w:val="17"/>
                <w:color w:val="auto"/>
              </w:rPr>
            </w:pPr>
          </w:p>
        </w:tc>
        <w:tc>
          <w:tcPr>
            <w:tcW w:w="300" w:type="dxa"/>
            <w:vAlign w:val="bottom"/>
            <w:tcBorders>
              <w:bottom w:val="single" w:sz="8" w:color="E7E6E6"/>
              <w:right w:val="single" w:sz="8" w:color="auto"/>
            </w:tcBorders>
            <w:shd w:val="clear" w:color="auto" w:fill="E7E6E6"/>
          </w:tcPr>
          <w:p>
            <w:pPr>
              <w:ind w:left="40"/>
              <w:spacing w:after="0" w:line="164" w:lineRule="exact"/>
              <w:rPr>
                <w:sz w:val="20"/>
                <w:szCs w:val="20"/>
                <w:color w:val="auto"/>
              </w:rPr>
            </w:pPr>
            <w:r>
              <w:rPr>
                <w:rFonts w:ascii="Calibri" w:cs="Calibri" w:eastAsia="Calibri" w:hAnsi="Calibri"/>
                <w:sz w:val="14"/>
                <w:szCs w:val="14"/>
                <w:color w:val="auto"/>
                <w:w w:val="97"/>
              </w:rPr>
              <w:t>N/A</w:t>
            </w:r>
          </w:p>
        </w:tc>
        <w:tc>
          <w:tcPr>
            <w:tcW w:w="80" w:type="dxa"/>
            <w:vAlign w:val="bottom"/>
            <w:tcBorders>
              <w:bottom w:val="single" w:sz="8" w:color="E7E6E6"/>
            </w:tcBorders>
            <w:shd w:val="clear" w:color="auto" w:fill="E7E6E6"/>
          </w:tcPr>
          <w:p>
            <w:pPr>
              <w:spacing w:after="0"/>
              <w:rPr>
                <w:sz w:val="17"/>
                <w:szCs w:val="17"/>
                <w:color w:val="auto"/>
              </w:rPr>
            </w:pPr>
          </w:p>
        </w:tc>
        <w:tc>
          <w:tcPr>
            <w:tcW w:w="660" w:type="dxa"/>
            <w:vAlign w:val="bottom"/>
            <w:tcBorders>
              <w:bottom w:val="single" w:sz="8" w:color="E7E6E6"/>
              <w:right w:val="single" w:sz="8" w:color="auto"/>
            </w:tcBorders>
            <w:shd w:val="clear" w:color="auto" w:fill="E7E6E6"/>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360" w:type="dxa"/>
            <w:vAlign w:val="bottom"/>
            <w:tcBorders>
              <w:top w:val="single" w:sz="8" w:color="auto"/>
              <w:left w:val="single" w:sz="8" w:color="auto"/>
              <w:right w:val="single" w:sz="8" w:color="auto"/>
            </w:tcBorders>
          </w:tcPr>
          <w:p>
            <w:pPr>
              <w:spacing w:after="0"/>
              <w:rPr>
                <w:sz w:val="14"/>
                <w:szCs w:val="14"/>
                <w:color w:val="auto"/>
              </w:rPr>
            </w:pPr>
          </w:p>
        </w:tc>
        <w:tc>
          <w:tcPr>
            <w:tcW w:w="840" w:type="dxa"/>
            <w:vAlign w:val="bottom"/>
            <w:tcBorders>
              <w:top w:val="single" w:sz="8" w:color="auto"/>
              <w:right w:val="single" w:sz="8" w:color="auto"/>
            </w:tcBorders>
          </w:tcPr>
          <w:p>
            <w:pPr>
              <w:jc w:val="center"/>
              <w:spacing w:after="0" w:line="164" w:lineRule="exact"/>
              <w:rPr>
                <w:sz w:val="20"/>
                <w:szCs w:val="20"/>
                <w:color w:val="auto"/>
              </w:rPr>
            </w:pPr>
            <w:r>
              <w:rPr>
                <w:rFonts w:ascii="Calibri" w:cs="Calibri" w:eastAsia="Calibri" w:hAnsi="Calibri"/>
                <w:sz w:val="14"/>
                <w:szCs w:val="14"/>
                <w:color w:val="auto"/>
              </w:rPr>
              <w:t>2/21/23</w:t>
            </w:r>
          </w:p>
        </w:tc>
        <w:tc>
          <w:tcPr>
            <w:tcW w:w="460" w:type="dxa"/>
            <w:vAlign w:val="bottom"/>
            <w:tcBorders>
              <w:top w:val="single" w:sz="8" w:color="auto"/>
            </w:tcBorders>
          </w:tcPr>
          <w:p>
            <w:pPr>
              <w:spacing w:after="0"/>
              <w:rPr>
                <w:sz w:val="14"/>
                <w:szCs w:val="14"/>
                <w:color w:val="auto"/>
              </w:rPr>
            </w:pPr>
          </w:p>
        </w:tc>
        <w:tc>
          <w:tcPr>
            <w:tcW w:w="400" w:type="dxa"/>
            <w:vAlign w:val="bottom"/>
            <w:tcBorders>
              <w:top w:val="single" w:sz="8" w:color="auto"/>
              <w:right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20" w:type="dxa"/>
            <w:vAlign w:val="bottom"/>
            <w:tcBorders>
              <w:top w:val="single" w:sz="8" w:color="auto"/>
              <w:right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60" w:type="dxa"/>
            <w:vAlign w:val="bottom"/>
            <w:tcBorders>
              <w:top w:val="single" w:sz="8" w:color="auto"/>
              <w:right w:val="single" w:sz="8" w:color="auto"/>
            </w:tcBorders>
          </w:tcPr>
          <w:p>
            <w:pPr>
              <w:spacing w:after="0"/>
              <w:rPr>
                <w:sz w:val="14"/>
                <w:szCs w:val="14"/>
                <w:color w:val="auto"/>
              </w:rPr>
            </w:pPr>
          </w:p>
        </w:tc>
        <w:tc>
          <w:tcPr>
            <w:tcW w:w="880" w:type="dxa"/>
            <w:vAlign w:val="bottom"/>
            <w:tcBorders>
              <w:top w:val="single" w:sz="8" w:color="auto"/>
              <w:right w:val="single" w:sz="8" w:color="auto"/>
            </w:tcBorders>
          </w:tcPr>
          <w:p>
            <w:pPr>
              <w:ind w:left="640"/>
              <w:spacing w:after="0" w:line="164" w:lineRule="exact"/>
              <w:rPr>
                <w:sz w:val="20"/>
                <w:szCs w:val="20"/>
                <w:color w:val="auto"/>
              </w:rPr>
            </w:pPr>
            <w:r>
              <w:rPr>
                <w:rFonts w:ascii="Calibri" w:cs="Calibri" w:eastAsia="Calibri" w:hAnsi="Calibri"/>
                <w:sz w:val="14"/>
                <w:szCs w:val="14"/>
                <w:color w:val="auto"/>
              </w:rPr>
              <w:t>—</w:t>
            </w:r>
          </w:p>
        </w:tc>
        <w:tc>
          <w:tcPr>
            <w:tcW w:w="1040" w:type="dxa"/>
            <w:vAlign w:val="bottom"/>
            <w:tcBorders>
              <w:top w:val="single" w:sz="8" w:color="auto"/>
              <w:right w:val="single" w:sz="8" w:color="auto"/>
            </w:tcBorders>
          </w:tcPr>
          <w:p>
            <w:pPr>
              <w:jc w:val="right"/>
              <w:ind w:right="68"/>
              <w:spacing w:after="0" w:line="164" w:lineRule="exact"/>
              <w:rPr>
                <w:sz w:val="20"/>
                <w:szCs w:val="20"/>
                <w:color w:val="auto"/>
              </w:rPr>
            </w:pPr>
            <w:r>
              <w:rPr>
                <w:rFonts w:ascii="Calibri" w:cs="Calibri" w:eastAsia="Calibri" w:hAnsi="Calibri"/>
                <w:sz w:val="14"/>
                <w:szCs w:val="14"/>
                <w:color w:val="auto"/>
              </w:rPr>
              <w:t>10,404</w:t>
            </w:r>
          </w:p>
        </w:tc>
        <w:tc>
          <w:tcPr>
            <w:tcW w:w="760" w:type="dxa"/>
            <w:vAlign w:val="bottom"/>
            <w:tcBorders>
              <w:top w:val="single" w:sz="8" w:color="auto"/>
              <w:right w:val="single" w:sz="8" w:color="auto"/>
            </w:tcBorders>
          </w:tcPr>
          <w:p>
            <w:pPr>
              <w:jc w:val="right"/>
              <w:ind w:right="68"/>
              <w:spacing w:after="0" w:line="164" w:lineRule="exact"/>
              <w:rPr>
                <w:sz w:val="20"/>
                <w:szCs w:val="20"/>
                <w:color w:val="auto"/>
              </w:rPr>
            </w:pPr>
            <w:r>
              <w:rPr>
                <w:rFonts w:ascii="Calibri" w:cs="Calibri" w:eastAsia="Calibri" w:hAnsi="Calibri"/>
                <w:sz w:val="14"/>
                <w:szCs w:val="14"/>
                <w:color w:val="auto"/>
              </w:rPr>
              <w:t>20,808</w:t>
            </w:r>
          </w:p>
        </w:tc>
        <w:tc>
          <w:tcPr>
            <w:tcW w:w="820" w:type="dxa"/>
            <w:vAlign w:val="bottom"/>
            <w:tcBorders>
              <w:top w:val="single" w:sz="8" w:color="auto"/>
              <w:right w:val="single" w:sz="8" w:color="auto"/>
            </w:tcBorders>
          </w:tcPr>
          <w:p>
            <w:pPr>
              <w:jc w:val="right"/>
              <w:ind w:right="48"/>
              <w:spacing w:after="0" w:line="164" w:lineRule="exact"/>
              <w:rPr>
                <w:sz w:val="20"/>
                <w:szCs w:val="20"/>
                <w:color w:val="auto"/>
              </w:rPr>
            </w:pPr>
            <w:r>
              <w:rPr>
                <w:rFonts w:ascii="Calibri" w:cs="Calibri" w:eastAsia="Calibri" w:hAnsi="Calibri"/>
                <w:sz w:val="14"/>
                <w:szCs w:val="14"/>
                <w:color w:val="auto"/>
              </w:rPr>
              <w:t>5,602</w:t>
            </w:r>
          </w:p>
        </w:tc>
        <w:tc>
          <w:tcPr>
            <w:tcW w:w="760" w:type="dxa"/>
            <w:vAlign w:val="bottom"/>
            <w:tcBorders>
              <w:top w:val="single" w:sz="8" w:color="auto"/>
              <w:right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300" w:type="dxa"/>
            <w:vAlign w:val="bottom"/>
            <w:tcBorders>
              <w:top w:val="single" w:sz="8" w:color="auto"/>
              <w:right w:val="single" w:sz="8" w:color="auto"/>
            </w:tcBorders>
          </w:tcPr>
          <w:p>
            <w:pPr>
              <w:spacing w:after="0"/>
              <w:rPr>
                <w:sz w:val="14"/>
                <w:szCs w:val="14"/>
                <w:color w:val="auto"/>
              </w:rPr>
            </w:pPr>
          </w:p>
        </w:tc>
        <w:tc>
          <w:tcPr>
            <w:tcW w:w="8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660" w:type="dxa"/>
            <w:vAlign w:val="bottom"/>
            <w:tcBorders>
              <w:top w:val="single" w:sz="8" w:color="auto"/>
              <w:right w:val="single" w:sz="8" w:color="auto"/>
            </w:tcBorders>
          </w:tcPr>
          <w:p>
            <w:pPr>
              <w:jc w:val="right"/>
              <w:ind w:right="48"/>
              <w:spacing w:after="0" w:line="164" w:lineRule="exact"/>
              <w:rPr>
                <w:sz w:val="20"/>
                <w:szCs w:val="20"/>
                <w:color w:val="auto"/>
              </w:rPr>
            </w:pPr>
            <w:r>
              <w:rPr>
                <w:rFonts w:ascii="Calibri" w:cs="Calibri" w:eastAsia="Calibri" w:hAnsi="Calibri"/>
                <w:sz w:val="14"/>
                <w:szCs w:val="14"/>
                <w:color w:val="auto"/>
              </w:rPr>
              <w:t>665,258</w:t>
            </w:r>
          </w:p>
        </w:tc>
        <w:tc>
          <w:tcPr>
            <w:tcW w:w="0" w:type="dxa"/>
            <w:vAlign w:val="bottom"/>
          </w:tcPr>
          <w:p>
            <w:pPr>
              <w:spacing w:after="0"/>
              <w:rPr>
                <w:sz w:val="1"/>
                <w:szCs w:val="1"/>
                <w:color w:val="auto"/>
              </w:rPr>
            </w:pP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360" w:type="dxa"/>
            <w:vAlign w:val="bottom"/>
            <w:tcBorders>
              <w:left w:val="single" w:sz="8" w:color="auto"/>
              <w:bottom w:val="single" w:sz="8" w:color="E7E6E6"/>
              <w:right w:val="single" w:sz="8" w:color="auto"/>
            </w:tcBorders>
            <w:shd w:val="clear" w:color="auto" w:fill="E7E6E6"/>
          </w:tcPr>
          <w:p>
            <w:pPr>
              <w:ind w:left="40"/>
              <w:spacing w:after="0" w:line="164" w:lineRule="exact"/>
              <w:rPr>
                <w:sz w:val="20"/>
                <w:szCs w:val="20"/>
                <w:color w:val="auto"/>
              </w:rPr>
            </w:pPr>
            <w:r>
              <w:rPr>
                <w:rFonts w:ascii="Calibri" w:cs="Calibri" w:eastAsia="Calibri" w:hAnsi="Calibri"/>
                <w:sz w:val="14"/>
                <w:szCs w:val="14"/>
                <w:color w:val="auto"/>
              </w:rPr>
              <w:t>C. McQuiston</w:t>
            </w:r>
          </w:p>
        </w:tc>
        <w:tc>
          <w:tcPr>
            <w:tcW w:w="840" w:type="dxa"/>
            <w:vAlign w:val="bottom"/>
            <w:tcBorders>
              <w:bottom w:val="single" w:sz="8" w:color="E7E6E6"/>
              <w:right w:val="single" w:sz="8" w:color="auto"/>
            </w:tcBorders>
            <w:shd w:val="clear" w:color="auto" w:fill="E7E6E6"/>
          </w:tcPr>
          <w:p>
            <w:pPr>
              <w:spacing w:after="0"/>
              <w:rPr>
                <w:sz w:val="17"/>
                <w:szCs w:val="17"/>
                <w:color w:val="auto"/>
              </w:rPr>
            </w:pPr>
          </w:p>
        </w:tc>
        <w:tc>
          <w:tcPr>
            <w:tcW w:w="460" w:type="dxa"/>
            <w:vAlign w:val="bottom"/>
            <w:tcBorders>
              <w:bottom w:val="single" w:sz="8" w:color="E7E6E6"/>
            </w:tcBorders>
            <w:shd w:val="clear" w:color="auto" w:fill="E7E6E6"/>
          </w:tcPr>
          <w:p>
            <w:pPr>
              <w:jc w:val="right"/>
              <w:ind w:right="308"/>
              <w:spacing w:after="0" w:line="164" w:lineRule="exact"/>
              <w:rPr>
                <w:sz w:val="20"/>
                <w:szCs w:val="20"/>
                <w:color w:val="auto"/>
              </w:rPr>
            </w:pPr>
            <w:r>
              <w:rPr>
                <w:rFonts w:ascii="Calibri" w:cs="Calibri" w:eastAsia="Calibri" w:hAnsi="Calibri"/>
                <w:sz w:val="14"/>
                <w:szCs w:val="14"/>
                <w:color w:val="auto"/>
                <w:w w:val="83"/>
              </w:rPr>
              <w:t>$</w:t>
            </w:r>
          </w:p>
        </w:tc>
        <w:tc>
          <w:tcPr>
            <w:tcW w:w="400" w:type="dxa"/>
            <w:vAlign w:val="bottom"/>
            <w:tcBorders>
              <w:bottom w:val="single" w:sz="8" w:color="E7E6E6"/>
              <w:right w:val="single" w:sz="8" w:color="auto"/>
            </w:tcBorders>
            <w:shd w:val="clear" w:color="auto" w:fill="E7E6E6"/>
          </w:tcPr>
          <w:p>
            <w:pPr>
              <w:ind w:left="140"/>
              <w:spacing w:after="0" w:line="164" w:lineRule="exact"/>
              <w:rPr>
                <w:sz w:val="20"/>
                <w:szCs w:val="20"/>
                <w:color w:val="auto"/>
              </w:rPr>
            </w:pPr>
            <w:r>
              <w:rPr>
                <w:rFonts w:ascii="Calibri" w:cs="Calibri" w:eastAsia="Calibri" w:hAnsi="Calibri"/>
                <w:sz w:val="14"/>
                <w:szCs w:val="14"/>
                <w:color w:val="auto"/>
              </w:rPr>
              <w:t>—</w:t>
            </w:r>
          </w:p>
        </w:tc>
        <w:tc>
          <w:tcPr>
            <w:tcW w:w="160" w:type="dxa"/>
            <w:vAlign w:val="bottom"/>
            <w:tcBorders>
              <w:bottom w:val="single" w:sz="8" w:color="E7E6E6"/>
            </w:tcBorders>
            <w:shd w:val="clear" w:color="auto" w:fill="E7E6E6"/>
          </w:tcPr>
          <w:p>
            <w:pPr>
              <w:jc w:val="right"/>
              <w:ind w:right="8"/>
              <w:spacing w:after="0" w:line="164" w:lineRule="exact"/>
              <w:rPr>
                <w:sz w:val="20"/>
                <w:szCs w:val="20"/>
                <w:color w:val="auto"/>
              </w:rPr>
            </w:pPr>
            <w:r>
              <w:rPr>
                <w:rFonts w:ascii="Calibri" w:cs="Calibri" w:eastAsia="Calibri" w:hAnsi="Calibri"/>
                <w:sz w:val="14"/>
                <w:szCs w:val="14"/>
                <w:color w:val="auto"/>
                <w:w w:val="83"/>
              </w:rPr>
              <w:t>$</w:t>
            </w:r>
          </w:p>
        </w:tc>
        <w:tc>
          <w:tcPr>
            <w:tcW w:w="920" w:type="dxa"/>
            <w:vAlign w:val="bottom"/>
            <w:tcBorders>
              <w:bottom w:val="single" w:sz="8" w:color="E7E6E6"/>
              <w:right w:val="single" w:sz="8" w:color="auto"/>
            </w:tcBorders>
            <w:shd w:val="clear" w:color="auto" w:fill="E7E6E6"/>
          </w:tcPr>
          <w:p>
            <w:pPr>
              <w:jc w:val="right"/>
              <w:ind w:right="68"/>
              <w:spacing w:after="0" w:line="164" w:lineRule="exact"/>
              <w:rPr>
                <w:sz w:val="20"/>
                <w:szCs w:val="20"/>
                <w:color w:val="auto"/>
              </w:rPr>
            </w:pPr>
            <w:r>
              <w:rPr>
                <w:rFonts w:ascii="Calibri" w:cs="Calibri" w:eastAsia="Calibri" w:hAnsi="Calibri"/>
                <w:sz w:val="14"/>
                <w:szCs w:val="14"/>
                <w:color w:val="auto"/>
              </w:rPr>
              <w:t>158,165</w:t>
            </w:r>
          </w:p>
        </w:tc>
        <w:tc>
          <w:tcPr>
            <w:tcW w:w="260" w:type="dxa"/>
            <w:vAlign w:val="bottom"/>
            <w:tcBorders>
              <w:bottom w:val="single" w:sz="8" w:color="E7E6E6"/>
            </w:tcBorders>
            <w:shd w:val="clear" w:color="auto" w:fill="E7E6E6"/>
          </w:tcPr>
          <w:p>
            <w:pPr>
              <w:jc w:val="right"/>
              <w:ind w:right="108"/>
              <w:spacing w:after="0" w:line="164" w:lineRule="exact"/>
              <w:rPr>
                <w:sz w:val="20"/>
                <w:szCs w:val="20"/>
                <w:color w:val="auto"/>
              </w:rPr>
            </w:pPr>
            <w:r>
              <w:rPr>
                <w:rFonts w:ascii="Calibri" w:cs="Calibri" w:eastAsia="Calibri" w:hAnsi="Calibri"/>
                <w:sz w:val="14"/>
                <w:szCs w:val="14"/>
                <w:color w:val="auto"/>
                <w:w w:val="83"/>
              </w:rPr>
              <w:t>$</w:t>
            </w:r>
          </w:p>
        </w:tc>
        <w:tc>
          <w:tcPr>
            <w:tcW w:w="760" w:type="dxa"/>
            <w:vAlign w:val="bottom"/>
            <w:tcBorders>
              <w:bottom w:val="single" w:sz="8" w:color="E7E6E6"/>
              <w:right w:val="single" w:sz="8" w:color="auto"/>
            </w:tcBorders>
            <w:shd w:val="clear" w:color="auto" w:fill="E7E6E6"/>
          </w:tcPr>
          <w:p>
            <w:pPr>
              <w:jc w:val="right"/>
              <w:ind w:right="68"/>
              <w:spacing w:after="0" w:line="164" w:lineRule="exact"/>
              <w:rPr>
                <w:sz w:val="20"/>
                <w:szCs w:val="20"/>
                <w:color w:val="auto"/>
              </w:rPr>
            </w:pPr>
            <w:r>
              <w:rPr>
                <w:rFonts w:ascii="Calibri" w:cs="Calibri" w:eastAsia="Calibri" w:hAnsi="Calibri"/>
                <w:sz w:val="14"/>
                <w:szCs w:val="14"/>
                <w:color w:val="auto"/>
              </w:rPr>
              <w:t>316,330</w:t>
            </w:r>
          </w:p>
        </w:tc>
        <w:tc>
          <w:tcPr>
            <w:tcW w:w="880" w:type="dxa"/>
            <w:vAlign w:val="bottom"/>
            <w:tcBorders>
              <w:bottom w:val="single" w:sz="8" w:color="E7E6E6"/>
              <w:right w:val="single" w:sz="8" w:color="auto"/>
            </w:tcBorders>
            <w:shd w:val="clear" w:color="auto" w:fill="E7E6E6"/>
          </w:tcPr>
          <w:p>
            <w:pPr>
              <w:spacing w:after="0"/>
              <w:rPr>
                <w:sz w:val="17"/>
                <w:szCs w:val="17"/>
                <w:color w:val="auto"/>
              </w:rPr>
            </w:pPr>
          </w:p>
        </w:tc>
        <w:tc>
          <w:tcPr>
            <w:tcW w:w="1040" w:type="dxa"/>
            <w:vAlign w:val="bottom"/>
            <w:tcBorders>
              <w:bottom w:val="single" w:sz="8" w:color="E7E6E6"/>
              <w:right w:val="single" w:sz="8" w:color="auto"/>
            </w:tcBorders>
            <w:shd w:val="clear" w:color="auto" w:fill="E7E6E6"/>
          </w:tcPr>
          <w:p>
            <w:pPr>
              <w:spacing w:after="0"/>
              <w:rPr>
                <w:sz w:val="17"/>
                <w:szCs w:val="17"/>
                <w:color w:val="auto"/>
              </w:rPr>
            </w:pPr>
          </w:p>
        </w:tc>
        <w:tc>
          <w:tcPr>
            <w:tcW w:w="760" w:type="dxa"/>
            <w:vAlign w:val="bottom"/>
            <w:tcBorders>
              <w:bottom w:val="single" w:sz="8" w:color="E7E6E6"/>
              <w:right w:val="single" w:sz="8" w:color="auto"/>
            </w:tcBorders>
            <w:shd w:val="clear" w:color="auto" w:fill="E7E6E6"/>
          </w:tcPr>
          <w:p>
            <w:pPr>
              <w:spacing w:after="0"/>
              <w:rPr>
                <w:sz w:val="17"/>
                <w:szCs w:val="17"/>
                <w:color w:val="auto"/>
              </w:rPr>
            </w:pPr>
          </w:p>
        </w:tc>
        <w:tc>
          <w:tcPr>
            <w:tcW w:w="820" w:type="dxa"/>
            <w:vAlign w:val="bottom"/>
            <w:tcBorders>
              <w:bottom w:val="single" w:sz="8" w:color="E7E6E6"/>
              <w:right w:val="single" w:sz="8" w:color="auto"/>
            </w:tcBorders>
            <w:shd w:val="clear" w:color="auto" w:fill="E7E6E6"/>
          </w:tcPr>
          <w:p>
            <w:pPr>
              <w:spacing w:after="0"/>
              <w:rPr>
                <w:sz w:val="17"/>
                <w:szCs w:val="17"/>
                <w:color w:val="auto"/>
              </w:rPr>
            </w:pPr>
          </w:p>
        </w:tc>
        <w:tc>
          <w:tcPr>
            <w:tcW w:w="760" w:type="dxa"/>
            <w:vAlign w:val="bottom"/>
            <w:tcBorders>
              <w:bottom w:val="single" w:sz="8" w:color="E7E6E6"/>
              <w:right w:val="single" w:sz="8" w:color="auto"/>
            </w:tcBorders>
            <w:shd w:val="clear" w:color="auto" w:fill="E7E6E6"/>
          </w:tcPr>
          <w:p>
            <w:pPr>
              <w:ind w:left="500"/>
              <w:spacing w:after="0" w:line="164" w:lineRule="exact"/>
              <w:rPr>
                <w:sz w:val="20"/>
                <w:szCs w:val="20"/>
                <w:color w:val="auto"/>
              </w:rPr>
            </w:pPr>
            <w:r>
              <w:rPr>
                <w:rFonts w:ascii="Calibri" w:cs="Calibri" w:eastAsia="Calibri" w:hAnsi="Calibri"/>
                <w:sz w:val="14"/>
                <w:szCs w:val="14"/>
                <w:color w:val="auto"/>
                <w:w w:val="97"/>
              </w:rPr>
              <w:t>N/A</w:t>
            </w:r>
          </w:p>
        </w:tc>
        <w:tc>
          <w:tcPr>
            <w:tcW w:w="780" w:type="dxa"/>
            <w:vAlign w:val="bottom"/>
            <w:tcBorders>
              <w:bottom w:val="single" w:sz="8" w:color="E7E6E6"/>
            </w:tcBorders>
            <w:shd w:val="clear" w:color="auto" w:fill="E7E6E6"/>
          </w:tcPr>
          <w:p>
            <w:pPr>
              <w:spacing w:after="0"/>
              <w:rPr>
                <w:sz w:val="17"/>
                <w:szCs w:val="17"/>
                <w:color w:val="auto"/>
              </w:rPr>
            </w:pPr>
          </w:p>
        </w:tc>
        <w:tc>
          <w:tcPr>
            <w:tcW w:w="300" w:type="dxa"/>
            <w:vAlign w:val="bottom"/>
            <w:tcBorders>
              <w:bottom w:val="single" w:sz="8" w:color="E7E6E6"/>
              <w:right w:val="single" w:sz="8" w:color="auto"/>
            </w:tcBorders>
            <w:shd w:val="clear" w:color="auto" w:fill="E7E6E6"/>
          </w:tcPr>
          <w:p>
            <w:pPr>
              <w:ind w:left="40"/>
              <w:spacing w:after="0" w:line="164" w:lineRule="exact"/>
              <w:rPr>
                <w:sz w:val="20"/>
                <w:szCs w:val="20"/>
                <w:color w:val="auto"/>
              </w:rPr>
            </w:pPr>
            <w:r>
              <w:rPr>
                <w:rFonts w:ascii="Calibri" w:cs="Calibri" w:eastAsia="Calibri" w:hAnsi="Calibri"/>
                <w:sz w:val="14"/>
                <w:szCs w:val="14"/>
                <w:color w:val="auto"/>
                <w:w w:val="97"/>
              </w:rPr>
              <w:t>N/A</w:t>
            </w:r>
          </w:p>
        </w:tc>
        <w:tc>
          <w:tcPr>
            <w:tcW w:w="80" w:type="dxa"/>
            <w:vAlign w:val="bottom"/>
            <w:tcBorders>
              <w:bottom w:val="single" w:sz="8" w:color="E7E6E6"/>
            </w:tcBorders>
            <w:shd w:val="clear" w:color="auto" w:fill="E7E6E6"/>
          </w:tcPr>
          <w:p>
            <w:pPr>
              <w:spacing w:after="0"/>
              <w:rPr>
                <w:sz w:val="17"/>
                <w:szCs w:val="17"/>
                <w:color w:val="auto"/>
              </w:rPr>
            </w:pPr>
          </w:p>
        </w:tc>
        <w:tc>
          <w:tcPr>
            <w:tcW w:w="660" w:type="dxa"/>
            <w:vAlign w:val="bottom"/>
            <w:tcBorders>
              <w:bottom w:val="single" w:sz="8" w:color="E7E6E6"/>
              <w:right w:val="single" w:sz="8" w:color="auto"/>
            </w:tcBorders>
            <w:shd w:val="clear" w:color="auto" w:fill="E7E6E6"/>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360" w:type="dxa"/>
            <w:vAlign w:val="bottom"/>
            <w:tcBorders>
              <w:top w:val="single" w:sz="8" w:color="auto"/>
              <w:left w:val="single" w:sz="8" w:color="auto"/>
              <w:right w:val="single" w:sz="8" w:color="auto"/>
            </w:tcBorders>
          </w:tcPr>
          <w:p>
            <w:pPr>
              <w:spacing w:after="0"/>
              <w:rPr>
                <w:sz w:val="14"/>
                <w:szCs w:val="14"/>
                <w:color w:val="auto"/>
              </w:rPr>
            </w:pPr>
          </w:p>
        </w:tc>
        <w:tc>
          <w:tcPr>
            <w:tcW w:w="840" w:type="dxa"/>
            <w:vAlign w:val="bottom"/>
            <w:tcBorders>
              <w:top w:val="single" w:sz="8" w:color="auto"/>
              <w:right w:val="single" w:sz="8" w:color="auto"/>
            </w:tcBorders>
          </w:tcPr>
          <w:p>
            <w:pPr>
              <w:jc w:val="center"/>
              <w:spacing w:after="0" w:line="164" w:lineRule="exact"/>
              <w:rPr>
                <w:sz w:val="20"/>
                <w:szCs w:val="20"/>
                <w:color w:val="auto"/>
              </w:rPr>
            </w:pPr>
            <w:r>
              <w:rPr>
                <w:rFonts w:ascii="Calibri" w:cs="Calibri" w:eastAsia="Calibri" w:hAnsi="Calibri"/>
                <w:sz w:val="14"/>
                <w:szCs w:val="14"/>
                <w:color w:val="auto"/>
              </w:rPr>
              <w:t>2/21/23</w:t>
            </w:r>
          </w:p>
        </w:tc>
        <w:tc>
          <w:tcPr>
            <w:tcW w:w="460" w:type="dxa"/>
            <w:vAlign w:val="bottom"/>
            <w:tcBorders>
              <w:top w:val="single" w:sz="8" w:color="auto"/>
            </w:tcBorders>
          </w:tcPr>
          <w:p>
            <w:pPr>
              <w:spacing w:after="0"/>
              <w:rPr>
                <w:sz w:val="14"/>
                <w:szCs w:val="14"/>
                <w:color w:val="auto"/>
              </w:rPr>
            </w:pPr>
          </w:p>
        </w:tc>
        <w:tc>
          <w:tcPr>
            <w:tcW w:w="400" w:type="dxa"/>
            <w:vAlign w:val="bottom"/>
            <w:tcBorders>
              <w:top w:val="single" w:sz="8" w:color="auto"/>
              <w:right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20" w:type="dxa"/>
            <w:vAlign w:val="bottom"/>
            <w:tcBorders>
              <w:top w:val="single" w:sz="8" w:color="auto"/>
              <w:right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60" w:type="dxa"/>
            <w:vAlign w:val="bottom"/>
            <w:tcBorders>
              <w:top w:val="single" w:sz="8" w:color="auto"/>
              <w:right w:val="single" w:sz="8" w:color="auto"/>
            </w:tcBorders>
          </w:tcPr>
          <w:p>
            <w:pPr>
              <w:spacing w:after="0"/>
              <w:rPr>
                <w:sz w:val="14"/>
                <w:szCs w:val="14"/>
                <w:color w:val="auto"/>
              </w:rPr>
            </w:pPr>
          </w:p>
        </w:tc>
        <w:tc>
          <w:tcPr>
            <w:tcW w:w="880" w:type="dxa"/>
            <w:vAlign w:val="bottom"/>
            <w:tcBorders>
              <w:top w:val="single" w:sz="8" w:color="auto"/>
              <w:right w:val="single" w:sz="8" w:color="auto"/>
            </w:tcBorders>
          </w:tcPr>
          <w:p>
            <w:pPr>
              <w:ind w:left="640"/>
              <w:spacing w:after="0" w:line="164" w:lineRule="exact"/>
              <w:rPr>
                <w:sz w:val="20"/>
                <w:szCs w:val="20"/>
                <w:color w:val="auto"/>
              </w:rPr>
            </w:pPr>
            <w:r>
              <w:rPr>
                <w:rFonts w:ascii="Calibri" w:cs="Calibri" w:eastAsia="Calibri" w:hAnsi="Calibri"/>
                <w:sz w:val="14"/>
                <w:szCs w:val="14"/>
                <w:color w:val="auto"/>
              </w:rPr>
              <w:t>—</w:t>
            </w:r>
          </w:p>
        </w:tc>
        <w:tc>
          <w:tcPr>
            <w:tcW w:w="1040" w:type="dxa"/>
            <w:vAlign w:val="bottom"/>
            <w:tcBorders>
              <w:top w:val="single" w:sz="8" w:color="auto"/>
              <w:right w:val="single" w:sz="8" w:color="auto"/>
            </w:tcBorders>
          </w:tcPr>
          <w:p>
            <w:pPr>
              <w:jc w:val="right"/>
              <w:ind w:right="68"/>
              <w:spacing w:after="0" w:line="164" w:lineRule="exact"/>
              <w:rPr>
                <w:sz w:val="20"/>
                <w:szCs w:val="20"/>
                <w:color w:val="auto"/>
              </w:rPr>
            </w:pPr>
            <w:r>
              <w:rPr>
                <w:rFonts w:ascii="Calibri" w:cs="Calibri" w:eastAsia="Calibri" w:hAnsi="Calibri"/>
                <w:sz w:val="14"/>
                <w:szCs w:val="14"/>
                <w:color w:val="auto"/>
              </w:rPr>
              <w:t>4,781</w:t>
            </w:r>
          </w:p>
        </w:tc>
        <w:tc>
          <w:tcPr>
            <w:tcW w:w="760" w:type="dxa"/>
            <w:vAlign w:val="bottom"/>
            <w:tcBorders>
              <w:top w:val="single" w:sz="8" w:color="auto"/>
              <w:right w:val="single" w:sz="8" w:color="auto"/>
            </w:tcBorders>
          </w:tcPr>
          <w:p>
            <w:pPr>
              <w:jc w:val="right"/>
              <w:ind w:right="68"/>
              <w:spacing w:after="0" w:line="164" w:lineRule="exact"/>
              <w:rPr>
                <w:sz w:val="20"/>
                <w:szCs w:val="20"/>
                <w:color w:val="auto"/>
              </w:rPr>
            </w:pPr>
            <w:r>
              <w:rPr>
                <w:rFonts w:ascii="Calibri" w:cs="Calibri" w:eastAsia="Calibri" w:hAnsi="Calibri"/>
                <w:sz w:val="14"/>
                <w:szCs w:val="14"/>
                <w:color w:val="auto"/>
              </w:rPr>
              <w:t>9,562</w:t>
            </w:r>
          </w:p>
        </w:tc>
        <w:tc>
          <w:tcPr>
            <w:tcW w:w="820" w:type="dxa"/>
            <w:vAlign w:val="bottom"/>
            <w:tcBorders>
              <w:top w:val="single" w:sz="8" w:color="auto"/>
              <w:right w:val="single" w:sz="8" w:color="auto"/>
            </w:tcBorders>
          </w:tcPr>
          <w:p>
            <w:pPr>
              <w:jc w:val="right"/>
              <w:ind w:right="48"/>
              <w:spacing w:after="0" w:line="164" w:lineRule="exact"/>
              <w:rPr>
                <w:sz w:val="20"/>
                <w:szCs w:val="20"/>
                <w:color w:val="auto"/>
              </w:rPr>
            </w:pPr>
            <w:r>
              <w:rPr>
                <w:rFonts w:ascii="Calibri" w:cs="Calibri" w:eastAsia="Calibri" w:hAnsi="Calibri"/>
                <w:sz w:val="14"/>
                <w:szCs w:val="14"/>
                <w:color w:val="auto"/>
              </w:rPr>
              <w:t>2,574</w:t>
            </w:r>
          </w:p>
        </w:tc>
        <w:tc>
          <w:tcPr>
            <w:tcW w:w="760" w:type="dxa"/>
            <w:vAlign w:val="bottom"/>
            <w:tcBorders>
              <w:top w:val="single" w:sz="8" w:color="auto"/>
              <w:right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300" w:type="dxa"/>
            <w:vAlign w:val="bottom"/>
            <w:tcBorders>
              <w:top w:val="single" w:sz="8" w:color="auto"/>
              <w:right w:val="single" w:sz="8" w:color="auto"/>
            </w:tcBorders>
          </w:tcPr>
          <w:p>
            <w:pPr>
              <w:spacing w:after="0"/>
              <w:rPr>
                <w:sz w:val="14"/>
                <w:szCs w:val="14"/>
                <w:color w:val="auto"/>
              </w:rPr>
            </w:pPr>
          </w:p>
        </w:tc>
        <w:tc>
          <w:tcPr>
            <w:tcW w:w="8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660" w:type="dxa"/>
            <w:vAlign w:val="bottom"/>
            <w:tcBorders>
              <w:top w:val="single" w:sz="8" w:color="auto"/>
              <w:right w:val="single" w:sz="8" w:color="auto"/>
            </w:tcBorders>
          </w:tcPr>
          <w:p>
            <w:pPr>
              <w:jc w:val="right"/>
              <w:ind w:right="48"/>
              <w:spacing w:after="0" w:line="164" w:lineRule="exact"/>
              <w:rPr>
                <w:sz w:val="20"/>
                <w:szCs w:val="20"/>
                <w:color w:val="auto"/>
              </w:rPr>
            </w:pPr>
            <w:r>
              <w:rPr>
                <w:rFonts w:ascii="Calibri" w:cs="Calibri" w:eastAsia="Calibri" w:hAnsi="Calibri"/>
                <w:sz w:val="14"/>
                <w:szCs w:val="14"/>
                <w:color w:val="auto"/>
              </w:rPr>
              <w:t>305,697</w:t>
            </w:r>
          </w:p>
        </w:tc>
        <w:tc>
          <w:tcPr>
            <w:tcW w:w="0" w:type="dxa"/>
            <w:vAlign w:val="bottom"/>
          </w:tcPr>
          <w:p>
            <w:pPr>
              <w:spacing w:after="0"/>
              <w:rPr>
                <w:sz w:val="1"/>
                <w:szCs w:val="1"/>
                <w:color w:val="auto"/>
              </w:rPr>
            </w:pPr>
          </w:p>
        </w:tc>
      </w:tr>
      <w:tr>
        <w:trPr>
          <w:trHeight w:val="33"/>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jc w:val="both"/>
        <w:ind w:left="380" w:hanging="372"/>
        <w:spacing w:after="0" w:line="229" w:lineRule="auto"/>
        <w:tabs>
          <w:tab w:leader="none" w:pos="380" w:val="left"/>
        </w:tabs>
        <w:numPr>
          <w:ilvl w:val="0"/>
          <w:numId w:val="47"/>
        </w:numPr>
        <w:rPr>
          <w:rFonts w:ascii="Calibri" w:cs="Calibri" w:eastAsia="Calibri" w:hAnsi="Calibri"/>
          <w:sz w:val="18"/>
          <w:szCs w:val="18"/>
          <w:color w:val="auto"/>
        </w:rPr>
      </w:pPr>
      <w:r>
        <w:rPr>
          <w:rFonts w:ascii="Calibri" w:cs="Calibri" w:eastAsia="Calibri" w:hAnsi="Calibri"/>
          <w:sz w:val="18"/>
          <w:szCs w:val="18"/>
          <w:color w:val="auto"/>
        </w:rPr>
        <w:t>Amounts in columns (c), (d) and (e) represent the minimum, target and maximum amounts that would be payable pursuant to the 2023 annual incentve awards made under the Annual Incentve Plan. The terms of such awards, including the performance measures and targets, are discussed in the Compensaton Discussion and Analysis above. For 2023, payouts of these annual incentve awards were made in cash and are refected in the Non-Equity Incentve Plan Compensaton column of the Summary Compensaton Table.</w:t>
      </w:r>
    </w:p>
    <w:p>
      <w:pPr>
        <w:spacing w:after="0" w:line="2" w:lineRule="exact"/>
        <w:rPr>
          <w:rFonts w:ascii="Calibri" w:cs="Calibri" w:eastAsia="Calibri" w:hAnsi="Calibri"/>
          <w:sz w:val="18"/>
          <w:szCs w:val="18"/>
          <w:color w:val="auto"/>
        </w:rPr>
      </w:pPr>
    </w:p>
    <w:p>
      <w:pPr>
        <w:jc w:val="both"/>
        <w:ind w:left="380" w:hanging="372"/>
        <w:spacing w:after="0" w:line="235" w:lineRule="auto"/>
        <w:tabs>
          <w:tab w:leader="none" w:pos="380" w:val="left"/>
        </w:tabs>
        <w:numPr>
          <w:ilvl w:val="0"/>
          <w:numId w:val="47"/>
        </w:numPr>
        <w:rPr>
          <w:rFonts w:ascii="Calibri" w:cs="Calibri" w:eastAsia="Calibri" w:hAnsi="Calibri"/>
          <w:sz w:val="18"/>
          <w:szCs w:val="18"/>
          <w:color w:val="auto"/>
        </w:rPr>
      </w:pPr>
      <w:r>
        <w:rPr>
          <w:rFonts w:ascii="Calibri" w:cs="Calibri" w:eastAsia="Calibri" w:hAnsi="Calibri"/>
          <w:sz w:val="18"/>
          <w:szCs w:val="18"/>
          <w:color w:val="auto"/>
        </w:rPr>
        <w:t>Amounts in columns (f), (g) and (h) represent awards of performance units under the Company's Stock Incentve Plan. As discussed in the Compensaton Discussion and Analysis above, the terms of the performance units enttle the ofcer to receive from 0 percent to 200 percent of the performance units granted depending upon the Company's TSR over the three-year period ending December 31, 2025 measured against the TSR for such period of a peer group selected by the Compensaton Commitee. All payouts of such performance units will be made in shares of the Company's Common Stock. For additonal informaton regarding the terms of such performance units, including the payout targets and the compositon of the peer group, see the Compensaton Discussion and Analysis above.</w:t>
      </w:r>
    </w:p>
    <w:p>
      <w:pPr>
        <w:spacing w:after="0" w:line="5" w:lineRule="exact"/>
        <w:rPr>
          <w:rFonts w:ascii="Calibri" w:cs="Calibri" w:eastAsia="Calibri" w:hAnsi="Calibri"/>
          <w:sz w:val="18"/>
          <w:szCs w:val="18"/>
          <w:color w:val="auto"/>
        </w:rPr>
      </w:pPr>
    </w:p>
    <w:p>
      <w:pPr>
        <w:jc w:val="both"/>
        <w:ind w:left="380" w:hanging="372"/>
        <w:spacing w:after="0" w:line="235" w:lineRule="auto"/>
        <w:tabs>
          <w:tab w:leader="none" w:pos="380" w:val="left"/>
        </w:tabs>
        <w:numPr>
          <w:ilvl w:val="0"/>
          <w:numId w:val="47"/>
        </w:numPr>
        <w:rPr>
          <w:rFonts w:ascii="Calibri" w:cs="Calibri" w:eastAsia="Calibri" w:hAnsi="Calibri"/>
          <w:sz w:val="18"/>
          <w:szCs w:val="18"/>
          <w:color w:val="auto"/>
        </w:rPr>
      </w:pPr>
      <w:r>
        <w:rPr>
          <w:rFonts w:ascii="Calibri" w:cs="Calibri" w:eastAsia="Calibri" w:hAnsi="Calibri"/>
          <w:sz w:val="18"/>
          <w:szCs w:val="18"/>
          <w:color w:val="auto"/>
        </w:rPr>
        <w:t>Amounts in column (i) represent restricted stock units that have a vestng or restricted period that ends December 31, 2025. Restricted stock units that have vested will be paid out in shares of the Company's Common Stock equal in number to the vested restricted stock units plus a cash payment equal to the amount of dividends that would have been paid during the period on such number of shares of the Company's Common Stock. For additonal informaton regarding the terms of such restricted stock units, see the Compensaton Discussion and Analysis above.</w:t>
      </w:r>
    </w:p>
    <w:p>
      <w:pPr>
        <w:spacing w:after="0" w:line="3" w:lineRule="exact"/>
        <w:rPr>
          <w:rFonts w:ascii="Calibri" w:cs="Calibri" w:eastAsia="Calibri" w:hAnsi="Calibri"/>
          <w:sz w:val="18"/>
          <w:szCs w:val="18"/>
          <w:color w:val="auto"/>
        </w:rPr>
      </w:pPr>
    </w:p>
    <w:p>
      <w:pPr>
        <w:ind w:left="380" w:hanging="372"/>
        <w:spacing w:after="0" w:line="235" w:lineRule="auto"/>
        <w:tabs>
          <w:tab w:leader="none" w:pos="380" w:val="left"/>
        </w:tabs>
        <w:numPr>
          <w:ilvl w:val="0"/>
          <w:numId w:val="47"/>
        </w:numPr>
        <w:rPr>
          <w:rFonts w:ascii="Calibri" w:cs="Calibri" w:eastAsia="Calibri" w:hAnsi="Calibri"/>
          <w:sz w:val="18"/>
          <w:szCs w:val="18"/>
          <w:color w:val="auto"/>
        </w:rPr>
      </w:pPr>
      <w:r>
        <w:rPr>
          <w:rFonts w:ascii="Calibri" w:cs="Calibri" w:eastAsia="Calibri" w:hAnsi="Calibri"/>
          <w:sz w:val="18"/>
          <w:szCs w:val="18"/>
          <w:color w:val="auto"/>
        </w:rPr>
        <w:t>Amounts refect the grant date fair value based on a probable value of the performance units awards, or target value, of 100 percent payout, and based on 100 percent payout at vestng for the restricted stock awards.</w:t>
      </w:r>
    </w:p>
    <w:p>
      <w:pPr>
        <w:spacing w:after="0" w:line="218"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For 2023, "Salary" for the Named Executve Ofcers accounted for approximately 18 percent to 44 percent of total direct compensaton (i.e., salary plus targeted annual and long-term incentve compensaton), while at risk compensaton accounted for approximately 56 percent to 82 percent of total direct compensaton, assuming achievement of a target level of performance for each Named Executve Ofcer's performance-based compensaton and assuming 100 percent payout at vestng for restricted stock units.</w:t>
      </w:r>
    </w:p>
    <w:p>
      <w:pPr>
        <w:spacing w:after="0" w:line="390" w:lineRule="exact"/>
        <w:rPr>
          <w:sz w:val="20"/>
          <w:szCs w:val="20"/>
          <w:color w:val="auto"/>
        </w:rPr>
      </w:pPr>
    </w:p>
    <w:p>
      <w:pPr>
        <w:spacing w:after="0"/>
        <w:tabs>
          <w:tab w:leader="none" w:pos="660" w:val="left"/>
        </w:tabs>
        <w:rPr>
          <w:sz w:val="20"/>
          <w:szCs w:val="20"/>
          <w:color w:val="auto"/>
        </w:rPr>
      </w:pPr>
      <w:r>
        <w:rPr>
          <w:rFonts w:ascii="Calibri" w:cs="Calibri" w:eastAsia="Calibri" w:hAnsi="Calibri"/>
          <w:sz w:val="18"/>
          <w:szCs w:val="18"/>
          <w:color w:val="auto"/>
        </w:rPr>
        <w:t>44</w:t>
      </w:r>
      <w:r>
        <w:rPr>
          <w:sz w:val="20"/>
          <w:szCs w:val="20"/>
          <w:color w:val="auto"/>
        </w:rPr>
        <w:tab/>
      </w:r>
      <w:r>
        <w:rPr>
          <w:rFonts w:ascii="Calibri" w:cs="Calibri" w:eastAsia="Calibri" w:hAnsi="Calibri"/>
          <w:sz w:val="18"/>
          <w:szCs w:val="18"/>
          <w:b w:val="1"/>
          <w:bCs w:val="1"/>
          <w:color w:val="EE2724"/>
        </w:rPr>
        <w:t xml:space="preserve">OGE Energy Corp. </w:t>
      </w:r>
      <w:r>
        <w:rPr>
          <w:rFonts w:ascii="Calibri" w:cs="Calibri" w:eastAsia="Calibri" w:hAnsi="Calibri"/>
          <w:sz w:val="18"/>
          <w:szCs w:val="18"/>
          <w:color w:val="00000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50" w:name="page51"/>
    <w:bookmarkEnd w:id="50"/>
    <w:p>
      <w:pPr>
        <w:jc w:val="center"/>
        <w:spacing w:after="0"/>
        <w:rPr>
          <w:sz w:val="20"/>
          <w:szCs w:val="20"/>
          <w:color w:val="auto"/>
        </w:rPr>
      </w:pPr>
      <w:r>
        <w:rPr>
          <w:rFonts w:ascii="Calibri" w:cs="Calibri" w:eastAsia="Calibri" w:hAnsi="Calibri"/>
          <w:sz w:val="22"/>
          <w:szCs w:val="22"/>
          <w:b w:val="1"/>
          <w:bCs w:val="1"/>
          <w:color w:val="auto"/>
        </w:rPr>
        <w:t>Outstanding Equity Awards at 2023 Fiscal Year-End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5"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2200" w:type="dxa"/>
            <w:vAlign w:val="bottom"/>
            <w:tcBorders>
              <w:top w:val="single" w:sz="8" w:color="auto"/>
              <w:left w:val="single" w:sz="8" w:color="auto"/>
              <w:right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40"/>
              <w:spacing w:after="0"/>
              <w:rPr>
                <w:sz w:val="20"/>
                <w:szCs w:val="20"/>
                <w:color w:val="auto"/>
              </w:rPr>
            </w:pPr>
            <w:r>
              <w:rPr>
                <w:rFonts w:ascii="Calibri" w:cs="Calibri" w:eastAsia="Calibri" w:hAnsi="Calibri"/>
                <w:sz w:val="14"/>
                <w:szCs w:val="14"/>
                <w:color w:val="auto"/>
              </w:rPr>
              <w:t>Opton Awards (1)</w:t>
            </w:r>
          </w:p>
        </w:tc>
        <w:tc>
          <w:tcPr>
            <w:tcW w:w="760" w:type="dxa"/>
            <w:vAlign w:val="bottom"/>
            <w:tcBorders>
              <w:top w:val="single" w:sz="8" w:color="auto"/>
            </w:tcBorders>
          </w:tcPr>
          <w:p>
            <w:pPr>
              <w:spacing w:after="0"/>
              <w:rPr>
                <w:sz w:val="16"/>
                <w:szCs w:val="16"/>
                <w:color w:val="auto"/>
              </w:rPr>
            </w:pPr>
          </w:p>
        </w:tc>
        <w:tc>
          <w:tcPr>
            <w:tcW w:w="860" w:type="dxa"/>
            <w:vAlign w:val="bottom"/>
            <w:tcBorders>
              <w:top w:val="single" w:sz="8" w:color="auto"/>
              <w:right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jc w:val="right"/>
              <w:ind w:right="448"/>
              <w:spacing w:after="0"/>
              <w:rPr>
                <w:sz w:val="20"/>
                <w:szCs w:val="20"/>
                <w:color w:val="auto"/>
              </w:rPr>
            </w:pPr>
            <w:r>
              <w:rPr>
                <w:rFonts w:ascii="Calibri" w:cs="Calibri" w:eastAsia="Calibri" w:hAnsi="Calibri"/>
                <w:sz w:val="14"/>
                <w:szCs w:val="14"/>
                <w:color w:val="auto"/>
              </w:rPr>
              <w:t>Stock Awards</w:t>
            </w:r>
          </w:p>
        </w:tc>
        <w:tc>
          <w:tcPr>
            <w:tcW w:w="3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right w:val="single" w:sz="8" w:color="auto"/>
            </w:tcBorders>
          </w:tcPr>
          <w:p>
            <w:pPr>
              <w:spacing w:after="0"/>
              <w:rPr>
                <w:sz w:val="16"/>
                <w:szCs w:val="16"/>
                <w:color w:val="auto"/>
              </w:rPr>
            </w:pPr>
          </w:p>
        </w:tc>
      </w:tr>
      <w:tr>
        <w:trPr>
          <w:trHeight w:val="49"/>
        </w:trPr>
        <w:tc>
          <w:tcPr>
            <w:tcW w:w="2200" w:type="dxa"/>
            <w:vAlign w:val="bottom"/>
            <w:tcBorders>
              <w:left w:val="single" w:sz="8" w:color="auto"/>
              <w:bottom w:val="single" w:sz="8" w:color="auto"/>
              <w:right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r>
      <w:tr>
        <w:trPr>
          <w:trHeight w:val="150"/>
        </w:trPr>
        <w:tc>
          <w:tcPr>
            <w:tcW w:w="2200" w:type="dxa"/>
            <w:vAlign w:val="bottom"/>
            <w:tcBorders>
              <w:left w:val="single" w:sz="8" w:color="auto"/>
              <w:right w:val="single" w:sz="8" w:color="auto"/>
            </w:tcBorders>
          </w:tcPr>
          <w:p>
            <w:pPr>
              <w:ind w:left="920"/>
              <w:spacing w:after="0" w:line="150" w:lineRule="exact"/>
              <w:rPr>
                <w:sz w:val="20"/>
                <w:szCs w:val="20"/>
                <w:color w:val="auto"/>
              </w:rPr>
            </w:pPr>
            <w:r>
              <w:rPr>
                <w:rFonts w:ascii="Calibri" w:cs="Calibri" w:eastAsia="Calibri" w:hAnsi="Calibri"/>
                <w:sz w:val="14"/>
                <w:szCs w:val="14"/>
                <w:color w:val="auto"/>
              </w:rPr>
              <w:t>Name</w:t>
            </w:r>
          </w:p>
        </w:tc>
        <w:tc>
          <w:tcPr>
            <w:tcW w:w="760" w:type="dxa"/>
            <w:vAlign w:val="bottom"/>
            <w:tcBorders>
              <w:right w:val="single" w:sz="8" w:color="auto"/>
            </w:tcBorders>
          </w:tcPr>
          <w:p>
            <w:pPr>
              <w:jc w:val="center"/>
              <w:ind w:right="68"/>
              <w:spacing w:after="0" w:line="150" w:lineRule="exact"/>
              <w:rPr>
                <w:sz w:val="20"/>
                <w:szCs w:val="20"/>
                <w:color w:val="auto"/>
              </w:rPr>
            </w:pPr>
            <w:r>
              <w:rPr>
                <w:rFonts w:ascii="Calibri" w:cs="Calibri" w:eastAsia="Calibri" w:hAnsi="Calibri"/>
                <w:sz w:val="14"/>
                <w:szCs w:val="14"/>
                <w:color w:val="auto"/>
              </w:rPr>
              <w:t>Number of</w:t>
            </w:r>
          </w:p>
        </w:tc>
        <w:tc>
          <w:tcPr>
            <w:tcW w:w="880" w:type="dxa"/>
            <w:vAlign w:val="bottom"/>
          </w:tcPr>
          <w:p>
            <w:pPr>
              <w:jc w:val="center"/>
              <w:spacing w:after="0" w:line="150" w:lineRule="exact"/>
              <w:rPr>
                <w:sz w:val="20"/>
                <w:szCs w:val="20"/>
                <w:color w:val="auto"/>
              </w:rPr>
            </w:pPr>
            <w:r>
              <w:rPr>
                <w:rFonts w:ascii="Calibri" w:cs="Calibri" w:eastAsia="Calibri" w:hAnsi="Calibri"/>
                <w:sz w:val="14"/>
                <w:szCs w:val="14"/>
                <w:color w:val="auto"/>
              </w:rPr>
              <w:t>Number of</w:t>
            </w:r>
          </w:p>
        </w:tc>
        <w:tc>
          <w:tcPr>
            <w:tcW w:w="100" w:type="dxa"/>
            <w:vAlign w:val="bottom"/>
            <w:tcBorders>
              <w:right w:val="single" w:sz="8" w:color="auto"/>
            </w:tcBorders>
          </w:tcPr>
          <w:p>
            <w:pPr>
              <w:spacing w:after="0"/>
              <w:rPr>
                <w:sz w:val="13"/>
                <w:szCs w:val="13"/>
                <w:color w:val="auto"/>
              </w:rPr>
            </w:pPr>
          </w:p>
        </w:tc>
        <w:tc>
          <w:tcPr>
            <w:tcW w:w="1100" w:type="dxa"/>
            <w:vAlign w:val="bottom"/>
            <w:tcBorders>
              <w:right w:val="single" w:sz="8" w:color="auto"/>
            </w:tcBorders>
          </w:tcPr>
          <w:p>
            <w:pPr>
              <w:jc w:val="center"/>
              <w:ind w:right="48"/>
              <w:spacing w:after="0" w:line="150" w:lineRule="exact"/>
              <w:rPr>
                <w:sz w:val="20"/>
                <w:szCs w:val="20"/>
                <w:color w:val="auto"/>
              </w:rPr>
            </w:pPr>
            <w:r>
              <w:rPr>
                <w:rFonts w:ascii="Calibri" w:cs="Calibri" w:eastAsia="Calibri" w:hAnsi="Calibri"/>
                <w:sz w:val="14"/>
                <w:szCs w:val="14"/>
                <w:color w:val="auto"/>
              </w:rPr>
              <w:t>Equity</w:t>
            </w:r>
          </w:p>
        </w:tc>
        <w:tc>
          <w:tcPr>
            <w:tcW w:w="760" w:type="dxa"/>
            <w:vAlign w:val="bottom"/>
            <w:tcBorders>
              <w:right w:val="single" w:sz="8" w:color="auto"/>
            </w:tcBorders>
          </w:tcPr>
          <w:p>
            <w:pPr>
              <w:jc w:val="center"/>
              <w:spacing w:after="0" w:line="150" w:lineRule="exact"/>
              <w:rPr>
                <w:sz w:val="20"/>
                <w:szCs w:val="20"/>
                <w:color w:val="auto"/>
              </w:rPr>
            </w:pPr>
            <w:r>
              <w:rPr>
                <w:rFonts w:ascii="Calibri" w:cs="Calibri" w:eastAsia="Calibri" w:hAnsi="Calibri"/>
                <w:sz w:val="14"/>
                <w:szCs w:val="14"/>
                <w:color w:val="auto"/>
              </w:rPr>
              <w:t>Opton</w:t>
            </w:r>
          </w:p>
        </w:tc>
        <w:tc>
          <w:tcPr>
            <w:tcW w:w="860" w:type="dxa"/>
            <w:vAlign w:val="bottom"/>
            <w:tcBorders>
              <w:right w:val="single" w:sz="8" w:color="auto"/>
            </w:tcBorders>
          </w:tcPr>
          <w:p>
            <w:pPr>
              <w:jc w:val="center"/>
              <w:spacing w:after="0" w:line="150" w:lineRule="exact"/>
              <w:rPr>
                <w:sz w:val="20"/>
                <w:szCs w:val="20"/>
                <w:color w:val="auto"/>
              </w:rPr>
            </w:pPr>
            <w:r>
              <w:rPr>
                <w:rFonts w:ascii="Calibri" w:cs="Calibri" w:eastAsia="Calibri" w:hAnsi="Calibri"/>
                <w:sz w:val="14"/>
                <w:szCs w:val="14"/>
                <w:color w:val="auto"/>
              </w:rPr>
              <w:t>Opton</w:t>
            </w:r>
          </w:p>
        </w:tc>
        <w:tc>
          <w:tcPr>
            <w:tcW w:w="680" w:type="dxa"/>
            <w:vAlign w:val="bottom"/>
          </w:tcPr>
          <w:p>
            <w:pPr>
              <w:jc w:val="center"/>
              <w:ind w:left="48"/>
              <w:spacing w:after="0" w:line="150" w:lineRule="exact"/>
              <w:rPr>
                <w:sz w:val="20"/>
                <w:szCs w:val="20"/>
                <w:color w:val="auto"/>
              </w:rPr>
            </w:pPr>
            <w:r>
              <w:rPr>
                <w:rFonts w:ascii="Calibri" w:cs="Calibri" w:eastAsia="Calibri" w:hAnsi="Calibri"/>
                <w:sz w:val="14"/>
                <w:szCs w:val="14"/>
                <w:color w:val="auto"/>
              </w:rPr>
              <w:t>Number</w:t>
            </w:r>
          </w:p>
        </w:tc>
        <w:tc>
          <w:tcPr>
            <w:tcW w:w="2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center"/>
              <w:ind w:right="28"/>
              <w:spacing w:after="0" w:line="150" w:lineRule="exact"/>
              <w:rPr>
                <w:sz w:val="20"/>
                <w:szCs w:val="20"/>
                <w:color w:val="auto"/>
              </w:rPr>
            </w:pPr>
            <w:r>
              <w:rPr>
                <w:rFonts w:ascii="Calibri" w:cs="Calibri" w:eastAsia="Calibri" w:hAnsi="Calibri"/>
                <w:sz w:val="14"/>
                <w:szCs w:val="14"/>
                <w:color w:val="auto"/>
              </w:rPr>
              <w:t>Market</w:t>
            </w:r>
          </w:p>
        </w:tc>
        <w:tc>
          <w:tcPr>
            <w:tcW w:w="100" w:type="dxa"/>
            <w:vAlign w:val="bottom"/>
            <w:tcBorders>
              <w:right w:val="single" w:sz="8" w:color="auto"/>
            </w:tcBorders>
          </w:tcPr>
          <w:p>
            <w:pPr>
              <w:spacing w:after="0"/>
              <w:rPr>
                <w:sz w:val="13"/>
                <w:szCs w:val="13"/>
                <w:color w:val="auto"/>
              </w:rPr>
            </w:pPr>
          </w:p>
        </w:tc>
        <w:tc>
          <w:tcPr>
            <w:tcW w:w="1240" w:type="dxa"/>
            <w:vAlign w:val="bottom"/>
          </w:tcPr>
          <w:p>
            <w:pPr>
              <w:jc w:val="center"/>
              <w:ind w:left="128"/>
              <w:spacing w:after="0" w:line="150" w:lineRule="exact"/>
              <w:rPr>
                <w:sz w:val="20"/>
                <w:szCs w:val="20"/>
                <w:color w:val="auto"/>
              </w:rPr>
            </w:pPr>
            <w:r>
              <w:rPr>
                <w:rFonts w:ascii="Calibri" w:cs="Calibri" w:eastAsia="Calibri" w:hAnsi="Calibri"/>
                <w:sz w:val="14"/>
                <w:szCs w:val="14"/>
                <w:color w:val="auto"/>
              </w:rPr>
              <w:t>Equity</w:t>
            </w:r>
          </w:p>
        </w:tc>
        <w:tc>
          <w:tcPr>
            <w:tcW w:w="32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Borders>
              <w:right w:val="single" w:sz="8" w:color="auto"/>
            </w:tcBorders>
          </w:tcPr>
          <w:p>
            <w:pPr>
              <w:jc w:val="center"/>
              <w:ind w:right="188"/>
              <w:spacing w:after="0" w:line="150" w:lineRule="exact"/>
              <w:rPr>
                <w:sz w:val="20"/>
                <w:szCs w:val="20"/>
                <w:color w:val="auto"/>
              </w:rPr>
            </w:pPr>
            <w:r>
              <w:rPr>
                <w:rFonts w:ascii="Calibri" w:cs="Calibri" w:eastAsia="Calibri" w:hAnsi="Calibri"/>
                <w:sz w:val="14"/>
                <w:szCs w:val="14"/>
                <w:color w:val="auto"/>
              </w:rPr>
              <w:t>Equity</w:t>
            </w:r>
          </w:p>
        </w:tc>
      </w:tr>
      <w:tr>
        <w:trPr>
          <w:trHeight w:val="171"/>
        </w:trPr>
        <w:tc>
          <w:tcPr>
            <w:tcW w:w="2200" w:type="dxa"/>
            <w:vAlign w:val="bottom"/>
            <w:tcBorders>
              <w:left w:val="single" w:sz="8" w:color="auto"/>
              <w:right w:val="single" w:sz="8" w:color="auto"/>
            </w:tcBorders>
          </w:tcPr>
          <w:p>
            <w:pPr>
              <w:spacing w:after="0"/>
              <w:rPr>
                <w:sz w:val="14"/>
                <w:szCs w:val="14"/>
                <w:color w:val="auto"/>
              </w:rPr>
            </w:pPr>
          </w:p>
        </w:tc>
        <w:tc>
          <w:tcPr>
            <w:tcW w:w="760" w:type="dxa"/>
            <w:vAlign w:val="bottom"/>
            <w:tcBorders>
              <w:right w:val="single" w:sz="8" w:color="auto"/>
            </w:tcBorders>
          </w:tcPr>
          <w:p>
            <w:pPr>
              <w:jc w:val="center"/>
              <w:ind w:right="88"/>
              <w:spacing w:after="0"/>
              <w:rPr>
                <w:sz w:val="20"/>
                <w:szCs w:val="20"/>
                <w:color w:val="auto"/>
              </w:rPr>
            </w:pPr>
            <w:r>
              <w:rPr>
                <w:rFonts w:ascii="Calibri" w:cs="Calibri" w:eastAsia="Calibri" w:hAnsi="Calibri"/>
                <w:sz w:val="14"/>
                <w:szCs w:val="14"/>
                <w:color w:val="auto"/>
              </w:rPr>
              <w:t>Securites</w:t>
            </w:r>
          </w:p>
        </w:tc>
        <w:tc>
          <w:tcPr>
            <w:tcW w:w="880" w:type="dxa"/>
            <w:vAlign w:val="bottom"/>
          </w:tcPr>
          <w:p>
            <w:pPr>
              <w:jc w:val="center"/>
              <w:spacing w:after="0"/>
              <w:rPr>
                <w:sz w:val="20"/>
                <w:szCs w:val="20"/>
                <w:color w:val="auto"/>
              </w:rPr>
            </w:pPr>
            <w:r>
              <w:rPr>
                <w:rFonts w:ascii="Calibri" w:cs="Calibri" w:eastAsia="Calibri" w:hAnsi="Calibri"/>
                <w:sz w:val="14"/>
                <w:szCs w:val="14"/>
                <w:color w:val="auto"/>
              </w:rPr>
              <w:t>Securites</w:t>
            </w:r>
          </w:p>
        </w:tc>
        <w:tc>
          <w:tcPr>
            <w:tcW w:w="10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jc w:val="center"/>
              <w:ind w:right="48"/>
              <w:spacing w:after="0"/>
              <w:rPr>
                <w:sz w:val="20"/>
                <w:szCs w:val="20"/>
                <w:color w:val="auto"/>
              </w:rPr>
            </w:pPr>
            <w:r>
              <w:rPr>
                <w:rFonts w:ascii="Calibri" w:cs="Calibri" w:eastAsia="Calibri" w:hAnsi="Calibri"/>
                <w:sz w:val="14"/>
                <w:szCs w:val="14"/>
                <w:color w:val="auto"/>
              </w:rPr>
              <w:t>Incentve</w:t>
            </w:r>
          </w:p>
        </w:tc>
        <w:tc>
          <w:tcPr>
            <w:tcW w:w="76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rPr>
              <w:t>Exercise</w:t>
            </w:r>
          </w:p>
        </w:tc>
        <w:tc>
          <w:tcPr>
            <w:tcW w:w="86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rPr>
              <w:t>Expiraton</w:t>
            </w:r>
          </w:p>
        </w:tc>
        <w:tc>
          <w:tcPr>
            <w:tcW w:w="680" w:type="dxa"/>
            <w:vAlign w:val="bottom"/>
          </w:tcPr>
          <w:p>
            <w:pPr>
              <w:jc w:val="center"/>
              <w:ind w:left="48"/>
              <w:spacing w:after="0"/>
              <w:rPr>
                <w:sz w:val="20"/>
                <w:szCs w:val="20"/>
                <w:color w:val="auto"/>
              </w:rPr>
            </w:pPr>
            <w:r>
              <w:rPr>
                <w:rFonts w:ascii="Calibri" w:cs="Calibri" w:eastAsia="Calibri" w:hAnsi="Calibri"/>
                <w:sz w:val="14"/>
                <w:szCs w:val="14"/>
                <w:color w:val="auto"/>
              </w:rPr>
              <w:t>of</w:t>
            </w:r>
          </w:p>
        </w:tc>
        <w:tc>
          <w:tcPr>
            <w:tcW w:w="2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48"/>
              <w:spacing w:after="0"/>
              <w:rPr>
                <w:sz w:val="20"/>
                <w:szCs w:val="20"/>
                <w:color w:val="auto"/>
              </w:rPr>
            </w:pPr>
            <w:r>
              <w:rPr>
                <w:rFonts w:ascii="Calibri" w:cs="Calibri" w:eastAsia="Calibri" w:hAnsi="Calibri"/>
                <w:sz w:val="14"/>
                <w:szCs w:val="14"/>
                <w:color w:val="auto"/>
              </w:rPr>
              <w:t>Value of</w:t>
            </w:r>
          </w:p>
        </w:tc>
        <w:tc>
          <w:tcPr>
            <w:tcW w:w="100" w:type="dxa"/>
            <w:vAlign w:val="bottom"/>
            <w:tcBorders>
              <w:right w:val="single" w:sz="8" w:color="auto"/>
            </w:tcBorders>
          </w:tcPr>
          <w:p>
            <w:pPr>
              <w:spacing w:after="0"/>
              <w:rPr>
                <w:sz w:val="14"/>
                <w:szCs w:val="14"/>
                <w:color w:val="auto"/>
              </w:rPr>
            </w:pPr>
          </w:p>
        </w:tc>
        <w:tc>
          <w:tcPr>
            <w:tcW w:w="1240" w:type="dxa"/>
            <w:vAlign w:val="bottom"/>
          </w:tcPr>
          <w:p>
            <w:pPr>
              <w:jc w:val="center"/>
              <w:ind w:left="128"/>
              <w:spacing w:after="0"/>
              <w:rPr>
                <w:sz w:val="20"/>
                <w:szCs w:val="20"/>
                <w:color w:val="auto"/>
              </w:rPr>
            </w:pPr>
            <w:r>
              <w:rPr>
                <w:rFonts w:ascii="Calibri" w:cs="Calibri" w:eastAsia="Calibri" w:hAnsi="Calibri"/>
                <w:sz w:val="14"/>
                <w:szCs w:val="14"/>
                <w:color w:val="auto"/>
              </w:rPr>
              <w:t>Incentve</w:t>
            </w:r>
          </w:p>
        </w:tc>
        <w:tc>
          <w:tcPr>
            <w:tcW w:w="32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Borders>
              <w:right w:val="single" w:sz="8" w:color="auto"/>
            </w:tcBorders>
          </w:tcPr>
          <w:p>
            <w:pPr>
              <w:jc w:val="center"/>
              <w:ind w:right="168"/>
              <w:spacing w:after="0"/>
              <w:rPr>
                <w:sz w:val="20"/>
                <w:szCs w:val="20"/>
                <w:color w:val="auto"/>
              </w:rPr>
            </w:pPr>
            <w:r>
              <w:rPr>
                <w:rFonts w:ascii="Calibri" w:cs="Calibri" w:eastAsia="Calibri" w:hAnsi="Calibri"/>
                <w:sz w:val="14"/>
                <w:szCs w:val="14"/>
                <w:color w:val="auto"/>
              </w:rPr>
              <w:t>Incentve</w:t>
            </w:r>
          </w:p>
        </w:tc>
      </w:tr>
      <w:tr>
        <w:trPr>
          <w:trHeight w:val="175"/>
        </w:trPr>
        <w:tc>
          <w:tcPr>
            <w:tcW w:w="2200" w:type="dxa"/>
            <w:vAlign w:val="bottom"/>
            <w:tcBorders>
              <w:left w:val="single" w:sz="8" w:color="auto"/>
              <w:right w:val="single" w:sz="8" w:color="auto"/>
            </w:tcBorders>
          </w:tcPr>
          <w:p>
            <w:pPr>
              <w:spacing w:after="0"/>
              <w:rPr>
                <w:sz w:val="15"/>
                <w:szCs w:val="15"/>
                <w:color w:val="auto"/>
              </w:rPr>
            </w:pPr>
          </w:p>
        </w:tc>
        <w:tc>
          <w:tcPr>
            <w:tcW w:w="760" w:type="dxa"/>
            <w:vAlign w:val="bottom"/>
            <w:tcBorders>
              <w:right w:val="single" w:sz="8" w:color="auto"/>
            </w:tcBorders>
          </w:tcPr>
          <w:p>
            <w:pPr>
              <w:jc w:val="center"/>
              <w:ind w:right="88"/>
              <w:spacing w:after="0"/>
              <w:rPr>
                <w:sz w:val="20"/>
                <w:szCs w:val="20"/>
                <w:color w:val="auto"/>
              </w:rPr>
            </w:pPr>
            <w:r>
              <w:rPr>
                <w:rFonts w:ascii="Calibri" w:cs="Calibri" w:eastAsia="Calibri" w:hAnsi="Calibri"/>
                <w:sz w:val="14"/>
                <w:szCs w:val="14"/>
                <w:color w:val="auto"/>
              </w:rPr>
              <w:t>Underlyin</w:t>
            </w:r>
          </w:p>
        </w:tc>
        <w:tc>
          <w:tcPr>
            <w:tcW w:w="880" w:type="dxa"/>
            <w:vAlign w:val="bottom"/>
          </w:tcPr>
          <w:p>
            <w:pPr>
              <w:jc w:val="center"/>
              <w:spacing w:after="0"/>
              <w:rPr>
                <w:sz w:val="20"/>
                <w:szCs w:val="20"/>
                <w:color w:val="auto"/>
              </w:rPr>
            </w:pPr>
            <w:r>
              <w:rPr>
                <w:rFonts w:ascii="Calibri" w:cs="Calibri" w:eastAsia="Calibri" w:hAnsi="Calibri"/>
                <w:sz w:val="14"/>
                <w:szCs w:val="14"/>
                <w:color w:val="auto"/>
              </w:rPr>
              <w:t>Underlying</w:t>
            </w:r>
          </w:p>
        </w:tc>
        <w:tc>
          <w:tcPr>
            <w:tcW w:w="10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jc w:val="center"/>
              <w:ind w:right="48"/>
              <w:spacing w:after="0"/>
              <w:rPr>
                <w:sz w:val="20"/>
                <w:szCs w:val="20"/>
                <w:color w:val="auto"/>
              </w:rPr>
            </w:pPr>
            <w:r>
              <w:rPr>
                <w:rFonts w:ascii="Calibri" w:cs="Calibri" w:eastAsia="Calibri" w:hAnsi="Calibri"/>
                <w:sz w:val="14"/>
                <w:szCs w:val="14"/>
                <w:color w:val="auto"/>
              </w:rPr>
              <w:t>Plan</w:t>
            </w:r>
          </w:p>
        </w:tc>
        <w:tc>
          <w:tcPr>
            <w:tcW w:w="76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rPr>
              <w:t>Price</w:t>
            </w:r>
          </w:p>
        </w:tc>
        <w:tc>
          <w:tcPr>
            <w:tcW w:w="86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rPr>
              <w:t>Date</w:t>
            </w:r>
          </w:p>
        </w:tc>
        <w:tc>
          <w:tcPr>
            <w:tcW w:w="680" w:type="dxa"/>
            <w:vAlign w:val="bottom"/>
          </w:tcPr>
          <w:p>
            <w:pPr>
              <w:jc w:val="center"/>
              <w:ind w:left="48"/>
              <w:spacing w:after="0"/>
              <w:rPr>
                <w:sz w:val="20"/>
                <w:szCs w:val="20"/>
                <w:color w:val="auto"/>
              </w:rPr>
            </w:pPr>
            <w:r>
              <w:rPr>
                <w:rFonts w:ascii="Calibri" w:cs="Calibri" w:eastAsia="Calibri" w:hAnsi="Calibri"/>
                <w:sz w:val="14"/>
                <w:szCs w:val="14"/>
                <w:color w:val="auto"/>
              </w:rPr>
              <w:t>Shares</w:t>
            </w:r>
          </w:p>
        </w:tc>
        <w:tc>
          <w:tcPr>
            <w:tcW w:w="2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center"/>
              <w:ind w:right="28"/>
              <w:spacing w:after="0"/>
              <w:rPr>
                <w:sz w:val="20"/>
                <w:szCs w:val="20"/>
                <w:color w:val="auto"/>
              </w:rPr>
            </w:pPr>
            <w:r>
              <w:rPr>
                <w:rFonts w:ascii="Calibri" w:cs="Calibri" w:eastAsia="Calibri" w:hAnsi="Calibri"/>
                <w:sz w:val="14"/>
                <w:szCs w:val="14"/>
                <w:color w:val="auto"/>
              </w:rPr>
              <w:t>Shares</w:t>
            </w:r>
          </w:p>
        </w:tc>
        <w:tc>
          <w:tcPr>
            <w:tcW w:w="100" w:type="dxa"/>
            <w:vAlign w:val="bottom"/>
            <w:tcBorders>
              <w:right w:val="single" w:sz="8" w:color="auto"/>
            </w:tcBorders>
          </w:tcPr>
          <w:p>
            <w:pPr>
              <w:spacing w:after="0"/>
              <w:rPr>
                <w:sz w:val="15"/>
                <w:szCs w:val="15"/>
                <w:color w:val="auto"/>
              </w:rPr>
            </w:pPr>
          </w:p>
        </w:tc>
        <w:tc>
          <w:tcPr>
            <w:tcW w:w="1240" w:type="dxa"/>
            <w:vAlign w:val="bottom"/>
          </w:tcPr>
          <w:p>
            <w:pPr>
              <w:jc w:val="center"/>
              <w:ind w:left="128"/>
              <w:spacing w:after="0"/>
              <w:rPr>
                <w:sz w:val="20"/>
                <w:szCs w:val="20"/>
                <w:color w:val="auto"/>
              </w:rPr>
            </w:pPr>
            <w:r>
              <w:rPr>
                <w:rFonts w:ascii="Calibri" w:cs="Calibri" w:eastAsia="Calibri" w:hAnsi="Calibri"/>
                <w:sz w:val="14"/>
                <w:szCs w:val="14"/>
                <w:color w:val="auto"/>
                <w:w w:val="97"/>
              </w:rPr>
              <w:t>Plan</w:t>
            </w:r>
          </w:p>
        </w:tc>
        <w:tc>
          <w:tcPr>
            <w:tcW w:w="32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Borders>
              <w:right w:val="single" w:sz="8" w:color="auto"/>
            </w:tcBorders>
          </w:tcPr>
          <w:p>
            <w:pPr>
              <w:jc w:val="center"/>
              <w:ind w:right="168"/>
              <w:spacing w:after="0"/>
              <w:rPr>
                <w:sz w:val="20"/>
                <w:szCs w:val="20"/>
                <w:color w:val="auto"/>
              </w:rPr>
            </w:pPr>
            <w:r>
              <w:rPr>
                <w:rFonts w:ascii="Calibri" w:cs="Calibri" w:eastAsia="Calibri" w:hAnsi="Calibri"/>
                <w:sz w:val="14"/>
                <w:szCs w:val="14"/>
                <w:color w:val="auto"/>
              </w:rPr>
              <w:t>Plan</w:t>
            </w:r>
          </w:p>
        </w:tc>
      </w:tr>
      <w:tr>
        <w:trPr>
          <w:trHeight w:val="176"/>
        </w:trPr>
        <w:tc>
          <w:tcPr>
            <w:tcW w:w="2200" w:type="dxa"/>
            <w:vAlign w:val="bottom"/>
            <w:tcBorders>
              <w:left w:val="single" w:sz="8" w:color="auto"/>
              <w:right w:val="single" w:sz="8" w:color="auto"/>
            </w:tcBorders>
          </w:tcPr>
          <w:p>
            <w:pPr>
              <w:spacing w:after="0"/>
              <w:rPr>
                <w:sz w:val="15"/>
                <w:szCs w:val="15"/>
                <w:color w:val="auto"/>
              </w:rPr>
            </w:pPr>
          </w:p>
        </w:tc>
        <w:tc>
          <w:tcPr>
            <w:tcW w:w="760" w:type="dxa"/>
            <w:vAlign w:val="bottom"/>
            <w:tcBorders>
              <w:right w:val="single" w:sz="8" w:color="auto"/>
            </w:tcBorders>
          </w:tcPr>
          <w:p>
            <w:pPr>
              <w:jc w:val="center"/>
              <w:ind w:right="88"/>
              <w:spacing w:after="0"/>
              <w:rPr>
                <w:sz w:val="20"/>
                <w:szCs w:val="20"/>
                <w:color w:val="auto"/>
              </w:rPr>
            </w:pPr>
            <w:r>
              <w:rPr>
                <w:rFonts w:ascii="Calibri" w:cs="Calibri" w:eastAsia="Calibri" w:hAnsi="Calibri"/>
                <w:sz w:val="14"/>
                <w:szCs w:val="14"/>
                <w:color w:val="auto"/>
              </w:rPr>
              <w:t>g</w:t>
            </w:r>
          </w:p>
        </w:tc>
        <w:tc>
          <w:tcPr>
            <w:tcW w:w="880" w:type="dxa"/>
            <w:vAlign w:val="bottom"/>
          </w:tcPr>
          <w:p>
            <w:pPr>
              <w:jc w:val="center"/>
              <w:spacing w:after="0"/>
              <w:rPr>
                <w:sz w:val="20"/>
                <w:szCs w:val="20"/>
                <w:color w:val="auto"/>
              </w:rPr>
            </w:pPr>
            <w:r>
              <w:rPr>
                <w:rFonts w:ascii="Calibri" w:cs="Calibri" w:eastAsia="Calibri" w:hAnsi="Calibri"/>
                <w:sz w:val="14"/>
                <w:szCs w:val="14"/>
                <w:color w:val="auto"/>
              </w:rPr>
              <w:t>Unexercised</w:t>
            </w:r>
          </w:p>
        </w:tc>
        <w:tc>
          <w:tcPr>
            <w:tcW w:w="10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jc w:val="center"/>
              <w:ind w:right="48"/>
              <w:spacing w:after="0"/>
              <w:rPr>
                <w:sz w:val="20"/>
                <w:szCs w:val="20"/>
                <w:color w:val="auto"/>
              </w:rPr>
            </w:pPr>
            <w:r>
              <w:rPr>
                <w:rFonts w:ascii="Calibri" w:cs="Calibri" w:eastAsia="Calibri" w:hAnsi="Calibri"/>
                <w:sz w:val="14"/>
                <w:szCs w:val="14"/>
                <w:color w:val="auto"/>
                <w:w w:val="99"/>
              </w:rPr>
              <w:t>Awards:</w:t>
            </w:r>
          </w:p>
        </w:tc>
        <w:tc>
          <w:tcPr>
            <w:tcW w:w="76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rPr>
              <w:t>($)</w:t>
            </w:r>
          </w:p>
        </w:tc>
        <w:tc>
          <w:tcPr>
            <w:tcW w:w="860" w:type="dxa"/>
            <w:vAlign w:val="bottom"/>
            <w:tcBorders>
              <w:right w:val="single" w:sz="8" w:color="auto"/>
            </w:tcBorders>
          </w:tcPr>
          <w:p>
            <w:pPr>
              <w:spacing w:after="0"/>
              <w:rPr>
                <w:sz w:val="15"/>
                <w:szCs w:val="15"/>
                <w:color w:val="auto"/>
              </w:rPr>
            </w:pPr>
          </w:p>
        </w:tc>
        <w:tc>
          <w:tcPr>
            <w:tcW w:w="680" w:type="dxa"/>
            <w:vAlign w:val="bottom"/>
          </w:tcPr>
          <w:p>
            <w:pPr>
              <w:jc w:val="center"/>
              <w:ind w:left="48"/>
              <w:spacing w:after="0"/>
              <w:rPr>
                <w:sz w:val="20"/>
                <w:szCs w:val="20"/>
                <w:color w:val="auto"/>
              </w:rPr>
            </w:pPr>
            <w:r>
              <w:rPr>
                <w:rFonts w:ascii="Calibri" w:cs="Calibri" w:eastAsia="Calibri" w:hAnsi="Calibri"/>
                <w:sz w:val="14"/>
                <w:szCs w:val="14"/>
                <w:color w:val="auto"/>
              </w:rPr>
              <w:t>or Units</w:t>
            </w:r>
          </w:p>
        </w:tc>
        <w:tc>
          <w:tcPr>
            <w:tcW w:w="2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center"/>
              <w:ind w:right="28"/>
              <w:spacing w:after="0"/>
              <w:rPr>
                <w:sz w:val="20"/>
                <w:szCs w:val="20"/>
                <w:color w:val="auto"/>
              </w:rPr>
            </w:pPr>
            <w:r>
              <w:rPr>
                <w:rFonts w:ascii="Calibri" w:cs="Calibri" w:eastAsia="Calibri" w:hAnsi="Calibri"/>
                <w:sz w:val="14"/>
                <w:szCs w:val="14"/>
                <w:color w:val="auto"/>
              </w:rPr>
              <w:t>or Units</w:t>
            </w:r>
          </w:p>
        </w:tc>
        <w:tc>
          <w:tcPr>
            <w:tcW w:w="100" w:type="dxa"/>
            <w:vAlign w:val="bottom"/>
            <w:tcBorders>
              <w:right w:val="single" w:sz="8" w:color="auto"/>
            </w:tcBorders>
          </w:tcPr>
          <w:p>
            <w:pPr>
              <w:spacing w:after="0"/>
              <w:rPr>
                <w:sz w:val="15"/>
                <w:szCs w:val="15"/>
                <w:color w:val="auto"/>
              </w:rPr>
            </w:pPr>
          </w:p>
        </w:tc>
        <w:tc>
          <w:tcPr>
            <w:tcW w:w="1240" w:type="dxa"/>
            <w:vAlign w:val="bottom"/>
          </w:tcPr>
          <w:p>
            <w:pPr>
              <w:jc w:val="center"/>
              <w:ind w:left="128"/>
              <w:spacing w:after="0"/>
              <w:rPr>
                <w:sz w:val="20"/>
                <w:szCs w:val="20"/>
                <w:color w:val="auto"/>
              </w:rPr>
            </w:pPr>
            <w:r>
              <w:rPr>
                <w:rFonts w:ascii="Calibri" w:cs="Calibri" w:eastAsia="Calibri" w:hAnsi="Calibri"/>
                <w:sz w:val="14"/>
                <w:szCs w:val="14"/>
                <w:color w:val="auto"/>
              </w:rPr>
              <w:t>Awards:</w:t>
            </w:r>
          </w:p>
        </w:tc>
        <w:tc>
          <w:tcPr>
            <w:tcW w:w="32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Borders>
              <w:right w:val="single" w:sz="8" w:color="auto"/>
            </w:tcBorders>
          </w:tcPr>
          <w:p>
            <w:pPr>
              <w:jc w:val="center"/>
              <w:ind w:right="188"/>
              <w:spacing w:after="0"/>
              <w:rPr>
                <w:sz w:val="20"/>
                <w:szCs w:val="20"/>
                <w:color w:val="auto"/>
              </w:rPr>
            </w:pPr>
            <w:r>
              <w:rPr>
                <w:rFonts w:ascii="Calibri" w:cs="Calibri" w:eastAsia="Calibri" w:hAnsi="Calibri"/>
                <w:sz w:val="14"/>
                <w:szCs w:val="14"/>
                <w:color w:val="auto"/>
              </w:rPr>
              <w:t>Awards:</w:t>
            </w:r>
          </w:p>
        </w:tc>
      </w:tr>
      <w:tr>
        <w:trPr>
          <w:trHeight w:val="176"/>
        </w:trPr>
        <w:tc>
          <w:tcPr>
            <w:tcW w:w="2200" w:type="dxa"/>
            <w:vAlign w:val="bottom"/>
            <w:tcBorders>
              <w:left w:val="single" w:sz="8" w:color="auto"/>
              <w:right w:val="single" w:sz="8" w:color="auto"/>
            </w:tcBorders>
          </w:tcPr>
          <w:p>
            <w:pPr>
              <w:spacing w:after="0"/>
              <w:rPr>
                <w:sz w:val="15"/>
                <w:szCs w:val="15"/>
                <w:color w:val="auto"/>
              </w:rPr>
            </w:pPr>
          </w:p>
        </w:tc>
        <w:tc>
          <w:tcPr>
            <w:tcW w:w="760" w:type="dxa"/>
            <w:vAlign w:val="bottom"/>
            <w:tcBorders>
              <w:right w:val="single" w:sz="8" w:color="auto"/>
            </w:tcBorders>
          </w:tcPr>
          <w:p>
            <w:pPr>
              <w:jc w:val="center"/>
              <w:ind w:right="88"/>
              <w:spacing w:after="0"/>
              <w:rPr>
                <w:sz w:val="20"/>
                <w:szCs w:val="20"/>
                <w:color w:val="auto"/>
              </w:rPr>
            </w:pPr>
            <w:r>
              <w:rPr>
                <w:rFonts w:ascii="Calibri" w:cs="Calibri" w:eastAsia="Calibri" w:hAnsi="Calibri"/>
                <w:sz w:val="14"/>
                <w:szCs w:val="14"/>
                <w:color w:val="auto"/>
              </w:rPr>
              <w:t>Unexercis</w:t>
            </w:r>
          </w:p>
        </w:tc>
        <w:tc>
          <w:tcPr>
            <w:tcW w:w="880" w:type="dxa"/>
            <w:vAlign w:val="bottom"/>
          </w:tcPr>
          <w:p>
            <w:pPr>
              <w:jc w:val="center"/>
              <w:spacing w:after="0"/>
              <w:rPr>
                <w:sz w:val="20"/>
                <w:szCs w:val="20"/>
                <w:color w:val="auto"/>
              </w:rPr>
            </w:pPr>
            <w:r>
              <w:rPr>
                <w:rFonts w:ascii="Calibri" w:cs="Calibri" w:eastAsia="Calibri" w:hAnsi="Calibri"/>
                <w:sz w:val="14"/>
                <w:szCs w:val="14"/>
                <w:color w:val="auto"/>
              </w:rPr>
              <w:t>Optons</w:t>
            </w:r>
          </w:p>
        </w:tc>
        <w:tc>
          <w:tcPr>
            <w:tcW w:w="10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jc w:val="center"/>
              <w:ind w:right="48"/>
              <w:spacing w:after="0"/>
              <w:rPr>
                <w:sz w:val="20"/>
                <w:szCs w:val="20"/>
                <w:color w:val="auto"/>
              </w:rPr>
            </w:pPr>
            <w:r>
              <w:rPr>
                <w:rFonts w:ascii="Calibri" w:cs="Calibri" w:eastAsia="Calibri" w:hAnsi="Calibri"/>
                <w:sz w:val="14"/>
                <w:szCs w:val="14"/>
                <w:color w:val="auto"/>
              </w:rPr>
              <w:t>Number of</w:t>
            </w:r>
          </w:p>
        </w:tc>
        <w:tc>
          <w:tcPr>
            <w:tcW w:w="76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gridSpan w:val="2"/>
          </w:tcPr>
          <w:p>
            <w:pPr>
              <w:jc w:val="center"/>
              <w:ind w:right="48"/>
              <w:spacing w:after="0"/>
              <w:rPr>
                <w:sz w:val="20"/>
                <w:szCs w:val="20"/>
                <w:color w:val="auto"/>
              </w:rPr>
            </w:pPr>
            <w:r>
              <w:rPr>
                <w:rFonts w:ascii="Calibri" w:cs="Calibri" w:eastAsia="Calibri" w:hAnsi="Calibri"/>
                <w:sz w:val="14"/>
                <w:szCs w:val="14"/>
                <w:color w:val="auto"/>
              </w:rPr>
              <w:t>of Stock That</w:t>
            </w:r>
          </w:p>
        </w:tc>
        <w:tc>
          <w:tcPr>
            <w:tcW w:w="80" w:type="dxa"/>
            <w:vAlign w:val="bottom"/>
          </w:tcPr>
          <w:p>
            <w:pPr>
              <w:spacing w:after="0"/>
              <w:rPr>
                <w:sz w:val="15"/>
                <w:szCs w:val="15"/>
                <w:color w:val="auto"/>
              </w:rPr>
            </w:pPr>
          </w:p>
        </w:tc>
        <w:tc>
          <w:tcPr>
            <w:tcW w:w="800" w:type="dxa"/>
            <w:vAlign w:val="bottom"/>
          </w:tcPr>
          <w:p>
            <w:pPr>
              <w:jc w:val="center"/>
              <w:ind w:right="28"/>
              <w:spacing w:after="0"/>
              <w:rPr>
                <w:sz w:val="20"/>
                <w:szCs w:val="20"/>
                <w:color w:val="auto"/>
              </w:rPr>
            </w:pPr>
            <w:r>
              <w:rPr>
                <w:rFonts w:ascii="Calibri" w:cs="Calibri" w:eastAsia="Calibri" w:hAnsi="Calibri"/>
                <w:sz w:val="14"/>
                <w:szCs w:val="14"/>
                <w:color w:val="auto"/>
              </w:rPr>
              <w:t>of Stock</w:t>
            </w:r>
          </w:p>
        </w:tc>
        <w:tc>
          <w:tcPr>
            <w:tcW w:w="100" w:type="dxa"/>
            <w:vAlign w:val="bottom"/>
            <w:tcBorders>
              <w:right w:val="single" w:sz="8" w:color="auto"/>
            </w:tcBorders>
          </w:tcPr>
          <w:p>
            <w:pPr>
              <w:spacing w:after="0"/>
              <w:rPr>
                <w:sz w:val="15"/>
                <w:szCs w:val="15"/>
                <w:color w:val="auto"/>
              </w:rPr>
            </w:pPr>
          </w:p>
        </w:tc>
        <w:tc>
          <w:tcPr>
            <w:tcW w:w="1240" w:type="dxa"/>
            <w:vAlign w:val="bottom"/>
          </w:tcPr>
          <w:p>
            <w:pPr>
              <w:jc w:val="center"/>
              <w:ind w:left="128"/>
              <w:spacing w:after="0"/>
              <w:rPr>
                <w:sz w:val="20"/>
                <w:szCs w:val="20"/>
                <w:color w:val="auto"/>
              </w:rPr>
            </w:pPr>
            <w:r>
              <w:rPr>
                <w:rFonts w:ascii="Calibri" w:cs="Calibri" w:eastAsia="Calibri" w:hAnsi="Calibri"/>
                <w:sz w:val="14"/>
                <w:szCs w:val="14"/>
                <w:color w:val="auto"/>
              </w:rPr>
              <w:t>Number of</w:t>
            </w:r>
          </w:p>
        </w:tc>
        <w:tc>
          <w:tcPr>
            <w:tcW w:w="32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Borders>
              <w:right w:val="single" w:sz="8" w:color="auto"/>
            </w:tcBorders>
          </w:tcPr>
          <w:p>
            <w:pPr>
              <w:jc w:val="center"/>
              <w:ind w:right="168"/>
              <w:spacing w:after="0"/>
              <w:rPr>
                <w:sz w:val="20"/>
                <w:szCs w:val="20"/>
                <w:color w:val="auto"/>
              </w:rPr>
            </w:pPr>
            <w:r>
              <w:rPr>
                <w:rFonts w:ascii="Calibri" w:cs="Calibri" w:eastAsia="Calibri" w:hAnsi="Calibri"/>
                <w:sz w:val="14"/>
                <w:szCs w:val="14"/>
                <w:color w:val="auto"/>
              </w:rPr>
              <w:t>Market or</w:t>
            </w:r>
          </w:p>
        </w:tc>
      </w:tr>
      <w:tr>
        <w:trPr>
          <w:trHeight w:val="175"/>
        </w:trPr>
        <w:tc>
          <w:tcPr>
            <w:tcW w:w="2200" w:type="dxa"/>
            <w:vAlign w:val="bottom"/>
            <w:tcBorders>
              <w:left w:val="single" w:sz="8" w:color="auto"/>
              <w:right w:val="single" w:sz="8" w:color="auto"/>
            </w:tcBorders>
          </w:tcPr>
          <w:p>
            <w:pPr>
              <w:spacing w:after="0"/>
              <w:rPr>
                <w:sz w:val="15"/>
                <w:szCs w:val="15"/>
                <w:color w:val="auto"/>
              </w:rPr>
            </w:pPr>
          </w:p>
        </w:tc>
        <w:tc>
          <w:tcPr>
            <w:tcW w:w="760" w:type="dxa"/>
            <w:vAlign w:val="bottom"/>
            <w:tcBorders>
              <w:right w:val="single" w:sz="8" w:color="auto"/>
            </w:tcBorders>
          </w:tcPr>
          <w:p>
            <w:pPr>
              <w:jc w:val="center"/>
              <w:ind w:right="88"/>
              <w:spacing w:after="0"/>
              <w:rPr>
                <w:sz w:val="20"/>
                <w:szCs w:val="20"/>
                <w:color w:val="auto"/>
              </w:rPr>
            </w:pPr>
            <w:r>
              <w:rPr>
                <w:rFonts w:ascii="Calibri" w:cs="Calibri" w:eastAsia="Calibri" w:hAnsi="Calibri"/>
                <w:sz w:val="14"/>
                <w:szCs w:val="14"/>
                <w:color w:val="auto"/>
              </w:rPr>
              <w:t>ed</w:t>
            </w:r>
          </w:p>
        </w:tc>
        <w:tc>
          <w:tcPr>
            <w:tcW w:w="880" w:type="dxa"/>
            <w:vAlign w:val="bottom"/>
          </w:tcPr>
          <w:p>
            <w:pPr>
              <w:jc w:val="center"/>
              <w:spacing w:after="0"/>
              <w:rPr>
                <w:sz w:val="20"/>
                <w:szCs w:val="20"/>
                <w:color w:val="auto"/>
              </w:rPr>
            </w:pPr>
            <w:r>
              <w:rPr>
                <w:rFonts w:ascii="Calibri" w:cs="Calibri" w:eastAsia="Calibri" w:hAnsi="Calibri"/>
                <w:sz w:val="14"/>
                <w:szCs w:val="14"/>
                <w:color w:val="auto"/>
              </w:rPr>
              <w:t>(#)</w:t>
            </w:r>
          </w:p>
        </w:tc>
        <w:tc>
          <w:tcPr>
            <w:tcW w:w="10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jc w:val="center"/>
              <w:ind w:right="48"/>
              <w:spacing w:after="0"/>
              <w:rPr>
                <w:sz w:val="20"/>
                <w:szCs w:val="20"/>
                <w:color w:val="auto"/>
              </w:rPr>
            </w:pPr>
            <w:r>
              <w:rPr>
                <w:rFonts w:ascii="Calibri" w:cs="Calibri" w:eastAsia="Calibri" w:hAnsi="Calibri"/>
                <w:sz w:val="14"/>
                <w:szCs w:val="14"/>
                <w:color w:val="auto"/>
              </w:rPr>
              <w:t>Securites</w:t>
            </w:r>
          </w:p>
        </w:tc>
        <w:tc>
          <w:tcPr>
            <w:tcW w:w="76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680" w:type="dxa"/>
            <w:vAlign w:val="bottom"/>
          </w:tcPr>
          <w:p>
            <w:pPr>
              <w:jc w:val="center"/>
              <w:ind w:left="48"/>
              <w:spacing w:after="0"/>
              <w:rPr>
                <w:sz w:val="20"/>
                <w:szCs w:val="20"/>
                <w:color w:val="auto"/>
              </w:rPr>
            </w:pPr>
            <w:r>
              <w:rPr>
                <w:rFonts w:ascii="Calibri" w:cs="Calibri" w:eastAsia="Calibri" w:hAnsi="Calibri"/>
                <w:sz w:val="14"/>
                <w:szCs w:val="14"/>
                <w:color w:val="auto"/>
                <w:w w:val="97"/>
              </w:rPr>
              <w:t>Have</w:t>
            </w:r>
          </w:p>
        </w:tc>
        <w:tc>
          <w:tcPr>
            <w:tcW w:w="2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center"/>
              <w:ind w:right="28"/>
              <w:spacing w:after="0"/>
              <w:rPr>
                <w:sz w:val="20"/>
                <w:szCs w:val="20"/>
                <w:color w:val="auto"/>
              </w:rPr>
            </w:pPr>
            <w:r>
              <w:rPr>
                <w:rFonts w:ascii="Calibri" w:cs="Calibri" w:eastAsia="Calibri" w:hAnsi="Calibri"/>
                <w:sz w:val="14"/>
                <w:szCs w:val="14"/>
                <w:color w:val="auto"/>
              </w:rPr>
              <w:t>That Have</w:t>
            </w:r>
          </w:p>
        </w:tc>
        <w:tc>
          <w:tcPr>
            <w:tcW w:w="100" w:type="dxa"/>
            <w:vAlign w:val="bottom"/>
            <w:tcBorders>
              <w:right w:val="single" w:sz="8" w:color="auto"/>
            </w:tcBorders>
          </w:tcPr>
          <w:p>
            <w:pPr>
              <w:spacing w:after="0"/>
              <w:rPr>
                <w:sz w:val="15"/>
                <w:szCs w:val="15"/>
                <w:color w:val="auto"/>
              </w:rPr>
            </w:pPr>
          </w:p>
        </w:tc>
        <w:tc>
          <w:tcPr>
            <w:tcW w:w="1240" w:type="dxa"/>
            <w:vAlign w:val="bottom"/>
          </w:tcPr>
          <w:p>
            <w:pPr>
              <w:jc w:val="center"/>
              <w:ind w:left="148"/>
              <w:spacing w:after="0"/>
              <w:rPr>
                <w:sz w:val="20"/>
                <w:szCs w:val="20"/>
                <w:color w:val="auto"/>
              </w:rPr>
            </w:pPr>
            <w:r>
              <w:rPr>
                <w:rFonts w:ascii="Calibri" w:cs="Calibri" w:eastAsia="Calibri" w:hAnsi="Calibri"/>
                <w:sz w:val="14"/>
                <w:szCs w:val="14"/>
                <w:color w:val="auto"/>
              </w:rPr>
              <w:t>Unearned</w:t>
            </w:r>
          </w:p>
        </w:tc>
        <w:tc>
          <w:tcPr>
            <w:tcW w:w="32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Borders>
              <w:right w:val="single" w:sz="8" w:color="auto"/>
            </w:tcBorders>
          </w:tcPr>
          <w:p>
            <w:pPr>
              <w:jc w:val="center"/>
              <w:ind w:right="188"/>
              <w:spacing w:after="0"/>
              <w:rPr>
                <w:sz w:val="20"/>
                <w:szCs w:val="20"/>
                <w:color w:val="auto"/>
              </w:rPr>
            </w:pPr>
            <w:r>
              <w:rPr>
                <w:rFonts w:ascii="Calibri" w:cs="Calibri" w:eastAsia="Calibri" w:hAnsi="Calibri"/>
                <w:sz w:val="14"/>
                <w:szCs w:val="14"/>
                <w:color w:val="auto"/>
              </w:rPr>
              <w:t>Payout</w:t>
            </w:r>
          </w:p>
        </w:tc>
      </w:tr>
      <w:tr>
        <w:trPr>
          <w:trHeight w:val="176"/>
        </w:trPr>
        <w:tc>
          <w:tcPr>
            <w:tcW w:w="2200" w:type="dxa"/>
            <w:vAlign w:val="bottom"/>
            <w:tcBorders>
              <w:left w:val="single" w:sz="8" w:color="auto"/>
              <w:right w:val="single" w:sz="8" w:color="auto"/>
            </w:tcBorders>
          </w:tcPr>
          <w:p>
            <w:pPr>
              <w:spacing w:after="0"/>
              <w:rPr>
                <w:sz w:val="15"/>
                <w:szCs w:val="15"/>
                <w:color w:val="auto"/>
              </w:rPr>
            </w:pPr>
          </w:p>
        </w:tc>
        <w:tc>
          <w:tcPr>
            <w:tcW w:w="760" w:type="dxa"/>
            <w:vAlign w:val="bottom"/>
            <w:tcBorders>
              <w:right w:val="single" w:sz="8" w:color="auto"/>
            </w:tcBorders>
          </w:tcPr>
          <w:p>
            <w:pPr>
              <w:jc w:val="center"/>
              <w:ind w:right="108"/>
              <w:spacing w:after="0"/>
              <w:rPr>
                <w:sz w:val="20"/>
                <w:szCs w:val="20"/>
                <w:color w:val="auto"/>
              </w:rPr>
            </w:pPr>
            <w:r>
              <w:rPr>
                <w:rFonts w:ascii="Calibri" w:cs="Calibri" w:eastAsia="Calibri" w:hAnsi="Calibri"/>
                <w:sz w:val="14"/>
                <w:szCs w:val="14"/>
                <w:color w:val="auto"/>
              </w:rPr>
              <w:t>Optons</w:t>
            </w:r>
          </w:p>
        </w:tc>
        <w:tc>
          <w:tcPr>
            <w:tcW w:w="880" w:type="dxa"/>
            <w:vAlign w:val="bottom"/>
          </w:tcPr>
          <w:p>
            <w:pPr>
              <w:jc w:val="center"/>
              <w:spacing w:after="0"/>
              <w:rPr>
                <w:sz w:val="20"/>
                <w:szCs w:val="20"/>
                <w:color w:val="auto"/>
              </w:rPr>
            </w:pPr>
            <w:r>
              <w:rPr>
                <w:rFonts w:ascii="Calibri" w:cs="Calibri" w:eastAsia="Calibri" w:hAnsi="Calibri"/>
                <w:sz w:val="14"/>
                <w:szCs w:val="14"/>
                <w:color w:val="auto"/>
              </w:rPr>
              <w:t>Unexercisable</w:t>
            </w:r>
          </w:p>
        </w:tc>
        <w:tc>
          <w:tcPr>
            <w:tcW w:w="10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jc w:val="center"/>
              <w:ind w:right="68"/>
              <w:spacing w:after="0"/>
              <w:rPr>
                <w:sz w:val="20"/>
                <w:szCs w:val="20"/>
                <w:color w:val="auto"/>
              </w:rPr>
            </w:pPr>
            <w:r>
              <w:rPr>
                <w:rFonts w:ascii="Calibri" w:cs="Calibri" w:eastAsia="Calibri" w:hAnsi="Calibri"/>
                <w:sz w:val="14"/>
                <w:szCs w:val="14"/>
                <w:color w:val="auto"/>
              </w:rPr>
              <w:t>Underlying</w:t>
            </w:r>
          </w:p>
        </w:tc>
        <w:tc>
          <w:tcPr>
            <w:tcW w:w="76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gridSpan w:val="2"/>
          </w:tcPr>
          <w:p>
            <w:pPr>
              <w:jc w:val="center"/>
              <w:ind w:right="48"/>
              <w:spacing w:after="0"/>
              <w:rPr>
                <w:sz w:val="20"/>
                <w:szCs w:val="20"/>
                <w:color w:val="auto"/>
              </w:rPr>
            </w:pPr>
            <w:r>
              <w:rPr>
                <w:rFonts w:ascii="Calibri" w:cs="Calibri" w:eastAsia="Calibri" w:hAnsi="Calibri"/>
                <w:sz w:val="14"/>
                <w:szCs w:val="14"/>
                <w:color w:val="auto"/>
              </w:rPr>
              <w:t>Not Vested</w:t>
            </w:r>
          </w:p>
        </w:tc>
        <w:tc>
          <w:tcPr>
            <w:tcW w:w="80" w:type="dxa"/>
            <w:vAlign w:val="bottom"/>
          </w:tcPr>
          <w:p>
            <w:pPr>
              <w:spacing w:after="0"/>
              <w:rPr>
                <w:sz w:val="15"/>
                <w:szCs w:val="15"/>
                <w:color w:val="auto"/>
              </w:rPr>
            </w:pPr>
          </w:p>
        </w:tc>
        <w:tc>
          <w:tcPr>
            <w:tcW w:w="800" w:type="dxa"/>
            <w:vAlign w:val="bottom"/>
          </w:tcPr>
          <w:p>
            <w:pPr>
              <w:jc w:val="center"/>
              <w:ind w:right="48"/>
              <w:spacing w:after="0"/>
              <w:rPr>
                <w:sz w:val="20"/>
                <w:szCs w:val="20"/>
                <w:color w:val="auto"/>
              </w:rPr>
            </w:pPr>
            <w:r>
              <w:rPr>
                <w:rFonts w:ascii="Calibri" w:cs="Calibri" w:eastAsia="Calibri" w:hAnsi="Calibri"/>
                <w:sz w:val="14"/>
                <w:szCs w:val="14"/>
                <w:color w:val="auto"/>
              </w:rPr>
              <w:t>Not Vested</w:t>
            </w:r>
          </w:p>
        </w:tc>
        <w:tc>
          <w:tcPr>
            <w:tcW w:w="100" w:type="dxa"/>
            <w:vAlign w:val="bottom"/>
            <w:tcBorders>
              <w:right w:val="single" w:sz="8" w:color="auto"/>
            </w:tcBorders>
          </w:tcPr>
          <w:p>
            <w:pPr>
              <w:spacing w:after="0"/>
              <w:rPr>
                <w:sz w:val="15"/>
                <w:szCs w:val="15"/>
                <w:color w:val="auto"/>
              </w:rPr>
            </w:pPr>
          </w:p>
        </w:tc>
        <w:tc>
          <w:tcPr>
            <w:tcW w:w="1240" w:type="dxa"/>
            <w:vAlign w:val="bottom"/>
          </w:tcPr>
          <w:p>
            <w:pPr>
              <w:jc w:val="center"/>
              <w:ind w:left="148"/>
              <w:spacing w:after="0"/>
              <w:rPr>
                <w:sz w:val="20"/>
                <w:szCs w:val="20"/>
                <w:color w:val="auto"/>
              </w:rPr>
            </w:pPr>
            <w:r>
              <w:rPr>
                <w:rFonts w:ascii="Calibri" w:cs="Calibri" w:eastAsia="Calibri" w:hAnsi="Calibri"/>
                <w:sz w:val="14"/>
                <w:szCs w:val="14"/>
                <w:color w:val="auto"/>
              </w:rPr>
              <w:t>Shares,</w:t>
            </w:r>
          </w:p>
        </w:tc>
        <w:tc>
          <w:tcPr>
            <w:tcW w:w="32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Borders>
              <w:right w:val="single" w:sz="8" w:color="auto"/>
            </w:tcBorders>
          </w:tcPr>
          <w:p>
            <w:pPr>
              <w:jc w:val="center"/>
              <w:ind w:right="188"/>
              <w:spacing w:after="0"/>
              <w:rPr>
                <w:sz w:val="20"/>
                <w:szCs w:val="20"/>
                <w:color w:val="auto"/>
              </w:rPr>
            </w:pPr>
            <w:r>
              <w:rPr>
                <w:rFonts w:ascii="Calibri" w:cs="Calibri" w:eastAsia="Calibri" w:hAnsi="Calibri"/>
                <w:sz w:val="14"/>
                <w:szCs w:val="14"/>
                <w:color w:val="auto"/>
              </w:rPr>
              <w:t>Value of</w:t>
            </w:r>
          </w:p>
        </w:tc>
      </w:tr>
      <w:tr>
        <w:trPr>
          <w:trHeight w:val="175"/>
        </w:trPr>
        <w:tc>
          <w:tcPr>
            <w:tcW w:w="2200" w:type="dxa"/>
            <w:vAlign w:val="bottom"/>
            <w:tcBorders>
              <w:left w:val="single" w:sz="8" w:color="auto"/>
              <w:right w:val="single" w:sz="8" w:color="auto"/>
            </w:tcBorders>
          </w:tcPr>
          <w:p>
            <w:pPr>
              <w:spacing w:after="0"/>
              <w:rPr>
                <w:sz w:val="15"/>
                <w:szCs w:val="15"/>
                <w:color w:val="auto"/>
              </w:rPr>
            </w:pPr>
          </w:p>
        </w:tc>
        <w:tc>
          <w:tcPr>
            <w:tcW w:w="760" w:type="dxa"/>
            <w:vAlign w:val="bottom"/>
            <w:tcBorders>
              <w:right w:val="single" w:sz="8" w:color="auto"/>
            </w:tcBorders>
          </w:tcPr>
          <w:p>
            <w:pPr>
              <w:jc w:val="center"/>
              <w:ind w:right="88"/>
              <w:spacing w:after="0"/>
              <w:rPr>
                <w:sz w:val="20"/>
                <w:szCs w:val="20"/>
                <w:color w:val="auto"/>
              </w:rPr>
            </w:pPr>
            <w:r>
              <w:rPr>
                <w:rFonts w:ascii="Calibri" w:cs="Calibri" w:eastAsia="Calibri" w:hAnsi="Calibri"/>
                <w:sz w:val="14"/>
                <w:szCs w:val="14"/>
                <w:color w:val="auto"/>
              </w:rPr>
              <w:t>(#)</w:t>
            </w:r>
          </w:p>
        </w:tc>
        <w:tc>
          <w:tcPr>
            <w:tcW w:w="8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jc w:val="center"/>
              <w:ind w:right="48"/>
              <w:spacing w:after="0"/>
              <w:rPr>
                <w:sz w:val="20"/>
                <w:szCs w:val="20"/>
                <w:color w:val="auto"/>
              </w:rPr>
            </w:pPr>
            <w:r>
              <w:rPr>
                <w:rFonts w:ascii="Calibri" w:cs="Calibri" w:eastAsia="Calibri" w:hAnsi="Calibri"/>
                <w:sz w:val="14"/>
                <w:szCs w:val="14"/>
                <w:color w:val="auto"/>
                <w:w w:val="99"/>
              </w:rPr>
              <w:t>Unexercised</w:t>
            </w:r>
          </w:p>
        </w:tc>
        <w:tc>
          <w:tcPr>
            <w:tcW w:w="76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680" w:type="dxa"/>
            <w:vAlign w:val="bottom"/>
          </w:tcPr>
          <w:p>
            <w:pPr>
              <w:jc w:val="center"/>
              <w:ind w:left="48"/>
              <w:spacing w:after="0"/>
              <w:rPr>
                <w:sz w:val="20"/>
                <w:szCs w:val="20"/>
                <w:color w:val="auto"/>
              </w:rPr>
            </w:pPr>
            <w:r>
              <w:rPr>
                <w:rFonts w:ascii="Calibri" w:cs="Calibri" w:eastAsia="Calibri" w:hAnsi="Calibri"/>
                <w:sz w:val="14"/>
                <w:szCs w:val="14"/>
                <w:color w:val="auto"/>
              </w:rPr>
              <w:t>(#)</w:t>
            </w:r>
          </w:p>
        </w:tc>
        <w:tc>
          <w:tcPr>
            <w:tcW w:w="2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center"/>
              <w:ind w:right="48"/>
              <w:spacing w:after="0"/>
              <w:rPr>
                <w:sz w:val="20"/>
                <w:szCs w:val="20"/>
                <w:color w:val="auto"/>
              </w:rPr>
            </w:pPr>
            <w:r>
              <w:rPr>
                <w:rFonts w:ascii="Calibri" w:cs="Calibri" w:eastAsia="Calibri" w:hAnsi="Calibri"/>
                <w:sz w:val="14"/>
                <w:szCs w:val="14"/>
                <w:color w:val="auto"/>
              </w:rPr>
              <w:t>($)(3)</w:t>
            </w:r>
          </w:p>
        </w:tc>
        <w:tc>
          <w:tcPr>
            <w:tcW w:w="100" w:type="dxa"/>
            <w:vAlign w:val="bottom"/>
            <w:tcBorders>
              <w:right w:val="single" w:sz="8" w:color="auto"/>
            </w:tcBorders>
          </w:tcPr>
          <w:p>
            <w:pPr>
              <w:spacing w:after="0"/>
              <w:rPr>
                <w:sz w:val="15"/>
                <w:szCs w:val="15"/>
                <w:color w:val="auto"/>
              </w:rPr>
            </w:pPr>
          </w:p>
        </w:tc>
        <w:tc>
          <w:tcPr>
            <w:tcW w:w="1240" w:type="dxa"/>
            <w:vAlign w:val="bottom"/>
          </w:tcPr>
          <w:p>
            <w:pPr>
              <w:jc w:val="center"/>
              <w:ind w:left="128"/>
              <w:spacing w:after="0"/>
              <w:rPr>
                <w:sz w:val="20"/>
                <w:szCs w:val="20"/>
                <w:color w:val="auto"/>
              </w:rPr>
            </w:pPr>
            <w:r>
              <w:rPr>
                <w:rFonts w:ascii="Calibri" w:cs="Calibri" w:eastAsia="Calibri" w:hAnsi="Calibri"/>
                <w:sz w:val="14"/>
                <w:szCs w:val="14"/>
                <w:color w:val="auto"/>
              </w:rPr>
              <w:t>Units</w:t>
            </w:r>
          </w:p>
        </w:tc>
        <w:tc>
          <w:tcPr>
            <w:tcW w:w="32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Borders>
              <w:right w:val="single" w:sz="8" w:color="auto"/>
            </w:tcBorders>
          </w:tcPr>
          <w:p>
            <w:pPr>
              <w:jc w:val="center"/>
              <w:ind w:right="168"/>
              <w:spacing w:after="0"/>
              <w:rPr>
                <w:sz w:val="20"/>
                <w:szCs w:val="20"/>
                <w:color w:val="auto"/>
              </w:rPr>
            </w:pPr>
            <w:r>
              <w:rPr>
                <w:rFonts w:ascii="Calibri" w:cs="Calibri" w:eastAsia="Calibri" w:hAnsi="Calibri"/>
                <w:sz w:val="14"/>
                <w:szCs w:val="14"/>
                <w:color w:val="auto"/>
              </w:rPr>
              <w:t>Unearned</w:t>
            </w:r>
          </w:p>
        </w:tc>
      </w:tr>
      <w:tr>
        <w:trPr>
          <w:trHeight w:val="176"/>
        </w:trPr>
        <w:tc>
          <w:tcPr>
            <w:tcW w:w="2200" w:type="dxa"/>
            <w:vAlign w:val="bottom"/>
            <w:tcBorders>
              <w:left w:val="single" w:sz="8" w:color="auto"/>
              <w:right w:val="single" w:sz="8" w:color="auto"/>
            </w:tcBorders>
          </w:tcPr>
          <w:p>
            <w:pPr>
              <w:spacing w:after="0"/>
              <w:rPr>
                <w:sz w:val="15"/>
                <w:szCs w:val="15"/>
                <w:color w:val="auto"/>
              </w:rPr>
            </w:pPr>
          </w:p>
        </w:tc>
        <w:tc>
          <w:tcPr>
            <w:tcW w:w="760" w:type="dxa"/>
            <w:vAlign w:val="bottom"/>
            <w:tcBorders>
              <w:right w:val="single" w:sz="8" w:color="auto"/>
            </w:tcBorders>
          </w:tcPr>
          <w:p>
            <w:pPr>
              <w:jc w:val="center"/>
              <w:ind w:right="108"/>
              <w:spacing w:after="0"/>
              <w:rPr>
                <w:sz w:val="20"/>
                <w:szCs w:val="20"/>
                <w:color w:val="auto"/>
              </w:rPr>
            </w:pPr>
            <w:r>
              <w:rPr>
                <w:rFonts w:ascii="Calibri" w:cs="Calibri" w:eastAsia="Calibri" w:hAnsi="Calibri"/>
                <w:sz w:val="14"/>
                <w:szCs w:val="14"/>
                <w:color w:val="auto"/>
              </w:rPr>
              <w:t>Exercisabl</w:t>
            </w:r>
          </w:p>
        </w:tc>
        <w:tc>
          <w:tcPr>
            <w:tcW w:w="8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jc w:val="center"/>
              <w:ind w:right="48"/>
              <w:spacing w:after="0"/>
              <w:rPr>
                <w:sz w:val="20"/>
                <w:szCs w:val="20"/>
                <w:color w:val="auto"/>
              </w:rPr>
            </w:pPr>
            <w:r>
              <w:rPr>
                <w:rFonts w:ascii="Calibri" w:cs="Calibri" w:eastAsia="Calibri" w:hAnsi="Calibri"/>
                <w:sz w:val="14"/>
                <w:szCs w:val="14"/>
                <w:color w:val="auto"/>
              </w:rPr>
              <w:t>Unearned</w:t>
            </w:r>
          </w:p>
        </w:tc>
        <w:tc>
          <w:tcPr>
            <w:tcW w:w="76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240" w:type="dxa"/>
            <w:vAlign w:val="bottom"/>
          </w:tcPr>
          <w:p>
            <w:pPr>
              <w:jc w:val="center"/>
              <w:ind w:left="148"/>
              <w:spacing w:after="0"/>
              <w:rPr>
                <w:sz w:val="20"/>
                <w:szCs w:val="20"/>
                <w:color w:val="auto"/>
              </w:rPr>
            </w:pPr>
            <w:r>
              <w:rPr>
                <w:rFonts w:ascii="Calibri" w:cs="Calibri" w:eastAsia="Calibri" w:hAnsi="Calibri"/>
                <w:sz w:val="14"/>
                <w:szCs w:val="14"/>
                <w:color w:val="auto"/>
              </w:rPr>
              <w:t>or Other</w:t>
            </w:r>
          </w:p>
        </w:tc>
        <w:tc>
          <w:tcPr>
            <w:tcW w:w="32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Borders>
              <w:right w:val="single" w:sz="8" w:color="auto"/>
            </w:tcBorders>
          </w:tcPr>
          <w:p>
            <w:pPr>
              <w:jc w:val="center"/>
              <w:ind w:right="168"/>
              <w:spacing w:after="0"/>
              <w:rPr>
                <w:sz w:val="20"/>
                <w:szCs w:val="20"/>
                <w:color w:val="auto"/>
              </w:rPr>
            </w:pPr>
            <w:r>
              <w:rPr>
                <w:rFonts w:ascii="Calibri" w:cs="Calibri" w:eastAsia="Calibri" w:hAnsi="Calibri"/>
                <w:sz w:val="14"/>
                <w:szCs w:val="14"/>
                <w:color w:val="auto"/>
              </w:rPr>
              <w:t>Shares,</w:t>
            </w:r>
          </w:p>
        </w:tc>
      </w:tr>
      <w:tr>
        <w:trPr>
          <w:trHeight w:val="176"/>
        </w:trPr>
        <w:tc>
          <w:tcPr>
            <w:tcW w:w="2200" w:type="dxa"/>
            <w:vAlign w:val="bottom"/>
            <w:tcBorders>
              <w:left w:val="single" w:sz="8" w:color="auto"/>
              <w:right w:val="single" w:sz="8" w:color="auto"/>
            </w:tcBorders>
          </w:tcPr>
          <w:p>
            <w:pPr>
              <w:spacing w:after="0"/>
              <w:rPr>
                <w:sz w:val="15"/>
                <w:szCs w:val="15"/>
                <w:color w:val="auto"/>
              </w:rPr>
            </w:pPr>
          </w:p>
        </w:tc>
        <w:tc>
          <w:tcPr>
            <w:tcW w:w="760" w:type="dxa"/>
            <w:vAlign w:val="bottom"/>
            <w:tcBorders>
              <w:right w:val="single" w:sz="8" w:color="auto"/>
            </w:tcBorders>
          </w:tcPr>
          <w:p>
            <w:pPr>
              <w:jc w:val="center"/>
              <w:ind w:right="88"/>
              <w:spacing w:after="0"/>
              <w:rPr>
                <w:sz w:val="20"/>
                <w:szCs w:val="20"/>
                <w:color w:val="auto"/>
              </w:rPr>
            </w:pPr>
            <w:r>
              <w:rPr>
                <w:rFonts w:ascii="Calibri" w:cs="Calibri" w:eastAsia="Calibri" w:hAnsi="Calibri"/>
                <w:sz w:val="14"/>
                <w:szCs w:val="14"/>
                <w:color w:val="auto"/>
              </w:rPr>
              <w:t>e</w:t>
            </w:r>
          </w:p>
        </w:tc>
        <w:tc>
          <w:tcPr>
            <w:tcW w:w="8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jc w:val="center"/>
              <w:ind w:right="48"/>
              <w:spacing w:after="0"/>
              <w:rPr>
                <w:sz w:val="20"/>
                <w:szCs w:val="20"/>
                <w:color w:val="auto"/>
              </w:rPr>
            </w:pPr>
            <w:r>
              <w:rPr>
                <w:rFonts w:ascii="Calibri" w:cs="Calibri" w:eastAsia="Calibri" w:hAnsi="Calibri"/>
                <w:sz w:val="14"/>
                <w:szCs w:val="14"/>
                <w:color w:val="auto"/>
              </w:rPr>
              <w:t>Optons</w:t>
            </w:r>
          </w:p>
        </w:tc>
        <w:tc>
          <w:tcPr>
            <w:tcW w:w="76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240" w:type="dxa"/>
            <w:vAlign w:val="bottom"/>
          </w:tcPr>
          <w:p>
            <w:pPr>
              <w:jc w:val="center"/>
              <w:ind w:left="128"/>
              <w:spacing w:after="0"/>
              <w:rPr>
                <w:sz w:val="20"/>
                <w:szCs w:val="20"/>
                <w:color w:val="auto"/>
              </w:rPr>
            </w:pPr>
            <w:r>
              <w:rPr>
                <w:rFonts w:ascii="Calibri" w:cs="Calibri" w:eastAsia="Calibri" w:hAnsi="Calibri"/>
                <w:sz w:val="14"/>
                <w:szCs w:val="14"/>
                <w:color w:val="auto"/>
              </w:rPr>
              <w:t>Rights That</w:t>
            </w:r>
          </w:p>
        </w:tc>
        <w:tc>
          <w:tcPr>
            <w:tcW w:w="32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Borders>
              <w:right w:val="single" w:sz="8" w:color="auto"/>
            </w:tcBorders>
          </w:tcPr>
          <w:p>
            <w:pPr>
              <w:jc w:val="center"/>
              <w:ind w:right="168"/>
              <w:spacing w:after="0"/>
              <w:rPr>
                <w:sz w:val="20"/>
                <w:szCs w:val="20"/>
                <w:color w:val="auto"/>
              </w:rPr>
            </w:pPr>
            <w:r>
              <w:rPr>
                <w:rFonts w:ascii="Calibri" w:cs="Calibri" w:eastAsia="Calibri" w:hAnsi="Calibri"/>
                <w:sz w:val="14"/>
                <w:szCs w:val="14"/>
                <w:color w:val="auto"/>
              </w:rPr>
              <w:t>Units or</w:t>
            </w:r>
          </w:p>
        </w:tc>
      </w:tr>
      <w:tr>
        <w:trPr>
          <w:trHeight w:val="175"/>
        </w:trPr>
        <w:tc>
          <w:tcPr>
            <w:tcW w:w="2200" w:type="dxa"/>
            <w:vAlign w:val="bottom"/>
            <w:tcBorders>
              <w:left w:val="single" w:sz="8" w:color="auto"/>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jc w:val="center"/>
              <w:ind w:right="68"/>
              <w:spacing w:after="0"/>
              <w:rPr>
                <w:sz w:val="20"/>
                <w:szCs w:val="20"/>
                <w:color w:val="auto"/>
              </w:rPr>
            </w:pPr>
            <w:r>
              <w:rPr>
                <w:rFonts w:ascii="Calibri" w:cs="Calibri" w:eastAsia="Calibri" w:hAnsi="Calibri"/>
                <w:sz w:val="14"/>
                <w:szCs w:val="14"/>
                <w:color w:val="auto"/>
              </w:rPr>
              <w:t>(#)</w:t>
            </w:r>
          </w:p>
        </w:tc>
        <w:tc>
          <w:tcPr>
            <w:tcW w:w="76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240" w:type="dxa"/>
            <w:vAlign w:val="bottom"/>
          </w:tcPr>
          <w:p>
            <w:pPr>
              <w:jc w:val="center"/>
              <w:ind w:left="148"/>
              <w:spacing w:after="0"/>
              <w:rPr>
                <w:sz w:val="20"/>
                <w:szCs w:val="20"/>
                <w:color w:val="auto"/>
              </w:rPr>
            </w:pPr>
            <w:r>
              <w:rPr>
                <w:rFonts w:ascii="Calibri" w:cs="Calibri" w:eastAsia="Calibri" w:hAnsi="Calibri"/>
                <w:sz w:val="14"/>
                <w:szCs w:val="14"/>
                <w:color w:val="auto"/>
              </w:rPr>
              <w:t>Have Not</w:t>
            </w:r>
          </w:p>
        </w:tc>
        <w:tc>
          <w:tcPr>
            <w:tcW w:w="32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Borders>
              <w:right w:val="single" w:sz="8" w:color="auto"/>
            </w:tcBorders>
          </w:tcPr>
          <w:p>
            <w:pPr>
              <w:jc w:val="center"/>
              <w:ind w:right="168"/>
              <w:spacing w:after="0"/>
              <w:rPr>
                <w:sz w:val="20"/>
                <w:szCs w:val="20"/>
                <w:color w:val="auto"/>
              </w:rPr>
            </w:pPr>
            <w:r>
              <w:rPr>
                <w:rFonts w:ascii="Calibri" w:cs="Calibri" w:eastAsia="Calibri" w:hAnsi="Calibri"/>
                <w:sz w:val="14"/>
                <w:szCs w:val="14"/>
                <w:color w:val="auto"/>
              </w:rPr>
              <w:t>Other</w:t>
            </w:r>
          </w:p>
        </w:tc>
      </w:tr>
      <w:tr>
        <w:trPr>
          <w:trHeight w:val="176"/>
        </w:trPr>
        <w:tc>
          <w:tcPr>
            <w:tcW w:w="2200" w:type="dxa"/>
            <w:vAlign w:val="bottom"/>
            <w:tcBorders>
              <w:left w:val="single" w:sz="8" w:color="auto"/>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240" w:type="dxa"/>
            <w:vAlign w:val="bottom"/>
          </w:tcPr>
          <w:p>
            <w:pPr>
              <w:jc w:val="center"/>
              <w:ind w:left="128"/>
              <w:spacing w:after="0"/>
              <w:rPr>
                <w:sz w:val="20"/>
                <w:szCs w:val="20"/>
                <w:color w:val="auto"/>
              </w:rPr>
            </w:pPr>
            <w:r>
              <w:rPr>
                <w:rFonts w:ascii="Calibri" w:cs="Calibri" w:eastAsia="Calibri" w:hAnsi="Calibri"/>
                <w:sz w:val="14"/>
                <w:szCs w:val="14"/>
                <w:color w:val="auto"/>
              </w:rPr>
              <w:t>Vested</w:t>
            </w:r>
          </w:p>
        </w:tc>
        <w:tc>
          <w:tcPr>
            <w:tcW w:w="32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Borders>
              <w:right w:val="single" w:sz="8" w:color="auto"/>
            </w:tcBorders>
          </w:tcPr>
          <w:p>
            <w:pPr>
              <w:jc w:val="center"/>
              <w:ind w:right="188"/>
              <w:spacing w:after="0"/>
              <w:rPr>
                <w:sz w:val="20"/>
                <w:szCs w:val="20"/>
                <w:color w:val="auto"/>
              </w:rPr>
            </w:pPr>
            <w:r>
              <w:rPr>
                <w:rFonts w:ascii="Calibri" w:cs="Calibri" w:eastAsia="Calibri" w:hAnsi="Calibri"/>
                <w:sz w:val="14"/>
                <w:szCs w:val="14"/>
                <w:color w:val="auto"/>
              </w:rPr>
              <w:t>Rights</w:t>
            </w:r>
          </w:p>
        </w:tc>
      </w:tr>
      <w:tr>
        <w:trPr>
          <w:trHeight w:val="175"/>
        </w:trPr>
        <w:tc>
          <w:tcPr>
            <w:tcW w:w="2200" w:type="dxa"/>
            <w:vAlign w:val="bottom"/>
            <w:tcBorders>
              <w:left w:val="single" w:sz="8" w:color="auto"/>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240" w:type="dxa"/>
            <w:vAlign w:val="bottom"/>
          </w:tcPr>
          <w:p>
            <w:pPr>
              <w:jc w:val="center"/>
              <w:ind w:left="128"/>
              <w:spacing w:after="0"/>
              <w:rPr>
                <w:sz w:val="20"/>
                <w:szCs w:val="20"/>
                <w:color w:val="auto"/>
              </w:rPr>
            </w:pPr>
            <w:r>
              <w:rPr>
                <w:rFonts w:ascii="Calibri" w:cs="Calibri" w:eastAsia="Calibri" w:hAnsi="Calibri"/>
                <w:sz w:val="14"/>
                <w:szCs w:val="14"/>
                <w:color w:val="auto"/>
              </w:rPr>
              <w:t>(#)(2)</w:t>
            </w:r>
          </w:p>
        </w:tc>
        <w:tc>
          <w:tcPr>
            <w:tcW w:w="32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Borders>
              <w:right w:val="single" w:sz="8" w:color="auto"/>
            </w:tcBorders>
          </w:tcPr>
          <w:p>
            <w:pPr>
              <w:jc w:val="center"/>
              <w:ind w:right="168"/>
              <w:spacing w:after="0"/>
              <w:rPr>
                <w:sz w:val="20"/>
                <w:szCs w:val="20"/>
                <w:color w:val="auto"/>
              </w:rPr>
            </w:pPr>
            <w:r>
              <w:rPr>
                <w:rFonts w:ascii="Calibri" w:cs="Calibri" w:eastAsia="Calibri" w:hAnsi="Calibri"/>
                <w:sz w:val="14"/>
                <w:szCs w:val="14"/>
                <w:color w:val="auto"/>
              </w:rPr>
              <w:t>That Have</w:t>
            </w:r>
          </w:p>
        </w:tc>
      </w:tr>
      <w:tr>
        <w:trPr>
          <w:trHeight w:val="176"/>
        </w:trPr>
        <w:tc>
          <w:tcPr>
            <w:tcW w:w="2200" w:type="dxa"/>
            <w:vAlign w:val="bottom"/>
            <w:tcBorders>
              <w:left w:val="single" w:sz="8" w:color="auto"/>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Borders>
              <w:right w:val="single" w:sz="8" w:color="auto"/>
            </w:tcBorders>
          </w:tcPr>
          <w:p>
            <w:pPr>
              <w:jc w:val="center"/>
              <w:ind w:right="188"/>
              <w:spacing w:after="0"/>
              <w:rPr>
                <w:sz w:val="20"/>
                <w:szCs w:val="20"/>
                <w:color w:val="auto"/>
              </w:rPr>
            </w:pPr>
            <w:r>
              <w:rPr>
                <w:rFonts w:ascii="Calibri" w:cs="Calibri" w:eastAsia="Calibri" w:hAnsi="Calibri"/>
                <w:sz w:val="14"/>
                <w:szCs w:val="14"/>
                <w:color w:val="auto"/>
              </w:rPr>
              <w:t>Not Vested</w:t>
            </w:r>
          </w:p>
        </w:tc>
      </w:tr>
      <w:tr>
        <w:trPr>
          <w:trHeight w:val="175"/>
        </w:trPr>
        <w:tc>
          <w:tcPr>
            <w:tcW w:w="2200" w:type="dxa"/>
            <w:vAlign w:val="bottom"/>
            <w:tcBorders>
              <w:left w:val="single" w:sz="8" w:color="auto"/>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Borders>
              <w:right w:val="single" w:sz="8" w:color="auto"/>
            </w:tcBorders>
          </w:tcPr>
          <w:p>
            <w:pPr>
              <w:jc w:val="center"/>
              <w:ind w:right="188"/>
              <w:spacing w:after="0"/>
              <w:rPr>
                <w:sz w:val="20"/>
                <w:szCs w:val="20"/>
                <w:color w:val="auto"/>
              </w:rPr>
            </w:pPr>
            <w:r>
              <w:rPr>
                <w:rFonts w:ascii="Calibri" w:cs="Calibri" w:eastAsia="Calibri" w:hAnsi="Calibri"/>
                <w:sz w:val="14"/>
                <w:szCs w:val="14"/>
                <w:color w:val="auto"/>
              </w:rPr>
              <w:t>($)(3)</w:t>
            </w:r>
          </w:p>
        </w:tc>
      </w:tr>
      <w:tr>
        <w:trPr>
          <w:trHeight w:val="203"/>
        </w:trPr>
        <w:tc>
          <w:tcPr>
            <w:tcW w:w="2200" w:type="dxa"/>
            <w:vAlign w:val="bottom"/>
            <w:tcBorders>
              <w:left w:val="single" w:sz="8" w:color="auto"/>
              <w:right w:val="single" w:sz="8" w:color="auto"/>
            </w:tcBorders>
          </w:tcPr>
          <w:p>
            <w:pPr>
              <w:ind w:left="1020"/>
              <w:spacing w:after="0"/>
              <w:rPr>
                <w:sz w:val="20"/>
                <w:szCs w:val="20"/>
                <w:color w:val="auto"/>
              </w:rPr>
            </w:pPr>
            <w:r>
              <w:rPr>
                <w:rFonts w:ascii="Calibri" w:cs="Calibri" w:eastAsia="Calibri" w:hAnsi="Calibri"/>
                <w:sz w:val="14"/>
                <w:szCs w:val="14"/>
                <w:color w:val="auto"/>
              </w:rPr>
              <w:t>(a)</w:t>
            </w:r>
          </w:p>
        </w:tc>
        <w:tc>
          <w:tcPr>
            <w:tcW w:w="760" w:type="dxa"/>
            <w:vAlign w:val="bottom"/>
            <w:tcBorders>
              <w:right w:val="single" w:sz="8" w:color="auto"/>
            </w:tcBorders>
          </w:tcPr>
          <w:p>
            <w:pPr>
              <w:jc w:val="center"/>
              <w:ind w:right="88"/>
              <w:spacing w:after="0"/>
              <w:rPr>
                <w:sz w:val="20"/>
                <w:szCs w:val="20"/>
                <w:color w:val="auto"/>
              </w:rPr>
            </w:pPr>
            <w:r>
              <w:rPr>
                <w:rFonts w:ascii="Calibri" w:cs="Calibri" w:eastAsia="Calibri" w:hAnsi="Calibri"/>
                <w:sz w:val="14"/>
                <w:szCs w:val="14"/>
                <w:color w:val="auto"/>
              </w:rPr>
              <w:t>(b)</w:t>
            </w:r>
          </w:p>
        </w:tc>
        <w:tc>
          <w:tcPr>
            <w:tcW w:w="880" w:type="dxa"/>
            <w:vAlign w:val="bottom"/>
          </w:tcPr>
          <w:p>
            <w:pPr>
              <w:jc w:val="center"/>
              <w:spacing w:after="0"/>
              <w:rPr>
                <w:sz w:val="20"/>
                <w:szCs w:val="20"/>
                <w:color w:val="auto"/>
              </w:rPr>
            </w:pPr>
            <w:r>
              <w:rPr>
                <w:rFonts w:ascii="Calibri" w:cs="Calibri" w:eastAsia="Calibri" w:hAnsi="Calibri"/>
                <w:sz w:val="14"/>
                <w:szCs w:val="14"/>
                <w:color w:val="auto"/>
              </w:rPr>
              <w:t>(c)</w:t>
            </w:r>
          </w:p>
        </w:tc>
        <w:tc>
          <w:tcPr>
            <w:tcW w:w="10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jc w:val="center"/>
              <w:ind w:right="48"/>
              <w:spacing w:after="0"/>
              <w:rPr>
                <w:sz w:val="20"/>
                <w:szCs w:val="20"/>
                <w:color w:val="auto"/>
              </w:rPr>
            </w:pPr>
            <w:r>
              <w:rPr>
                <w:rFonts w:ascii="Calibri" w:cs="Calibri" w:eastAsia="Calibri" w:hAnsi="Calibri"/>
                <w:sz w:val="14"/>
                <w:szCs w:val="14"/>
                <w:color w:val="auto"/>
              </w:rPr>
              <w:t>(d)</w:t>
            </w:r>
          </w:p>
        </w:tc>
        <w:tc>
          <w:tcPr>
            <w:tcW w:w="76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rPr>
              <w:t>(e)</w:t>
            </w:r>
          </w:p>
        </w:tc>
        <w:tc>
          <w:tcPr>
            <w:tcW w:w="86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rPr>
              <w:t>(f)</w:t>
            </w:r>
          </w:p>
        </w:tc>
        <w:tc>
          <w:tcPr>
            <w:tcW w:w="680" w:type="dxa"/>
            <w:vAlign w:val="bottom"/>
          </w:tcPr>
          <w:p>
            <w:pPr>
              <w:jc w:val="center"/>
              <w:ind w:left="48"/>
              <w:spacing w:after="0"/>
              <w:rPr>
                <w:sz w:val="20"/>
                <w:szCs w:val="20"/>
                <w:color w:val="auto"/>
              </w:rPr>
            </w:pPr>
            <w:r>
              <w:rPr>
                <w:rFonts w:ascii="Calibri" w:cs="Calibri" w:eastAsia="Calibri" w:hAnsi="Calibri"/>
                <w:sz w:val="14"/>
                <w:szCs w:val="14"/>
                <w:color w:val="auto"/>
              </w:rPr>
              <w:t>(g)</w:t>
            </w:r>
          </w:p>
        </w:tc>
        <w:tc>
          <w:tcPr>
            <w:tcW w:w="2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center"/>
              <w:ind w:right="48"/>
              <w:spacing w:after="0"/>
              <w:rPr>
                <w:sz w:val="20"/>
                <w:szCs w:val="20"/>
                <w:color w:val="auto"/>
              </w:rPr>
            </w:pPr>
            <w:r>
              <w:rPr>
                <w:rFonts w:ascii="Calibri" w:cs="Calibri" w:eastAsia="Calibri" w:hAnsi="Calibri"/>
                <w:sz w:val="14"/>
                <w:szCs w:val="14"/>
                <w:color w:val="auto"/>
              </w:rPr>
              <w:t>(h)</w:t>
            </w:r>
          </w:p>
        </w:tc>
        <w:tc>
          <w:tcPr>
            <w:tcW w:w="100" w:type="dxa"/>
            <w:vAlign w:val="bottom"/>
            <w:tcBorders>
              <w:right w:val="single" w:sz="8" w:color="auto"/>
            </w:tcBorders>
          </w:tcPr>
          <w:p>
            <w:pPr>
              <w:spacing w:after="0"/>
              <w:rPr>
                <w:sz w:val="17"/>
                <w:szCs w:val="17"/>
                <w:color w:val="auto"/>
              </w:rPr>
            </w:pPr>
          </w:p>
        </w:tc>
        <w:tc>
          <w:tcPr>
            <w:tcW w:w="1240" w:type="dxa"/>
            <w:vAlign w:val="bottom"/>
          </w:tcPr>
          <w:p>
            <w:pPr>
              <w:jc w:val="center"/>
              <w:ind w:left="128"/>
              <w:spacing w:after="0"/>
              <w:rPr>
                <w:sz w:val="20"/>
                <w:szCs w:val="20"/>
                <w:color w:val="auto"/>
              </w:rPr>
            </w:pPr>
            <w:r>
              <w:rPr>
                <w:rFonts w:ascii="Calibri" w:cs="Calibri" w:eastAsia="Calibri" w:hAnsi="Calibri"/>
                <w:sz w:val="14"/>
                <w:szCs w:val="14"/>
                <w:color w:val="auto"/>
              </w:rPr>
              <w:t>(i)</w:t>
            </w:r>
          </w:p>
        </w:tc>
        <w:tc>
          <w:tcPr>
            <w:tcW w:w="3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Borders>
              <w:right w:val="single" w:sz="8" w:color="auto"/>
            </w:tcBorders>
          </w:tcPr>
          <w:p>
            <w:pPr>
              <w:jc w:val="center"/>
              <w:ind w:right="188"/>
              <w:spacing w:after="0"/>
              <w:rPr>
                <w:sz w:val="20"/>
                <w:szCs w:val="20"/>
                <w:color w:val="auto"/>
              </w:rPr>
            </w:pPr>
            <w:r>
              <w:rPr>
                <w:rFonts w:ascii="Calibri" w:cs="Calibri" w:eastAsia="Calibri" w:hAnsi="Calibri"/>
                <w:sz w:val="14"/>
                <w:szCs w:val="14"/>
                <w:color w:val="auto"/>
              </w:rPr>
              <w:t>(j)</w:t>
            </w:r>
          </w:p>
        </w:tc>
      </w:tr>
      <w:tr>
        <w:trPr>
          <w:trHeight w:val="33"/>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r>
      <w:tr>
        <w:trPr>
          <w:trHeight w:val="163"/>
        </w:trPr>
        <w:tc>
          <w:tcPr>
            <w:tcW w:w="2200" w:type="dxa"/>
            <w:vAlign w:val="bottom"/>
            <w:tcBorders>
              <w:left w:val="single" w:sz="8" w:color="auto"/>
              <w:right w:val="single" w:sz="8" w:color="auto"/>
            </w:tcBorders>
            <w:shd w:val="clear" w:color="auto" w:fill="E7E6E6"/>
          </w:tcPr>
          <w:p>
            <w:pPr>
              <w:spacing w:after="0"/>
              <w:rPr>
                <w:sz w:val="14"/>
                <w:szCs w:val="14"/>
                <w:color w:val="auto"/>
              </w:rPr>
            </w:pPr>
          </w:p>
        </w:tc>
        <w:tc>
          <w:tcPr>
            <w:tcW w:w="760" w:type="dxa"/>
            <w:vAlign w:val="bottom"/>
            <w:tcBorders>
              <w:right w:val="single" w:sz="8" w:color="auto"/>
            </w:tcBorders>
            <w:shd w:val="clear" w:color="auto" w:fill="E7E6E6"/>
          </w:tcPr>
          <w:p>
            <w:pPr>
              <w:spacing w:after="0"/>
              <w:rPr>
                <w:sz w:val="14"/>
                <w:szCs w:val="14"/>
                <w:color w:val="auto"/>
              </w:rPr>
            </w:pPr>
          </w:p>
        </w:tc>
        <w:tc>
          <w:tcPr>
            <w:tcW w:w="880" w:type="dxa"/>
            <w:vAlign w:val="bottom"/>
            <w:shd w:val="clear" w:color="auto" w:fill="E7E6E6"/>
          </w:tcPr>
          <w:p>
            <w:pPr>
              <w:spacing w:after="0"/>
              <w:rPr>
                <w:sz w:val="14"/>
                <w:szCs w:val="14"/>
                <w:color w:val="auto"/>
              </w:rPr>
            </w:pPr>
          </w:p>
        </w:tc>
        <w:tc>
          <w:tcPr>
            <w:tcW w:w="100" w:type="dxa"/>
            <w:vAlign w:val="bottom"/>
            <w:tcBorders>
              <w:right w:val="single" w:sz="8" w:color="auto"/>
            </w:tcBorders>
            <w:shd w:val="clear" w:color="auto" w:fill="E7E6E6"/>
          </w:tcPr>
          <w:p>
            <w:pPr>
              <w:spacing w:after="0"/>
              <w:rPr>
                <w:sz w:val="14"/>
                <w:szCs w:val="14"/>
                <w:color w:val="auto"/>
              </w:rPr>
            </w:pPr>
          </w:p>
        </w:tc>
        <w:tc>
          <w:tcPr>
            <w:tcW w:w="1100" w:type="dxa"/>
            <w:vAlign w:val="bottom"/>
            <w:tcBorders>
              <w:right w:val="single" w:sz="8" w:color="auto"/>
            </w:tcBorders>
            <w:shd w:val="clear" w:color="auto" w:fill="E7E6E6"/>
          </w:tcPr>
          <w:p>
            <w:pPr>
              <w:spacing w:after="0"/>
              <w:rPr>
                <w:sz w:val="14"/>
                <w:szCs w:val="14"/>
                <w:color w:val="auto"/>
              </w:rPr>
            </w:pPr>
          </w:p>
        </w:tc>
        <w:tc>
          <w:tcPr>
            <w:tcW w:w="760" w:type="dxa"/>
            <w:vAlign w:val="bottom"/>
            <w:tcBorders>
              <w:right w:val="single" w:sz="8" w:color="auto"/>
            </w:tcBorders>
            <w:shd w:val="clear" w:color="auto" w:fill="E7E6E6"/>
          </w:tcPr>
          <w:p>
            <w:pPr>
              <w:spacing w:after="0"/>
              <w:rPr>
                <w:sz w:val="14"/>
                <w:szCs w:val="14"/>
                <w:color w:val="auto"/>
              </w:rPr>
            </w:pPr>
          </w:p>
        </w:tc>
        <w:tc>
          <w:tcPr>
            <w:tcW w:w="860" w:type="dxa"/>
            <w:vAlign w:val="bottom"/>
            <w:tcBorders>
              <w:right w:val="single" w:sz="8" w:color="auto"/>
            </w:tcBorders>
            <w:shd w:val="clear" w:color="auto" w:fill="E7E6E6"/>
          </w:tcPr>
          <w:p>
            <w:pPr>
              <w:spacing w:after="0"/>
              <w:rPr>
                <w:sz w:val="14"/>
                <w:szCs w:val="14"/>
                <w:color w:val="auto"/>
              </w:rPr>
            </w:pPr>
          </w:p>
        </w:tc>
        <w:tc>
          <w:tcPr>
            <w:tcW w:w="680" w:type="dxa"/>
            <w:vAlign w:val="bottom"/>
            <w:shd w:val="clear" w:color="auto" w:fill="E7E6E6"/>
          </w:tcPr>
          <w:p>
            <w:pPr>
              <w:jc w:val="right"/>
              <w:ind w:right="148"/>
              <w:spacing w:after="0" w:line="164" w:lineRule="exact"/>
              <w:rPr>
                <w:sz w:val="20"/>
                <w:szCs w:val="20"/>
                <w:color w:val="auto"/>
              </w:rPr>
            </w:pPr>
            <w:r>
              <w:rPr>
                <w:rFonts w:ascii="Calibri" w:cs="Calibri" w:eastAsia="Calibri" w:hAnsi="Calibri"/>
                <w:sz w:val="14"/>
                <w:szCs w:val="14"/>
                <w:color w:val="auto"/>
              </w:rPr>
              <w:t>38,17</w:t>
            </w:r>
          </w:p>
        </w:tc>
        <w:tc>
          <w:tcPr>
            <w:tcW w:w="240" w:type="dxa"/>
            <w:vAlign w:val="bottom"/>
            <w:tcBorders>
              <w:right w:val="single" w:sz="8" w:color="auto"/>
            </w:tcBorders>
            <w:shd w:val="clear" w:color="auto" w:fill="E7E6E6"/>
          </w:tcPr>
          <w:p>
            <w:pPr>
              <w:jc w:val="right"/>
              <w:ind w:right="68"/>
              <w:spacing w:after="0" w:line="164" w:lineRule="exact"/>
              <w:rPr>
                <w:sz w:val="20"/>
                <w:szCs w:val="20"/>
                <w:color w:val="auto"/>
              </w:rPr>
            </w:pPr>
            <w:r>
              <w:rPr>
                <w:rFonts w:ascii="Calibri" w:cs="Calibri" w:eastAsia="Calibri" w:hAnsi="Calibri"/>
                <w:sz w:val="14"/>
                <w:szCs w:val="14"/>
                <w:color w:val="auto"/>
              </w:rPr>
              <w:t>(</w:t>
            </w:r>
          </w:p>
        </w:tc>
        <w:tc>
          <w:tcPr>
            <w:tcW w:w="80" w:type="dxa"/>
            <w:vAlign w:val="bottom"/>
            <w:shd w:val="clear" w:color="auto" w:fill="E7E6E6"/>
          </w:tcPr>
          <w:p>
            <w:pPr>
              <w:spacing w:after="0"/>
              <w:rPr>
                <w:sz w:val="14"/>
                <w:szCs w:val="14"/>
                <w:color w:val="auto"/>
              </w:rPr>
            </w:pPr>
          </w:p>
        </w:tc>
        <w:tc>
          <w:tcPr>
            <w:tcW w:w="800" w:type="dxa"/>
            <w:vAlign w:val="bottom"/>
            <w:shd w:val="clear" w:color="auto" w:fill="E7E6E6"/>
          </w:tcPr>
          <w:p>
            <w:pPr>
              <w:spacing w:after="0"/>
              <w:rPr>
                <w:sz w:val="14"/>
                <w:szCs w:val="14"/>
                <w:color w:val="auto"/>
              </w:rPr>
            </w:pPr>
          </w:p>
        </w:tc>
        <w:tc>
          <w:tcPr>
            <w:tcW w:w="100" w:type="dxa"/>
            <w:vAlign w:val="bottom"/>
            <w:tcBorders>
              <w:right w:val="single" w:sz="8" w:color="auto"/>
            </w:tcBorders>
            <w:shd w:val="clear" w:color="auto" w:fill="E7E6E6"/>
          </w:tcPr>
          <w:p>
            <w:pPr>
              <w:spacing w:after="0"/>
              <w:rPr>
                <w:sz w:val="14"/>
                <w:szCs w:val="14"/>
                <w:color w:val="auto"/>
              </w:rPr>
            </w:pPr>
          </w:p>
        </w:tc>
        <w:tc>
          <w:tcPr>
            <w:tcW w:w="1240" w:type="dxa"/>
            <w:vAlign w:val="bottom"/>
            <w:shd w:val="clear" w:color="auto" w:fill="E7E6E6"/>
          </w:tcPr>
          <w:p>
            <w:pPr>
              <w:spacing w:after="0"/>
              <w:rPr>
                <w:sz w:val="14"/>
                <w:szCs w:val="14"/>
                <w:color w:val="auto"/>
              </w:rPr>
            </w:pPr>
          </w:p>
        </w:tc>
        <w:tc>
          <w:tcPr>
            <w:tcW w:w="320" w:type="dxa"/>
            <w:vAlign w:val="bottom"/>
            <w:tcBorders>
              <w:right w:val="single" w:sz="8" w:color="auto"/>
            </w:tcBorders>
            <w:shd w:val="clear" w:color="auto" w:fill="E7E6E6"/>
          </w:tcPr>
          <w:p>
            <w:pPr>
              <w:jc w:val="right"/>
              <w:ind w:right="48"/>
              <w:spacing w:after="0" w:line="164" w:lineRule="exact"/>
              <w:rPr>
                <w:sz w:val="20"/>
                <w:szCs w:val="20"/>
                <w:color w:val="auto"/>
              </w:rPr>
            </w:pPr>
            <w:r>
              <w:rPr>
                <w:rFonts w:ascii="Calibri" w:cs="Calibri" w:eastAsia="Calibri" w:hAnsi="Calibri"/>
                <w:sz w:val="14"/>
                <w:szCs w:val="14"/>
                <w:color w:val="auto"/>
              </w:rPr>
              <w:t>(</w:t>
            </w:r>
          </w:p>
        </w:tc>
        <w:tc>
          <w:tcPr>
            <w:tcW w:w="140" w:type="dxa"/>
            <w:vAlign w:val="bottom"/>
            <w:shd w:val="clear" w:color="auto" w:fill="E7E6E6"/>
          </w:tcPr>
          <w:p>
            <w:pPr>
              <w:spacing w:after="0"/>
              <w:rPr>
                <w:sz w:val="14"/>
                <w:szCs w:val="14"/>
                <w:color w:val="auto"/>
              </w:rPr>
            </w:pPr>
          </w:p>
        </w:tc>
        <w:tc>
          <w:tcPr>
            <w:tcW w:w="980" w:type="dxa"/>
            <w:vAlign w:val="bottom"/>
            <w:tcBorders>
              <w:right w:val="single" w:sz="8" w:color="auto"/>
            </w:tcBorders>
            <w:shd w:val="clear" w:color="auto" w:fill="E7E6E6"/>
          </w:tcPr>
          <w:p>
            <w:pPr>
              <w:spacing w:after="0"/>
              <w:rPr>
                <w:sz w:val="14"/>
                <w:szCs w:val="14"/>
                <w:color w:val="auto"/>
              </w:rPr>
            </w:pPr>
          </w:p>
        </w:tc>
      </w:tr>
      <w:tr>
        <w:trPr>
          <w:trHeight w:val="188"/>
        </w:trPr>
        <w:tc>
          <w:tcPr>
            <w:tcW w:w="2200" w:type="dxa"/>
            <w:vAlign w:val="bottom"/>
            <w:tcBorders>
              <w:left w:val="single" w:sz="8" w:color="auto"/>
              <w:bottom w:val="single" w:sz="8" w:color="E7E6E6"/>
              <w:right w:val="single" w:sz="8" w:color="auto"/>
            </w:tcBorders>
            <w:shd w:val="clear" w:color="auto" w:fill="E7E6E6"/>
          </w:tcPr>
          <w:p>
            <w:pPr>
              <w:ind w:left="40"/>
              <w:spacing w:after="0"/>
              <w:rPr>
                <w:sz w:val="20"/>
                <w:szCs w:val="20"/>
                <w:color w:val="auto"/>
              </w:rPr>
            </w:pPr>
            <w:r>
              <w:rPr>
                <w:rFonts w:ascii="Calibri" w:cs="Calibri" w:eastAsia="Calibri" w:hAnsi="Calibri"/>
                <w:sz w:val="14"/>
                <w:szCs w:val="14"/>
                <w:color w:val="auto"/>
              </w:rPr>
              <w:t>S. Trauschke</w:t>
            </w:r>
          </w:p>
        </w:tc>
        <w:tc>
          <w:tcPr>
            <w:tcW w:w="760" w:type="dxa"/>
            <w:vAlign w:val="bottom"/>
            <w:tcBorders>
              <w:bottom w:val="single" w:sz="8" w:color="E7E6E6"/>
              <w:right w:val="single" w:sz="8" w:color="auto"/>
            </w:tcBorders>
            <w:shd w:val="clear" w:color="auto" w:fill="E7E6E6"/>
          </w:tcPr>
          <w:p>
            <w:pPr>
              <w:ind w:left="480"/>
              <w:spacing w:after="0"/>
              <w:rPr>
                <w:sz w:val="20"/>
                <w:szCs w:val="20"/>
                <w:color w:val="auto"/>
              </w:rPr>
            </w:pPr>
            <w:r>
              <w:rPr>
                <w:rFonts w:ascii="Calibri" w:cs="Calibri" w:eastAsia="Calibri" w:hAnsi="Calibri"/>
                <w:sz w:val="14"/>
                <w:szCs w:val="14"/>
                <w:color w:val="auto"/>
              </w:rPr>
              <w:t>—</w:t>
            </w:r>
          </w:p>
        </w:tc>
        <w:tc>
          <w:tcPr>
            <w:tcW w:w="880" w:type="dxa"/>
            <w:vAlign w:val="bottom"/>
            <w:tcBorders>
              <w:bottom w:val="single" w:sz="8" w:color="E7E6E6"/>
            </w:tcBorders>
            <w:shd w:val="clear" w:color="auto" w:fill="E7E6E6"/>
          </w:tcPr>
          <w:p>
            <w:pPr>
              <w:ind w:left="720"/>
              <w:spacing w:after="0"/>
              <w:rPr>
                <w:sz w:val="20"/>
                <w:szCs w:val="20"/>
                <w:color w:val="auto"/>
              </w:rPr>
            </w:pPr>
            <w:r>
              <w:rPr>
                <w:rFonts w:ascii="Calibri" w:cs="Calibri" w:eastAsia="Calibri" w:hAnsi="Calibri"/>
                <w:sz w:val="14"/>
                <w:szCs w:val="14"/>
                <w:color w:val="auto"/>
              </w:rPr>
              <w:t>—</w:t>
            </w:r>
          </w:p>
        </w:tc>
        <w:tc>
          <w:tcPr>
            <w:tcW w:w="100" w:type="dxa"/>
            <w:vAlign w:val="bottom"/>
            <w:tcBorders>
              <w:bottom w:val="single" w:sz="8" w:color="E7E6E6"/>
              <w:right w:val="single" w:sz="8" w:color="auto"/>
            </w:tcBorders>
            <w:shd w:val="clear" w:color="auto" w:fill="E7E6E6"/>
          </w:tcPr>
          <w:p>
            <w:pPr>
              <w:spacing w:after="0"/>
              <w:rPr>
                <w:sz w:val="16"/>
                <w:szCs w:val="16"/>
                <w:color w:val="auto"/>
              </w:rPr>
            </w:pPr>
          </w:p>
        </w:tc>
        <w:tc>
          <w:tcPr>
            <w:tcW w:w="1100" w:type="dxa"/>
            <w:vAlign w:val="bottom"/>
            <w:tcBorders>
              <w:bottom w:val="single" w:sz="8" w:color="E7E6E6"/>
              <w:right w:val="single" w:sz="8" w:color="auto"/>
            </w:tcBorders>
            <w:shd w:val="clear" w:color="auto" w:fill="E7E6E6"/>
          </w:tcPr>
          <w:p>
            <w:pPr>
              <w:ind w:left="840"/>
              <w:spacing w:after="0"/>
              <w:rPr>
                <w:sz w:val="20"/>
                <w:szCs w:val="20"/>
                <w:color w:val="auto"/>
              </w:rPr>
            </w:pPr>
            <w:r>
              <w:rPr>
                <w:rFonts w:ascii="Calibri" w:cs="Calibri" w:eastAsia="Calibri" w:hAnsi="Calibri"/>
                <w:sz w:val="14"/>
                <w:szCs w:val="14"/>
                <w:color w:val="auto"/>
              </w:rPr>
              <w:t>—</w:t>
            </w:r>
          </w:p>
        </w:tc>
        <w:tc>
          <w:tcPr>
            <w:tcW w:w="760" w:type="dxa"/>
            <w:vAlign w:val="bottom"/>
            <w:tcBorders>
              <w:bottom w:val="single" w:sz="8" w:color="E7E6E6"/>
              <w:right w:val="single" w:sz="8" w:color="auto"/>
            </w:tcBorders>
            <w:shd w:val="clear" w:color="auto" w:fill="E7E6E6"/>
          </w:tcPr>
          <w:p>
            <w:pPr>
              <w:ind w:left="500"/>
              <w:spacing w:after="0"/>
              <w:rPr>
                <w:sz w:val="20"/>
                <w:szCs w:val="20"/>
                <w:color w:val="auto"/>
              </w:rPr>
            </w:pPr>
            <w:r>
              <w:rPr>
                <w:rFonts w:ascii="Calibri" w:cs="Calibri" w:eastAsia="Calibri" w:hAnsi="Calibri"/>
                <w:sz w:val="14"/>
                <w:szCs w:val="14"/>
                <w:color w:val="auto"/>
                <w:w w:val="97"/>
              </w:rPr>
              <w:t>N/A</w:t>
            </w:r>
          </w:p>
        </w:tc>
        <w:tc>
          <w:tcPr>
            <w:tcW w:w="860" w:type="dxa"/>
            <w:vAlign w:val="bottom"/>
            <w:tcBorders>
              <w:bottom w:val="single" w:sz="8" w:color="E7E6E6"/>
              <w:right w:val="single" w:sz="8" w:color="auto"/>
            </w:tcBorders>
            <w:shd w:val="clear" w:color="auto" w:fill="E7E6E6"/>
          </w:tcPr>
          <w:p>
            <w:pPr>
              <w:ind w:left="620"/>
              <w:spacing w:after="0"/>
              <w:rPr>
                <w:sz w:val="20"/>
                <w:szCs w:val="20"/>
                <w:color w:val="auto"/>
              </w:rPr>
            </w:pPr>
            <w:r>
              <w:rPr>
                <w:rFonts w:ascii="Calibri" w:cs="Calibri" w:eastAsia="Calibri" w:hAnsi="Calibri"/>
                <w:sz w:val="14"/>
                <w:szCs w:val="14"/>
                <w:color w:val="auto"/>
                <w:w w:val="88"/>
              </w:rPr>
              <w:t>N/A</w:t>
            </w:r>
          </w:p>
        </w:tc>
        <w:tc>
          <w:tcPr>
            <w:tcW w:w="680" w:type="dxa"/>
            <w:vAlign w:val="bottom"/>
            <w:tcBorders>
              <w:bottom w:val="single" w:sz="8" w:color="E7E6E6"/>
            </w:tcBorders>
            <w:shd w:val="clear" w:color="auto" w:fill="E7E6E6"/>
          </w:tcPr>
          <w:p>
            <w:pPr>
              <w:jc w:val="right"/>
              <w:ind w:right="148"/>
              <w:spacing w:after="0"/>
              <w:rPr>
                <w:sz w:val="20"/>
                <w:szCs w:val="20"/>
                <w:color w:val="auto"/>
              </w:rPr>
            </w:pPr>
            <w:r>
              <w:rPr>
                <w:rFonts w:ascii="Calibri" w:cs="Calibri" w:eastAsia="Calibri" w:hAnsi="Calibri"/>
                <w:sz w:val="14"/>
                <w:szCs w:val="14"/>
                <w:color w:val="auto"/>
              </w:rPr>
              <w:t>5</w:t>
            </w:r>
          </w:p>
        </w:tc>
        <w:tc>
          <w:tcPr>
            <w:tcW w:w="240" w:type="dxa"/>
            <w:vAlign w:val="bottom"/>
            <w:tcBorders>
              <w:bottom w:val="single" w:sz="8" w:color="E7E6E6"/>
              <w:right w:val="single" w:sz="8" w:color="auto"/>
            </w:tcBorders>
            <w:shd w:val="clear" w:color="auto" w:fill="E7E6E6"/>
          </w:tcPr>
          <w:p>
            <w:pPr>
              <w:jc w:val="right"/>
              <w:spacing w:after="0"/>
              <w:rPr>
                <w:sz w:val="20"/>
                <w:szCs w:val="20"/>
                <w:color w:val="auto"/>
              </w:rPr>
            </w:pPr>
            <w:r>
              <w:rPr>
                <w:rFonts w:ascii="Calibri" w:cs="Calibri" w:eastAsia="Calibri" w:hAnsi="Calibri"/>
                <w:sz w:val="14"/>
                <w:szCs w:val="14"/>
                <w:color w:val="auto"/>
              </w:rPr>
              <w:t>4 )</w:t>
            </w:r>
          </w:p>
        </w:tc>
        <w:tc>
          <w:tcPr>
            <w:tcW w:w="80" w:type="dxa"/>
            <w:vAlign w:val="bottom"/>
            <w:tcBorders>
              <w:bottom w:val="single" w:sz="8" w:color="E7E6E6"/>
            </w:tcBorders>
            <w:shd w:val="clear" w:color="auto" w:fill="E7E6E6"/>
          </w:tcPr>
          <w:p>
            <w:pPr>
              <w:jc w:val="right"/>
              <w:spacing w:after="0"/>
              <w:rPr>
                <w:sz w:val="20"/>
                <w:szCs w:val="20"/>
                <w:color w:val="auto"/>
              </w:rPr>
            </w:pPr>
            <w:r>
              <w:rPr>
                <w:rFonts w:ascii="Calibri" w:cs="Calibri" w:eastAsia="Calibri" w:hAnsi="Calibri"/>
                <w:sz w:val="14"/>
                <w:szCs w:val="14"/>
                <w:color w:val="auto"/>
                <w:w w:val="83"/>
              </w:rPr>
              <w:t>$</w:t>
            </w:r>
          </w:p>
        </w:tc>
        <w:tc>
          <w:tcPr>
            <w:tcW w:w="800" w:type="dxa"/>
            <w:vAlign w:val="bottom"/>
            <w:tcBorders>
              <w:bottom w:val="single" w:sz="8" w:color="E7E6E6"/>
            </w:tcBorders>
            <w:shd w:val="clear" w:color="auto" w:fill="E7E6E6"/>
          </w:tcPr>
          <w:p>
            <w:pPr>
              <w:jc w:val="right"/>
              <w:spacing w:after="0"/>
              <w:rPr>
                <w:sz w:val="20"/>
                <w:szCs w:val="20"/>
                <w:color w:val="auto"/>
              </w:rPr>
            </w:pPr>
            <w:r>
              <w:rPr>
                <w:rFonts w:ascii="Calibri" w:cs="Calibri" w:eastAsia="Calibri" w:hAnsi="Calibri"/>
                <w:sz w:val="14"/>
                <w:szCs w:val="14"/>
                <w:color w:val="auto"/>
              </w:rPr>
              <w:t>1,333,453</w:t>
            </w:r>
          </w:p>
        </w:tc>
        <w:tc>
          <w:tcPr>
            <w:tcW w:w="100" w:type="dxa"/>
            <w:vAlign w:val="bottom"/>
            <w:tcBorders>
              <w:bottom w:val="single" w:sz="8" w:color="E7E6E6"/>
              <w:right w:val="single" w:sz="8" w:color="auto"/>
            </w:tcBorders>
            <w:shd w:val="clear" w:color="auto" w:fill="E7E6E6"/>
          </w:tcPr>
          <w:p>
            <w:pPr>
              <w:spacing w:after="0"/>
              <w:rPr>
                <w:sz w:val="16"/>
                <w:szCs w:val="16"/>
                <w:color w:val="auto"/>
              </w:rPr>
            </w:pPr>
          </w:p>
        </w:tc>
        <w:tc>
          <w:tcPr>
            <w:tcW w:w="1240" w:type="dxa"/>
            <w:vAlign w:val="bottom"/>
            <w:tcBorders>
              <w:bottom w:val="single" w:sz="8" w:color="E7E6E6"/>
            </w:tcBorders>
            <w:shd w:val="clear" w:color="auto" w:fill="E7E6E6"/>
          </w:tcPr>
          <w:p>
            <w:pPr>
              <w:jc w:val="right"/>
              <w:ind w:right="48"/>
              <w:spacing w:after="0"/>
              <w:rPr>
                <w:sz w:val="20"/>
                <w:szCs w:val="20"/>
                <w:color w:val="auto"/>
              </w:rPr>
            </w:pPr>
            <w:r>
              <w:rPr>
                <w:rFonts w:ascii="Calibri" w:cs="Calibri" w:eastAsia="Calibri" w:hAnsi="Calibri"/>
                <w:sz w:val="14"/>
                <w:szCs w:val="14"/>
                <w:color w:val="auto"/>
              </w:rPr>
              <w:t>141,794</w:t>
            </w:r>
          </w:p>
        </w:tc>
        <w:tc>
          <w:tcPr>
            <w:tcW w:w="320" w:type="dxa"/>
            <w:vAlign w:val="bottom"/>
            <w:tcBorders>
              <w:bottom w:val="single" w:sz="8" w:color="E7E6E6"/>
              <w:right w:val="single" w:sz="8" w:color="auto"/>
            </w:tcBorders>
            <w:shd w:val="clear" w:color="auto" w:fill="E7E6E6"/>
          </w:tcPr>
          <w:p>
            <w:pPr>
              <w:jc w:val="right"/>
              <w:spacing w:after="0"/>
              <w:rPr>
                <w:sz w:val="20"/>
                <w:szCs w:val="20"/>
                <w:color w:val="auto"/>
              </w:rPr>
            </w:pPr>
            <w:r>
              <w:rPr>
                <w:rFonts w:ascii="Calibri" w:cs="Calibri" w:eastAsia="Calibri" w:hAnsi="Calibri"/>
                <w:sz w:val="14"/>
                <w:szCs w:val="14"/>
                <w:color w:val="auto"/>
              </w:rPr>
              <w:t>6 )</w:t>
            </w:r>
          </w:p>
        </w:tc>
        <w:tc>
          <w:tcPr>
            <w:tcW w:w="140" w:type="dxa"/>
            <w:vAlign w:val="bottom"/>
            <w:tcBorders>
              <w:bottom w:val="single" w:sz="8" w:color="E7E6E6"/>
            </w:tcBorders>
            <w:shd w:val="clear" w:color="auto" w:fill="E7E6E6"/>
          </w:tcPr>
          <w:p>
            <w:pPr>
              <w:jc w:val="right"/>
              <w:spacing w:after="0"/>
              <w:rPr>
                <w:sz w:val="20"/>
                <w:szCs w:val="20"/>
                <w:color w:val="auto"/>
              </w:rPr>
            </w:pPr>
            <w:r>
              <w:rPr>
                <w:rFonts w:ascii="Calibri" w:cs="Calibri" w:eastAsia="Calibri" w:hAnsi="Calibri"/>
                <w:sz w:val="14"/>
                <w:szCs w:val="14"/>
                <w:color w:val="auto"/>
                <w:w w:val="83"/>
              </w:rPr>
              <w:t>$</w:t>
            </w:r>
          </w:p>
        </w:tc>
        <w:tc>
          <w:tcPr>
            <w:tcW w:w="980" w:type="dxa"/>
            <w:vAlign w:val="bottom"/>
            <w:tcBorders>
              <w:bottom w:val="single" w:sz="8" w:color="E7E6E6"/>
              <w:right w:val="single" w:sz="8" w:color="auto"/>
            </w:tcBorders>
            <w:shd w:val="clear" w:color="auto" w:fill="E7E6E6"/>
          </w:tcPr>
          <w:p>
            <w:pPr>
              <w:jc w:val="right"/>
              <w:ind w:right="48"/>
              <w:spacing w:after="0"/>
              <w:rPr>
                <w:sz w:val="20"/>
                <w:szCs w:val="20"/>
                <w:color w:val="auto"/>
              </w:rPr>
            </w:pPr>
            <w:r>
              <w:rPr>
                <w:rFonts w:ascii="Calibri" w:cs="Calibri" w:eastAsia="Calibri" w:hAnsi="Calibri"/>
                <w:sz w:val="14"/>
                <w:szCs w:val="14"/>
                <w:color w:val="auto"/>
              </w:rPr>
              <w:t>4,952,864</w:t>
            </w:r>
          </w:p>
        </w:tc>
      </w:tr>
      <w:tr>
        <w:trPr>
          <w:trHeight w:val="170"/>
        </w:trPr>
        <w:tc>
          <w:tcPr>
            <w:tcW w:w="2200" w:type="dxa"/>
            <w:vAlign w:val="bottom"/>
            <w:tcBorders>
              <w:left w:val="single" w:sz="8" w:color="auto"/>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680" w:type="dxa"/>
            <w:vAlign w:val="bottom"/>
          </w:tcPr>
          <w:p>
            <w:pPr>
              <w:jc w:val="right"/>
              <w:ind w:right="148"/>
              <w:spacing w:after="0"/>
              <w:rPr>
                <w:sz w:val="20"/>
                <w:szCs w:val="20"/>
                <w:color w:val="auto"/>
              </w:rPr>
            </w:pPr>
            <w:r>
              <w:rPr>
                <w:rFonts w:ascii="Calibri" w:cs="Calibri" w:eastAsia="Calibri" w:hAnsi="Calibri"/>
                <w:sz w:val="14"/>
                <w:szCs w:val="14"/>
                <w:color w:val="auto"/>
              </w:rPr>
              <w:t>38,73</w:t>
            </w:r>
          </w:p>
        </w:tc>
        <w:tc>
          <w:tcPr>
            <w:tcW w:w="240" w:type="dxa"/>
            <w:vAlign w:val="bottom"/>
            <w:tcBorders>
              <w:right w:val="single" w:sz="8" w:color="auto"/>
            </w:tcBorders>
          </w:tcPr>
          <w:p>
            <w:pPr>
              <w:jc w:val="right"/>
              <w:ind w:right="68"/>
              <w:spacing w:after="0"/>
              <w:rPr>
                <w:sz w:val="20"/>
                <w:szCs w:val="20"/>
                <w:color w:val="auto"/>
              </w:rPr>
            </w:pPr>
            <w:r>
              <w:rPr>
                <w:rFonts w:ascii="Calibri" w:cs="Calibri" w:eastAsia="Calibri" w:hAnsi="Calibri"/>
                <w:sz w:val="14"/>
                <w:szCs w:val="14"/>
                <w:color w:val="auto"/>
              </w:rPr>
              <w:t>(</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Borders>
              <w:right w:val="single" w:sz="8" w:color="auto"/>
            </w:tcBorders>
          </w:tcPr>
          <w:p>
            <w:pPr>
              <w:jc w:val="right"/>
              <w:ind w:right="48"/>
              <w:spacing w:after="0"/>
              <w:rPr>
                <w:sz w:val="20"/>
                <w:szCs w:val="20"/>
                <w:color w:val="auto"/>
              </w:rPr>
            </w:pPr>
            <w:r>
              <w:rPr>
                <w:rFonts w:ascii="Calibri" w:cs="Calibri" w:eastAsia="Calibri" w:hAnsi="Calibri"/>
                <w:sz w:val="14"/>
                <w:szCs w:val="14"/>
                <w:color w:val="auto"/>
              </w:rPr>
              <w:t>(</w:t>
            </w:r>
          </w:p>
        </w:tc>
        <w:tc>
          <w:tcPr>
            <w:tcW w:w="140" w:type="dxa"/>
            <w:vAlign w:val="bottom"/>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r>
      <w:tr>
        <w:trPr>
          <w:trHeight w:val="175"/>
        </w:trPr>
        <w:tc>
          <w:tcPr>
            <w:tcW w:w="2200" w:type="dxa"/>
            <w:vAlign w:val="bottom"/>
            <w:tcBorders>
              <w:left w:val="single" w:sz="8" w:color="auto"/>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680" w:type="dxa"/>
            <w:vAlign w:val="bottom"/>
          </w:tcPr>
          <w:p>
            <w:pPr>
              <w:jc w:val="right"/>
              <w:ind w:right="148"/>
              <w:spacing w:after="0"/>
              <w:rPr>
                <w:sz w:val="20"/>
                <w:szCs w:val="20"/>
                <w:color w:val="auto"/>
              </w:rPr>
            </w:pPr>
            <w:r>
              <w:rPr>
                <w:rFonts w:ascii="Calibri" w:cs="Calibri" w:eastAsia="Calibri" w:hAnsi="Calibri"/>
                <w:sz w:val="14"/>
                <w:szCs w:val="14"/>
                <w:color w:val="auto"/>
              </w:rPr>
              <w:t>9</w:t>
            </w:r>
          </w:p>
        </w:tc>
        <w:tc>
          <w:tcPr>
            <w:tcW w:w="24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5 )</w:t>
            </w:r>
          </w:p>
        </w:tc>
        <w:tc>
          <w:tcPr>
            <w:tcW w:w="80" w:type="dxa"/>
            <w:vAlign w:val="bottom"/>
          </w:tcPr>
          <w:p>
            <w:pPr>
              <w:jc w:val="right"/>
              <w:spacing w:after="0"/>
              <w:rPr>
                <w:sz w:val="20"/>
                <w:szCs w:val="20"/>
                <w:color w:val="auto"/>
              </w:rPr>
            </w:pPr>
            <w:r>
              <w:rPr>
                <w:rFonts w:ascii="Calibri" w:cs="Calibri" w:eastAsia="Calibri" w:hAnsi="Calibri"/>
                <w:sz w:val="14"/>
                <w:szCs w:val="14"/>
                <w:color w:val="auto"/>
                <w:w w:val="83"/>
              </w:rPr>
              <w:t>$</w:t>
            </w:r>
          </w:p>
        </w:tc>
        <w:tc>
          <w:tcPr>
            <w:tcW w:w="800" w:type="dxa"/>
            <w:vAlign w:val="bottom"/>
          </w:tcPr>
          <w:p>
            <w:pPr>
              <w:jc w:val="right"/>
              <w:spacing w:after="0"/>
              <w:rPr>
                <w:sz w:val="20"/>
                <w:szCs w:val="20"/>
                <w:color w:val="auto"/>
              </w:rPr>
            </w:pPr>
            <w:r>
              <w:rPr>
                <w:rFonts w:ascii="Calibri" w:cs="Calibri" w:eastAsia="Calibri" w:hAnsi="Calibri"/>
                <w:sz w:val="14"/>
                <w:szCs w:val="14"/>
                <w:color w:val="auto"/>
              </w:rPr>
              <w:t>1,353,153</w:t>
            </w:r>
          </w:p>
        </w:tc>
        <w:tc>
          <w:tcPr>
            <w:tcW w:w="100" w:type="dxa"/>
            <w:vAlign w:val="bottom"/>
            <w:tcBorders>
              <w:right w:val="single" w:sz="8" w:color="auto"/>
            </w:tcBorders>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Calibri" w:cs="Calibri" w:eastAsia="Calibri" w:hAnsi="Calibri"/>
                <w:sz w:val="14"/>
                <w:szCs w:val="14"/>
                <w:color w:val="auto"/>
              </w:rPr>
              <w:t>143,888</w:t>
            </w:r>
          </w:p>
        </w:tc>
        <w:tc>
          <w:tcPr>
            <w:tcW w:w="32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7 )</w:t>
            </w:r>
          </w:p>
        </w:tc>
        <w:tc>
          <w:tcPr>
            <w:tcW w:w="140" w:type="dxa"/>
            <w:vAlign w:val="bottom"/>
          </w:tcPr>
          <w:p>
            <w:pPr>
              <w:jc w:val="right"/>
              <w:spacing w:after="0"/>
              <w:rPr>
                <w:sz w:val="20"/>
                <w:szCs w:val="20"/>
                <w:color w:val="auto"/>
              </w:rPr>
            </w:pPr>
            <w:r>
              <w:rPr>
                <w:rFonts w:ascii="Calibri" w:cs="Calibri" w:eastAsia="Calibri" w:hAnsi="Calibri"/>
                <w:sz w:val="14"/>
                <w:szCs w:val="14"/>
                <w:color w:val="auto"/>
                <w:w w:val="83"/>
              </w:rPr>
              <w:t>$</w:t>
            </w:r>
          </w:p>
        </w:tc>
        <w:tc>
          <w:tcPr>
            <w:tcW w:w="980" w:type="dxa"/>
            <w:vAlign w:val="bottom"/>
            <w:tcBorders>
              <w:right w:val="single" w:sz="8" w:color="auto"/>
            </w:tcBorders>
          </w:tcPr>
          <w:p>
            <w:pPr>
              <w:jc w:val="right"/>
              <w:ind w:right="48"/>
              <w:spacing w:after="0"/>
              <w:rPr>
                <w:sz w:val="20"/>
                <w:szCs w:val="20"/>
                <w:color w:val="auto"/>
              </w:rPr>
            </w:pPr>
            <w:r>
              <w:rPr>
                <w:rFonts w:ascii="Calibri" w:cs="Calibri" w:eastAsia="Calibri" w:hAnsi="Calibri"/>
                <w:sz w:val="14"/>
                <w:szCs w:val="14"/>
                <w:color w:val="auto"/>
              </w:rPr>
              <w:t>5,026,008</w:t>
            </w:r>
          </w:p>
        </w:tc>
      </w:tr>
      <w:tr>
        <w:trPr>
          <w:trHeight w:val="33"/>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r>
      <w:tr>
        <w:trPr>
          <w:trHeight w:val="163"/>
        </w:trPr>
        <w:tc>
          <w:tcPr>
            <w:tcW w:w="2200" w:type="dxa"/>
            <w:vAlign w:val="bottom"/>
            <w:tcBorders>
              <w:left w:val="single" w:sz="8" w:color="auto"/>
              <w:right w:val="single" w:sz="8" w:color="auto"/>
            </w:tcBorders>
            <w:shd w:val="clear" w:color="auto" w:fill="E7E6E6"/>
          </w:tcPr>
          <w:p>
            <w:pPr>
              <w:spacing w:after="0"/>
              <w:rPr>
                <w:sz w:val="14"/>
                <w:szCs w:val="14"/>
                <w:color w:val="auto"/>
              </w:rPr>
            </w:pPr>
          </w:p>
        </w:tc>
        <w:tc>
          <w:tcPr>
            <w:tcW w:w="760" w:type="dxa"/>
            <w:vAlign w:val="bottom"/>
            <w:tcBorders>
              <w:right w:val="single" w:sz="8" w:color="auto"/>
            </w:tcBorders>
            <w:shd w:val="clear" w:color="auto" w:fill="E7E6E6"/>
          </w:tcPr>
          <w:p>
            <w:pPr>
              <w:spacing w:after="0"/>
              <w:rPr>
                <w:sz w:val="14"/>
                <w:szCs w:val="14"/>
                <w:color w:val="auto"/>
              </w:rPr>
            </w:pPr>
          </w:p>
        </w:tc>
        <w:tc>
          <w:tcPr>
            <w:tcW w:w="880" w:type="dxa"/>
            <w:vAlign w:val="bottom"/>
            <w:shd w:val="clear" w:color="auto" w:fill="E7E6E6"/>
          </w:tcPr>
          <w:p>
            <w:pPr>
              <w:spacing w:after="0"/>
              <w:rPr>
                <w:sz w:val="14"/>
                <w:szCs w:val="14"/>
                <w:color w:val="auto"/>
              </w:rPr>
            </w:pPr>
          </w:p>
        </w:tc>
        <w:tc>
          <w:tcPr>
            <w:tcW w:w="100" w:type="dxa"/>
            <w:vAlign w:val="bottom"/>
            <w:tcBorders>
              <w:right w:val="single" w:sz="8" w:color="auto"/>
            </w:tcBorders>
            <w:shd w:val="clear" w:color="auto" w:fill="E7E6E6"/>
          </w:tcPr>
          <w:p>
            <w:pPr>
              <w:spacing w:after="0"/>
              <w:rPr>
                <w:sz w:val="14"/>
                <w:szCs w:val="14"/>
                <w:color w:val="auto"/>
              </w:rPr>
            </w:pPr>
          </w:p>
        </w:tc>
        <w:tc>
          <w:tcPr>
            <w:tcW w:w="1100" w:type="dxa"/>
            <w:vAlign w:val="bottom"/>
            <w:tcBorders>
              <w:right w:val="single" w:sz="8" w:color="auto"/>
            </w:tcBorders>
            <w:shd w:val="clear" w:color="auto" w:fill="E7E6E6"/>
          </w:tcPr>
          <w:p>
            <w:pPr>
              <w:spacing w:after="0"/>
              <w:rPr>
                <w:sz w:val="14"/>
                <w:szCs w:val="14"/>
                <w:color w:val="auto"/>
              </w:rPr>
            </w:pPr>
          </w:p>
        </w:tc>
        <w:tc>
          <w:tcPr>
            <w:tcW w:w="760" w:type="dxa"/>
            <w:vAlign w:val="bottom"/>
            <w:tcBorders>
              <w:right w:val="single" w:sz="8" w:color="auto"/>
            </w:tcBorders>
            <w:shd w:val="clear" w:color="auto" w:fill="E7E6E6"/>
          </w:tcPr>
          <w:p>
            <w:pPr>
              <w:spacing w:after="0"/>
              <w:rPr>
                <w:sz w:val="14"/>
                <w:szCs w:val="14"/>
                <w:color w:val="auto"/>
              </w:rPr>
            </w:pPr>
          </w:p>
        </w:tc>
        <w:tc>
          <w:tcPr>
            <w:tcW w:w="860" w:type="dxa"/>
            <w:vAlign w:val="bottom"/>
            <w:tcBorders>
              <w:right w:val="single" w:sz="8" w:color="auto"/>
            </w:tcBorders>
            <w:shd w:val="clear" w:color="auto" w:fill="E7E6E6"/>
          </w:tcPr>
          <w:p>
            <w:pPr>
              <w:spacing w:after="0"/>
              <w:rPr>
                <w:sz w:val="14"/>
                <w:szCs w:val="14"/>
                <w:color w:val="auto"/>
              </w:rPr>
            </w:pPr>
          </w:p>
        </w:tc>
        <w:tc>
          <w:tcPr>
            <w:tcW w:w="680" w:type="dxa"/>
            <w:vAlign w:val="bottom"/>
            <w:shd w:val="clear" w:color="auto" w:fill="E7E6E6"/>
          </w:tcPr>
          <w:p>
            <w:pPr>
              <w:spacing w:after="0"/>
              <w:rPr>
                <w:sz w:val="14"/>
                <w:szCs w:val="14"/>
                <w:color w:val="auto"/>
              </w:rPr>
            </w:pPr>
          </w:p>
        </w:tc>
        <w:tc>
          <w:tcPr>
            <w:tcW w:w="240" w:type="dxa"/>
            <w:vAlign w:val="bottom"/>
            <w:tcBorders>
              <w:right w:val="single" w:sz="8" w:color="auto"/>
            </w:tcBorders>
            <w:shd w:val="clear" w:color="auto" w:fill="E7E6E6"/>
          </w:tcPr>
          <w:p>
            <w:pPr>
              <w:jc w:val="right"/>
              <w:ind w:right="68"/>
              <w:spacing w:after="0" w:line="164" w:lineRule="exact"/>
              <w:rPr>
                <w:sz w:val="20"/>
                <w:szCs w:val="20"/>
                <w:color w:val="auto"/>
              </w:rPr>
            </w:pPr>
            <w:r>
              <w:rPr>
                <w:rFonts w:ascii="Calibri" w:cs="Calibri" w:eastAsia="Calibri" w:hAnsi="Calibri"/>
                <w:sz w:val="14"/>
                <w:szCs w:val="14"/>
                <w:color w:val="auto"/>
              </w:rPr>
              <w:t>(</w:t>
            </w:r>
          </w:p>
        </w:tc>
        <w:tc>
          <w:tcPr>
            <w:tcW w:w="80" w:type="dxa"/>
            <w:vAlign w:val="bottom"/>
            <w:shd w:val="clear" w:color="auto" w:fill="E7E6E6"/>
          </w:tcPr>
          <w:p>
            <w:pPr>
              <w:spacing w:after="0"/>
              <w:rPr>
                <w:sz w:val="14"/>
                <w:szCs w:val="14"/>
                <w:color w:val="auto"/>
              </w:rPr>
            </w:pPr>
          </w:p>
        </w:tc>
        <w:tc>
          <w:tcPr>
            <w:tcW w:w="800" w:type="dxa"/>
            <w:vAlign w:val="bottom"/>
            <w:shd w:val="clear" w:color="auto" w:fill="E7E6E6"/>
          </w:tcPr>
          <w:p>
            <w:pPr>
              <w:spacing w:after="0"/>
              <w:rPr>
                <w:sz w:val="14"/>
                <w:szCs w:val="14"/>
                <w:color w:val="auto"/>
              </w:rPr>
            </w:pPr>
          </w:p>
        </w:tc>
        <w:tc>
          <w:tcPr>
            <w:tcW w:w="100" w:type="dxa"/>
            <w:vAlign w:val="bottom"/>
            <w:tcBorders>
              <w:right w:val="single" w:sz="8" w:color="auto"/>
            </w:tcBorders>
            <w:shd w:val="clear" w:color="auto" w:fill="E7E6E6"/>
          </w:tcPr>
          <w:p>
            <w:pPr>
              <w:spacing w:after="0"/>
              <w:rPr>
                <w:sz w:val="14"/>
                <w:szCs w:val="14"/>
                <w:color w:val="auto"/>
              </w:rPr>
            </w:pPr>
          </w:p>
        </w:tc>
        <w:tc>
          <w:tcPr>
            <w:tcW w:w="1240" w:type="dxa"/>
            <w:vAlign w:val="bottom"/>
            <w:shd w:val="clear" w:color="auto" w:fill="E7E6E6"/>
          </w:tcPr>
          <w:p>
            <w:pPr>
              <w:spacing w:after="0"/>
              <w:rPr>
                <w:sz w:val="14"/>
                <w:szCs w:val="14"/>
                <w:color w:val="auto"/>
              </w:rPr>
            </w:pPr>
          </w:p>
        </w:tc>
        <w:tc>
          <w:tcPr>
            <w:tcW w:w="320" w:type="dxa"/>
            <w:vAlign w:val="bottom"/>
            <w:tcBorders>
              <w:right w:val="single" w:sz="8" w:color="auto"/>
            </w:tcBorders>
            <w:shd w:val="clear" w:color="auto" w:fill="E7E6E6"/>
          </w:tcPr>
          <w:p>
            <w:pPr>
              <w:jc w:val="right"/>
              <w:ind w:right="48"/>
              <w:spacing w:after="0" w:line="164" w:lineRule="exact"/>
              <w:rPr>
                <w:sz w:val="20"/>
                <w:szCs w:val="20"/>
                <w:color w:val="auto"/>
              </w:rPr>
            </w:pPr>
            <w:r>
              <w:rPr>
                <w:rFonts w:ascii="Calibri" w:cs="Calibri" w:eastAsia="Calibri" w:hAnsi="Calibri"/>
                <w:sz w:val="14"/>
                <w:szCs w:val="14"/>
                <w:color w:val="auto"/>
              </w:rPr>
              <w:t>(</w:t>
            </w:r>
          </w:p>
        </w:tc>
        <w:tc>
          <w:tcPr>
            <w:tcW w:w="140" w:type="dxa"/>
            <w:vAlign w:val="bottom"/>
            <w:shd w:val="clear" w:color="auto" w:fill="E7E6E6"/>
          </w:tcPr>
          <w:p>
            <w:pPr>
              <w:spacing w:after="0"/>
              <w:rPr>
                <w:sz w:val="14"/>
                <w:szCs w:val="14"/>
                <w:color w:val="auto"/>
              </w:rPr>
            </w:pPr>
          </w:p>
        </w:tc>
        <w:tc>
          <w:tcPr>
            <w:tcW w:w="980" w:type="dxa"/>
            <w:vAlign w:val="bottom"/>
            <w:tcBorders>
              <w:right w:val="single" w:sz="8" w:color="auto"/>
            </w:tcBorders>
            <w:shd w:val="clear" w:color="auto" w:fill="E7E6E6"/>
          </w:tcPr>
          <w:p>
            <w:pPr>
              <w:spacing w:after="0"/>
              <w:rPr>
                <w:sz w:val="14"/>
                <w:szCs w:val="14"/>
                <w:color w:val="auto"/>
              </w:rPr>
            </w:pPr>
          </w:p>
        </w:tc>
      </w:tr>
      <w:tr>
        <w:trPr>
          <w:trHeight w:val="188"/>
        </w:trPr>
        <w:tc>
          <w:tcPr>
            <w:tcW w:w="2200" w:type="dxa"/>
            <w:vAlign w:val="bottom"/>
            <w:tcBorders>
              <w:left w:val="single" w:sz="8" w:color="auto"/>
              <w:bottom w:val="single" w:sz="8" w:color="E7E6E6"/>
              <w:right w:val="single" w:sz="8" w:color="auto"/>
            </w:tcBorders>
            <w:shd w:val="clear" w:color="auto" w:fill="E7E6E6"/>
          </w:tcPr>
          <w:p>
            <w:pPr>
              <w:ind w:left="40"/>
              <w:spacing w:after="0"/>
              <w:rPr>
                <w:sz w:val="20"/>
                <w:szCs w:val="20"/>
                <w:color w:val="auto"/>
              </w:rPr>
            </w:pPr>
            <w:r>
              <w:rPr>
                <w:rFonts w:ascii="Calibri" w:cs="Calibri" w:eastAsia="Calibri" w:hAnsi="Calibri"/>
                <w:sz w:val="14"/>
                <w:szCs w:val="14"/>
                <w:color w:val="auto"/>
              </w:rPr>
              <w:t>B. Buckler</w:t>
            </w:r>
          </w:p>
        </w:tc>
        <w:tc>
          <w:tcPr>
            <w:tcW w:w="760" w:type="dxa"/>
            <w:vAlign w:val="bottom"/>
            <w:tcBorders>
              <w:bottom w:val="single" w:sz="8" w:color="E7E6E6"/>
              <w:right w:val="single" w:sz="8" w:color="auto"/>
            </w:tcBorders>
            <w:shd w:val="clear" w:color="auto" w:fill="E7E6E6"/>
          </w:tcPr>
          <w:p>
            <w:pPr>
              <w:ind w:left="480"/>
              <w:spacing w:after="0"/>
              <w:rPr>
                <w:sz w:val="20"/>
                <w:szCs w:val="20"/>
                <w:color w:val="auto"/>
              </w:rPr>
            </w:pPr>
            <w:r>
              <w:rPr>
                <w:rFonts w:ascii="Calibri" w:cs="Calibri" w:eastAsia="Calibri" w:hAnsi="Calibri"/>
                <w:sz w:val="14"/>
                <w:szCs w:val="14"/>
                <w:color w:val="auto"/>
              </w:rPr>
              <w:t>—</w:t>
            </w:r>
          </w:p>
        </w:tc>
        <w:tc>
          <w:tcPr>
            <w:tcW w:w="880" w:type="dxa"/>
            <w:vAlign w:val="bottom"/>
            <w:tcBorders>
              <w:bottom w:val="single" w:sz="8" w:color="E7E6E6"/>
            </w:tcBorders>
            <w:shd w:val="clear" w:color="auto" w:fill="E7E6E6"/>
          </w:tcPr>
          <w:p>
            <w:pPr>
              <w:ind w:left="720"/>
              <w:spacing w:after="0"/>
              <w:rPr>
                <w:sz w:val="20"/>
                <w:szCs w:val="20"/>
                <w:color w:val="auto"/>
              </w:rPr>
            </w:pPr>
            <w:r>
              <w:rPr>
                <w:rFonts w:ascii="Calibri" w:cs="Calibri" w:eastAsia="Calibri" w:hAnsi="Calibri"/>
                <w:sz w:val="14"/>
                <w:szCs w:val="14"/>
                <w:color w:val="auto"/>
              </w:rPr>
              <w:t>—</w:t>
            </w:r>
          </w:p>
        </w:tc>
        <w:tc>
          <w:tcPr>
            <w:tcW w:w="100" w:type="dxa"/>
            <w:vAlign w:val="bottom"/>
            <w:tcBorders>
              <w:bottom w:val="single" w:sz="8" w:color="E7E6E6"/>
              <w:right w:val="single" w:sz="8" w:color="auto"/>
            </w:tcBorders>
            <w:shd w:val="clear" w:color="auto" w:fill="E7E6E6"/>
          </w:tcPr>
          <w:p>
            <w:pPr>
              <w:spacing w:after="0"/>
              <w:rPr>
                <w:sz w:val="16"/>
                <w:szCs w:val="16"/>
                <w:color w:val="auto"/>
              </w:rPr>
            </w:pPr>
          </w:p>
        </w:tc>
        <w:tc>
          <w:tcPr>
            <w:tcW w:w="1100" w:type="dxa"/>
            <w:vAlign w:val="bottom"/>
            <w:tcBorders>
              <w:bottom w:val="single" w:sz="8" w:color="E7E6E6"/>
              <w:right w:val="single" w:sz="8" w:color="auto"/>
            </w:tcBorders>
            <w:shd w:val="clear" w:color="auto" w:fill="E7E6E6"/>
          </w:tcPr>
          <w:p>
            <w:pPr>
              <w:ind w:left="840"/>
              <w:spacing w:after="0"/>
              <w:rPr>
                <w:sz w:val="20"/>
                <w:szCs w:val="20"/>
                <w:color w:val="auto"/>
              </w:rPr>
            </w:pPr>
            <w:r>
              <w:rPr>
                <w:rFonts w:ascii="Calibri" w:cs="Calibri" w:eastAsia="Calibri" w:hAnsi="Calibri"/>
                <w:sz w:val="14"/>
                <w:szCs w:val="14"/>
                <w:color w:val="auto"/>
              </w:rPr>
              <w:t>—</w:t>
            </w:r>
          </w:p>
        </w:tc>
        <w:tc>
          <w:tcPr>
            <w:tcW w:w="760" w:type="dxa"/>
            <w:vAlign w:val="bottom"/>
            <w:tcBorders>
              <w:bottom w:val="single" w:sz="8" w:color="E7E6E6"/>
              <w:right w:val="single" w:sz="8" w:color="auto"/>
            </w:tcBorders>
            <w:shd w:val="clear" w:color="auto" w:fill="E7E6E6"/>
          </w:tcPr>
          <w:p>
            <w:pPr>
              <w:ind w:left="500"/>
              <w:spacing w:after="0"/>
              <w:rPr>
                <w:sz w:val="20"/>
                <w:szCs w:val="20"/>
                <w:color w:val="auto"/>
              </w:rPr>
            </w:pPr>
            <w:r>
              <w:rPr>
                <w:rFonts w:ascii="Calibri" w:cs="Calibri" w:eastAsia="Calibri" w:hAnsi="Calibri"/>
                <w:sz w:val="14"/>
                <w:szCs w:val="14"/>
                <w:color w:val="auto"/>
                <w:w w:val="97"/>
              </w:rPr>
              <w:t>N/A</w:t>
            </w:r>
          </w:p>
        </w:tc>
        <w:tc>
          <w:tcPr>
            <w:tcW w:w="860" w:type="dxa"/>
            <w:vAlign w:val="bottom"/>
            <w:tcBorders>
              <w:bottom w:val="single" w:sz="8" w:color="E7E6E6"/>
              <w:right w:val="single" w:sz="8" w:color="auto"/>
            </w:tcBorders>
            <w:shd w:val="clear" w:color="auto" w:fill="E7E6E6"/>
          </w:tcPr>
          <w:p>
            <w:pPr>
              <w:ind w:left="620"/>
              <w:spacing w:after="0"/>
              <w:rPr>
                <w:sz w:val="20"/>
                <w:szCs w:val="20"/>
                <w:color w:val="auto"/>
              </w:rPr>
            </w:pPr>
            <w:r>
              <w:rPr>
                <w:rFonts w:ascii="Calibri" w:cs="Calibri" w:eastAsia="Calibri" w:hAnsi="Calibri"/>
                <w:sz w:val="14"/>
                <w:szCs w:val="14"/>
                <w:color w:val="auto"/>
                <w:w w:val="88"/>
              </w:rPr>
              <w:t>N/A</w:t>
            </w:r>
          </w:p>
        </w:tc>
        <w:tc>
          <w:tcPr>
            <w:tcW w:w="680" w:type="dxa"/>
            <w:vAlign w:val="bottom"/>
            <w:tcBorders>
              <w:bottom w:val="single" w:sz="8" w:color="E7E6E6"/>
            </w:tcBorders>
            <w:shd w:val="clear" w:color="auto" w:fill="E7E6E6"/>
          </w:tcPr>
          <w:p>
            <w:pPr>
              <w:jc w:val="right"/>
              <w:ind w:right="148"/>
              <w:spacing w:after="0"/>
              <w:rPr>
                <w:sz w:val="20"/>
                <w:szCs w:val="20"/>
                <w:color w:val="auto"/>
              </w:rPr>
            </w:pPr>
            <w:r>
              <w:rPr>
                <w:rFonts w:ascii="Calibri" w:cs="Calibri" w:eastAsia="Calibri" w:hAnsi="Calibri"/>
                <w:sz w:val="14"/>
                <w:szCs w:val="14"/>
                <w:color w:val="auto"/>
              </w:rPr>
              <w:t>6,725</w:t>
            </w:r>
          </w:p>
        </w:tc>
        <w:tc>
          <w:tcPr>
            <w:tcW w:w="240" w:type="dxa"/>
            <w:vAlign w:val="bottom"/>
            <w:tcBorders>
              <w:bottom w:val="single" w:sz="8" w:color="E7E6E6"/>
              <w:right w:val="single" w:sz="8" w:color="auto"/>
            </w:tcBorders>
            <w:shd w:val="clear" w:color="auto" w:fill="E7E6E6"/>
          </w:tcPr>
          <w:p>
            <w:pPr>
              <w:jc w:val="right"/>
              <w:spacing w:after="0"/>
              <w:rPr>
                <w:sz w:val="20"/>
                <w:szCs w:val="20"/>
                <w:color w:val="auto"/>
              </w:rPr>
            </w:pPr>
            <w:r>
              <w:rPr>
                <w:rFonts w:ascii="Calibri" w:cs="Calibri" w:eastAsia="Calibri" w:hAnsi="Calibri"/>
                <w:sz w:val="14"/>
                <w:szCs w:val="14"/>
                <w:color w:val="auto"/>
              </w:rPr>
              <w:t>4 )</w:t>
            </w:r>
          </w:p>
        </w:tc>
        <w:tc>
          <w:tcPr>
            <w:tcW w:w="80" w:type="dxa"/>
            <w:vAlign w:val="bottom"/>
            <w:tcBorders>
              <w:bottom w:val="single" w:sz="8" w:color="E7E6E6"/>
            </w:tcBorders>
            <w:shd w:val="clear" w:color="auto" w:fill="E7E6E6"/>
          </w:tcPr>
          <w:p>
            <w:pPr>
              <w:jc w:val="right"/>
              <w:spacing w:after="0"/>
              <w:rPr>
                <w:sz w:val="20"/>
                <w:szCs w:val="20"/>
                <w:color w:val="auto"/>
              </w:rPr>
            </w:pPr>
            <w:r>
              <w:rPr>
                <w:rFonts w:ascii="Calibri" w:cs="Calibri" w:eastAsia="Calibri" w:hAnsi="Calibri"/>
                <w:sz w:val="14"/>
                <w:szCs w:val="14"/>
                <w:color w:val="auto"/>
                <w:w w:val="83"/>
              </w:rPr>
              <w:t>$</w:t>
            </w:r>
          </w:p>
        </w:tc>
        <w:tc>
          <w:tcPr>
            <w:tcW w:w="800" w:type="dxa"/>
            <w:vAlign w:val="bottom"/>
            <w:tcBorders>
              <w:bottom w:val="single" w:sz="8" w:color="E7E6E6"/>
            </w:tcBorders>
            <w:shd w:val="clear" w:color="auto" w:fill="E7E6E6"/>
          </w:tcPr>
          <w:p>
            <w:pPr>
              <w:jc w:val="right"/>
              <w:spacing w:after="0"/>
              <w:rPr>
                <w:sz w:val="20"/>
                <w:szCs w:val="20"/>
                <w:color w:val="auto"/>
              </w:rPr>
            </w:pPr>
            <w:r>
              <w:rPr>
                <w:rFonts w:ascii="Calibri" w:cs="Calibri" w:eastAsia="Calibri" w:hAnsi="Calibri"/>
                <w:sz w:val="14"/>
                <w:szCs w:val="14"/>
                <w:color w:val="auto"/>
              </w:rPr>
              <w:t>234,904</w:t>
            </w:r>
          </w:p>
        </w:tc>
        <w:tc>
          <w:tcPr>
            <w:tcW w:w="100" w:type="dxa"/>
            <w:vAlign w:val="bottom"/>
            <w:tcBorders>
              <w:bottom w:val="single" w:sz="8" w:color="E7E6E6"/>
              <w:right w:val="single" w:sz="8" w:color="auto"/>
            </w:tcBorders>
            <w:shd w:val="clear" w:color="auto" w:fill="E7E6E6"/>
          </w:tcPr>
          <w:p>
            <w:pPr>
              <w:spacing w:after="0"/>
              <w:rPr>
                <w:sz w:val="16"/>
                <w:szCs w:val="16"/>
                <w:color w:val="auto"/>
              </w:rPr>
            </w:pPr>
          </w:p>
        </w:tc>
        <w:tc>
          <w:tcPr>
            <w:tcW w:w="1240" w:type="dxa"/>
            <w:vAlign w:val="bottom"/>
            <w:tcBorders>
              <w:bottom w:val="single" w:sz="8" w:color="E7E6E6"/>
            </w:tcBorders>
            <w:shd w:val="clear" w:color="auto" w:fill="E7E6E6"/>
          </w:tcPr>
          <w:p>
            <w:pPr>
              <w:jc w:val="right"/>
              <w:ind w:right="48"/>
              <w:spacing w:after="0"/>
              <w:rPr>
                <w:sz w:val="20"/>
                <w:szCs w:val="20"/>
                <w:color w:val="auto"/>
              </w:rPr>
            </w:pPr>
            <w:r>
              <w:rPr>
                <w:rFonts w:ascii="Calibri" w:cs="Calibri" w:eastAsia="Calibri" w:hAnsi="Calibri"/>
                <w:sz w:val="14"/>
                <w:szCs w:val="14"/>
                <w:color w:val="auto"/>
              </w:rPr>
              <w:t>24,980</w:t>
            </w:r>
          </w:p>
        </w:tc>
        <w:tc>
          <w:tcPr>
            <w:tcW w:w="320" w:type="dxa"/>
            <w:vAlign w:val="bottom"/>
            <w:tcBorders>
              <w:bottom w:val="single" w:sz="8" w:color="E7E6E6"/>
              <w:right w:val="single" w:sz="8" w:color="auto"/>
            </w:tcBorders>
            <w:shd w:val="clear" w:color="auto" w:fill="E7E6E6"/>
          </w:tcPr>
          <w:p>
            <w:pPr>
              <w:jc w:val="right"/>
              <w:spacing w:after="0"/>
              <w:rPr>
                <w:sz w:val="20"/>
                <w:szCs w:val="20"/>
                <w:color w:val="auto"/>
              </w:rPr>
            </w:pPr>
            <w:r>
              <w:rPr>
                <w:rFonts w:ascii="Calibri" w:cs="Calibri" w:eastAsia="Calibri" w:hAnsi="Calibri"/>
                <w:sz w:val="14"/>
                <w:szCs w:val="14"/>
                <w:color w:val="auto"/>
              </w:rPr>
              <w:t>6 )</w:t>
            </w:r>
          </w:p>
        </w:tc>
        <w:tc>
          <w:tcPr>
            <w:tcW w:w="140" w:type="dxa"/>
            <w:vAlign w:val="bottom"/>
            <w:tcBorders>
              <w:bottom w:val="single" w:sz="8" w:color="E7E6E6"/>
            </w:tcBorders>
            <w:shd w:val="clear" w:color="auto" w:fill="E7E6E6"/>
          </w:tcPr>
          <w:p>
            <w:pPr>
              <w:jc w:val="right"/>
              <w:spacing w:after="0"/>
              <w:rPr>
                <w:sz w:val="20"/>
                <w:szCs w:val="20"/>
                <w:color w:val="auto"/>
              </w:rPr>
            </w:pPr>
            <w:r>
              <w:rPr>
                <w:rFonts w:ascii="Calibri" w:cs="Calibri" w:eastAsia="Calibri" w:hAnsi="Calibri"/>
                <w:sz w:val="14"/>
                <w:szCs w:val="14"/>
                <w:color w:val="auto"/>
                <w:w w:val="83"/>
              </w:rPr>
              <w:t>$</w:t>
            </w:r>
          </w:p>
        </w:tc>
        <w:tc>
          <w:tcPr>
            <w:tcW w:w="980" w:type="dxa"/>
            <w:vAlign w:val="bottom"/>
            <w:tcBorders>
              <w:bottom w:val="single" w:sz="8" w:color="E7E6E6"/>
              <w:right w:val="single" w:sz="8" w:color="auto"/>
            </w:tcBorders>
            <w:shd w:val="clear" w:color="auto" w:fill="E7E6E6"/>
          </w:tcPr>
          <w:p>
            <w:pPr>
              <w:jc w:val="right"/>
              <w:ind w:right="48"/>
              <w:spacing w:after="0"/>
              <w:rPr>
                <w:sz w:val="20"/>
                <w:szCs w:val="20"/>
                <w:color w:val="auto"/>
              </w:rPr>
            </w:pPr>
            <w:r>
              <w:rPr>
                <w:rFonts w:ascii="Calibri" w:cs="Calibri" w:eastAsia="Calibri" w:hAnsi="Calibri"/>
                <w:sz w:val="14"/>
                <w:szCs w:val="14"/>
                <w:color w:val="auto"/>
              </w:rPr>
              <w:t>872,551</w:t>
            </w:r>
          </w:p>
        </w:tc>
      </w:tr>
      <w:tr>
        <w:trPr>
          <w:trHeight w:val="170"/>
        </w:trPr>
        <w:tc>
          <w:tcPr>
            <w:tcW w:w="2200" w:type="dxa"/>
            <w:vAlign w:val="bottom"/>
            <w:tcBorders>
              <w:left w:val="single" w:sz="8" w:color="auto"/>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Borders>
              <w:right w:val="single" w:sz="8" w:color="auto"/>
            </w:tcBorders>
          </w:tcPr>
          <w:p>
            <w:pPr>
              <w:jc w:val="right"/>
              <w:ind w:right="68"/>
              <w:spacing w:after="0"/>
              <w:rPr>
                <w:sz w:val="20"/>
                <w:szCs w:val="20"/>
                <w:color w:val="auto"/>
              </w:rPr>
            </w:pPr>
            <w:r>
              <w:rPr>
                <w:rFonts w:ascii="Calibri" w:cs="Calibri" w:eastAsia="Calibri" w:hAnsi="Calibri"/>
                <w:sz w:val="14"/>
                <w:szCs w:val="14"/>
                <w:color w:val="auto"/>
              </w:rPr>
              <w:t>(</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Borders>
              <w:right w:val="single" w:sz="8" w:color="auto"/>
            </w:tcBorders>
          </w:tcPr>
          <w:p>
            <w:pPr>
              <w:jc w:val="right"/>
              <w:ind w:right="48"/>
              <w:spacing w:after="0"/>
              <w:rPr>
                <w:sz w:val="20"/>
                <w:szCs w:val="20"/>
                <w:color w:val="auto"/>
              </w:rPr>
            </w:pPr>
            <w:r>
              <w:rPr>
                <w:rFonts w:ascii="Calibri" w:cs="Calibri" w:eastAsia="Calibri" w:hAnsi="Calibri"/>
                <w:sz w:val="14"/>
                <w:szCs w:val="14"/>
                <w:color w:val="auto"/>
              </w:rPr>
              <w:t>(</w:t>
            </w:r>
          </w:p>
        </w:tc>
        <w:tc>
          <w:tcPr>
            <w:tcW w:w="140" w:type="dxa"/>
            <w:vAlign w:val="bottom"/>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r>
      <w:tr>
        <w:trPr>
          <w:trHeight w:val="175"/>
        </w:trPr>
        <w:tc>
          <w:tcPr>
            <w:tcW w:w="2200" w:type="dxa"/>
            <w:vAlign w:val="bottom"/>
            <w:tcBorders>
              <w:left w:val="single" w:sz="8" w:color="auto"/>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680" w:type="dxa"/>
            <w:vAlign w:val="bottom"/>
          </w:tcPr>
          <w:p>
            <w:pPr>
              <w:jc w:val="right"/>
              <w:ind w:right="148"/>
              <w:spacing w:after="0"/>
              <w:rPr>
                <w:sz w:val="20"/>
                <w:szCs w:val="20"/>
                <w:color w:val="auto"/>
              </w:rPr>
            </w:pPr>
            <w:r>
              <w:rPr>
                <w:rFonts w:ascii="Calibri" w:cs="Calibri" w:eastAsia="Calibri" w:hAnsi="Calibri"/>
                <w:sz w:val="14"/>
                <w:szCs w:val="14"/>
                <w:color w:val="auto"/>
              </w:rPr>
              <w:t>6,824</w:t>
            </w:r>
          </w:p>
        </w:tc>
        <w:tc>
          <w:tcPr>
            <w:tcW w:w="24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5 )</w:t>
            </w:r>
          </w:p>
        </w:tc>
        <w:tc>
          <w:tcPr>
            <w:tcW w:w="80" w:type="dxa"/>
            <w:vAlign w:val="bottom"/>
          </w:tcPr>
          <w:p>
            <w:pPr>
              <w:jc w:val="right"/>
              <w:spacing w:after="0"/>
              <w:rPr>
                <w:sz w:val="20"/>
                <w:szCs w:val="20"/>
                <w:color w:val="auto"/>
              </w:rPr>
            </w:pPr>
            <w:r>
              <w:rPr>
                <w:rFonts w:ascii="Calibri" w:cs="Calibri" w:eastAsia="Calibri" w:hAnsi="Calibri"/>
                <w:sz w:val="14"/>
                <w:szCs w:val="14"/>
                <w:color w:val="auto"/>
                <w:w w:val="83"/>
              </w:rPr>
              <w:t>$</w:t>
            </w:r>
          </w:p>
        </w:tc>
        <w:tc>
          <w:tcPr>
            <w:tcW w:w="800" w:type="dxa"/>
            <w:vAlign w:val="bottom"/>
          </w:tcPr>
          <w:p>
            <w:pPr>
              <w:jc w:val="right"/>
              <w:spacing w:after="0"/>
              <w:rPr>
                <w:sz w:val="20"/>
                <w:szCs w:val="20"/>
                <w:color w:val="auto"/>
              </w:rPr>
            </w:pPr>
            <w:r>
              <w:rPr>
                <w:rFonts w:ascii="Calibri" w:cs="Calibri" w:eastAsia="Calibri" w:hAnsi="Calibri"/>
                <w:sz w:val="14"/>
                <w:szCs w:val="14"/>
                <w:color w:val="auto"/>
              </w:rPr>
              <w:t>238,362</w:t>
            </w:r>
          </w:p>
        </w:tc>
        <w:tc>
          <w:tcPr>
            <w:tcW w:w="100" w:type="dxa"/>
            <w:vAlign w:val="bottom"/>
            <w:tcBorders>
              <w:right w:val="single" w:sz="8" w:color="auto"/>
            </w:tcBorders>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Calibri" w:cs="Calibri" w:eastAsia="Calibri" w:hAnsi="Calibri"/>
                <w:sz w:val="14"/>
                <w:szCs w:val="14"/>
                <w:color w:val="auto"/>
              </w:rPr>
              <w:t>25,348</w:t>
            </w:r>
          </w:p>
        </w:tc>
        <w:tc>
          <w:tcPr>
            <w:tcW w:w="32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7 )</w:t>
            </w:r>
          </w:p>
        </w:tc>
        <w:tc>
          <w:tcPr>
            <w:tcW w:w="140" w:type="dxa"/>
            <w:vAlign w:val="bottom"/>
          </w:tcPr>
          <w:p>
            <w:pPr>
              <w:jc w:val="right"/>
              <w:spacing w:after="0"/>
              <w:rPr>
                <w:sz w:val="20"/>
                <w:szCs w:val="20"/>
                <w:color w:val="auto"/>
              </w:rPr>
            </w:pPr>
            <w:r>
              <w:rPr>
                <w:rFonts w:ascii="Calibri" w:cs="Calibri" w:eastAsia="Calibri" w:hAnsi="Calibri"/>
                <w:sz w:val="14"/>
                <w:szCs w:val="14"/>
                <w:color w:val="auto"/>
                <w:w w:val="83"/>
              </w:rPr>
              <w:t>$</w:t>
            </w:r>
          </w:p>
        </w:tc>
        <w:tc>
          <w:tcPr>
            <w:tcW w:w="980" w:type="dxa"/>
            <w:vAlign w:val="bottom"/>
            <w:tcBorders>
              <w:right w:val="single" w:sz="8" w:color="auto"/>
            </w:tcBorders>
          </w:tcPr>
          <w:p>
            <w:pPr>
              <w:jc w:val="right"/>
              <w:ind w:right="48"/>
              <w:spacing w:after="0"/>
              <w:rPr>
                <w:sz w:val="20"/>
                <w:szCs w:val="20"/>
                <w:color w:val="auto"/>
              </w:rPr>
            </w:pPr>
            <w:r>
              <w:rPr>
                <w:rFonts w:ascii="Calibri" w:cs="Calibri" w:eastAsia="Calibri" w:hAnsi="Calibri"/>
                <w:sz w:val="14"/>
                <w:szCs w:val="14"/>
                <w:color w:val="auto"/>
              </w:rPr>
              <w:t>885,406</w:t>
            </w:r>
          </w:p>
        </w:tc>
      </w:tr>
      <w:tr>
        <w:trPr>
          <w:trHeight w:val="33"/>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r>
      <w:tr>
        <w:trPr>
          <w:trHeight w:val="163"/>
        </w:trPr>
        <w:tc>
          <w:tcPr>
            <w:tcW w:w="2200" w:type="dxa"/>
            <w:vAlign w:val="bottom"/>
            <w:tcBorders>
              <w:left w:val="single" w:sz="8" w:color="auto"/>
              <w:right w:val="single" w:sz="8" w:color="auto"/>
            </w:tcBorders>
            <w:shd w:val="clear" w:color="auto" w:fill="E7E6E6"/>
          </w:tcPr>
          <w:p>
            <w:pPr>
              <w:spacing w:after="0"/>
              <w:rPr>
                <w:sz w:val="14"/>
                <w:szCs w:val="14"/>
                <w:color w:val="auto"/>
              </w:rPr>
            </w:pPr>
          </w:p>
        </w:tc>
        <w:tc>
          <w:tcPr>
            <w:tcW w:w="760" w:type="dxa"/>
            <w:vAlign w:val="bottom"/>
            <w:tcBorders>
              <w:right w:val="single" w:sz="8" w:color="auto"/>
            </w:tcBorders>
            <w:shd w:val="clear" w:color="auto" w:fill="E7E6E6"/>
          </w:tcPr>
          <w:p>
            <w:pPr>
              <w:spacing w:after="0"/>
              <w:rPr>
                <w:sz w:val="14"/>
                <w:szCs w:val="14"/>
                <w:color w:val="auto"/>
              </w:rPr>
            </w:pPr>
          </w:p>
        </w:tc>
        <w:tc>
          <w:tcPr>
            <w:tcW w:w="880" w:type="dxa"/>
            <w:vAlign w:val="bottom"/>
            <w:shd w:val="clear" w:color="auto" w:fill="E7E6E6"/>
          </w:tcPr>
          <w:p>
            <w:pPr>
              <w:spacing w:after="0"/>
              <w:rPr>
                <w:sz w:val="14"/>
                <w:szCs w:val="14"/>
                <w:color w:val="auto"/>
              </w:rPr>
            </w:pPr>
          </w:p>
        </w:tc>
        <w:tc>
          <w:tcPr>
            <w:tcW w:w="100" w:type="dxa"/>
            <w:vAlign w:val="bottom"/>
            <w:tcBorders>
              <w:right w:val="single" w:sz="8" w:color="auto"/>
            </w:tcBorders>
            <w:shd w:val="clear" w:color="auto" w:fill="E7E6E6"/>
          </w:tcPr>
          <w:p>
            <w:pPr>
              <w:spacing w:after="0"/>
              <w:rPr>
                <w:sz w:val="14"/>
                <w:szCs w:val="14"/>
                <w:color w:val="auto"/>
              </w:rPr>
            </w:pPr>
          </w:p>
        </w:tc>
        <w:tc>
          <w:tcPr>
            <w:tcW w:w="1100" w:type="dxa"/>
            <w:vAlign w:val="bottom"/>
            <w:tcBorders>
              <w:right w:val="single" w:sz="8" w:color="auto"/>
            </w:tcBorders>
            <w:shd w:val="clear" w:color="auto" w:fill="E7E6E6"/>
          </w:tcPr>
          <w:p>
            <w:pPr>
              <w:spacing w:after="0"/>
              <w:rPr>
                <w:sz w:val="14"/>
                <w:szCs w:val="14"/>
                <w:color w:val="auto"/>
              </w:rPr>
            </w:pPr>
          </w:p>
        </w:tc>
        <w:tc>
          <w:tcPr>
            <w:tcW w:w="760" w:type="dxa"/>
            <w:vAlign w:val="bottom"/>
            <w:tcBorders>
              <w:right w:val="single" w:sz="8" w:color="auto"/>
            </w:tcBorders>
            <w:shd w:val="clear" w:color="auto" w:fill="E7E6E6"/>
          </w:tcPr>
          <w:p>
            <w:pPr>
              <w:spacing w:after="0"/>
              <w:rPr>
                <w:sz w:val="14"/>
                <w:szCs w:val="14"/>
                <w:color w:val="auto"/>
              </w:rPr>
            </w:pPr>
          </w:p>
        </w:tc>
        <w:tc>
          <w:tcPr>
            <w:tcW w:w="860" w:type="dxa"/>
            <w:vAlign w:val="bottom"/>
            <w:tcBorders>
              <w:right w:val="single" w:sz="8" w:color="auto"/>
            </w:tcBorders>
            <w:shd w:val="clear" w:color="auto" w:fill="E7E6E6"/>
          </w:tcPr>
          <w:p>
            <w:pPr>
              <w:spacing w:after="0"/>
              <w:rPr>
                <w:sz w:val="14"/>
                <w:szCs w:val="14"/>
                <w:color w:val="auto"/>
              </w:rPr>
            </w:pPr>
          </w:p>
        </w:tc>
        <w:tc>
          <w:tcPr>
            <w:tcW w:w="680" w:type="dxa"/>
            <w:vAlign w:val="bottom"/>
            <w:shd w:val="clear" w:color="auto" w:fill="E7E6E6"/>
          </w:tcPr>
          <w:p>
            <w:pPr>
              <w:spacing w:after="0"/>
              <w:rPr>
                <w:sz w:val="14"/>
                <w:szCs w:val="14"/>
                <w:color w:val="auto"/>
              </w:rPr>
            </w:pPr>
          </w:p>
        </w:tc>
        <w:tc>
          <w:tcPr>
            <w:tcW w:w="240" w:type="dxa"/>
            <w:vAlign w:val="bottom"/>
            <w:tcBorders>
              <w:right w:val="single" w:sz="8" w:color="auto"/>
            </w:tcBorders>
            <w:shd w:val="clear" w:color="auto" w:fill="E7E6E6"/>
          </w:tcPr>
          <w:p>
            <w:pPr>
              <w:jc w:val="right"/>
              <w:ind w:right="68"/>
              <w:spacing w:after="0" w:line="164" w:lineRule="exact"/>
              <w:rPr>
                <w:sz w:val="20"/>
                <w:szCs w:val="20"/>
                <w:color w:val="auto"/>
              </w:rPr>
            </w:pPr>
            <w:r>
              <w:rPr>
                <w:rFonts w:ascii="Calibri" w:cs="Calibri" w:eastAsia="Calibri" w:hAnsi="Calibri"/>
                <w:sz w:val="14"/>
                <w:szCs w:val="14"/>
                <w:color w:val="auto"/>
              </w:rPr>
              <w:t>(</w:t>
            </w:r>
          </w:p>
        </w:tc>
        <w:tc>
          <w:tcPr>
            <w:tcW w:w="80" w:type="dxa"/>
            <w:vAlign w:val="bottom"/>
            <w:shd w:val="clear" w:color="auto" w:fill="E7E6E6"/>
          </w:tcPr>
          <w:p>
            <w:pPr>
              <w:spacing w:after="0"/>
              <w:rPr>
                <w:sz w:val="14"/>
                <w:szCs w:val="14"/>
                <w:color w:val="auto"/>
              </w:rPr>
            </w:pPr>
          </w:p>
        </w:tc>
        <w:tc>
          <w:tcPr>
            <w:tcW w:w="800" w:type="dxa"/>
            <w:vAlign w:val="bottom"/>
            <w:shd w:val="clear" w:color="auto" w:fill="E7E6E6"/>
          </w:tcPr>
          <w:p>
            <w:pPr>
              <w:spacing w:after="0"/>
              <w:rPr>
                <w:sz w:val="14"/>
                <w:szCs w:val="14"/>
                <w:color w:val="auto"/>
              </w:rPr>
            </w:pPr>
          </w:p>
        </w:tc>
        <w:tc>
          <w:tcPr>
            <w:tcW w:w="100" w:type="dxa"/>
            <w:vAlign w:val="bottom"/>
            <w:tcBorders>
              <w:right w:val="single" w:sz="8" w:color="auto"/>
            </w:tcBorders>
            <w:shd w:val="clear" w:color="auto" w:fill="E7E6E6"/>
          </w:tcPr>
          <w:p>
            <w:pPr>
              <w:spacing w:after="0"/>
              <w:rPr>
                <w:sz w:val="14"/>
                <w:szCs w:val="14"/>
                <w:color w:val="auto"/>
              </w:rPr>
            </w:pPr>
          </w:p>
        </w:tc>
        <w:tc>
          <w:tcPr>
            <w:tcW w:w="1240" w:type="dxa"/>
            <w:vAlign w:val="bottom"/>
            <w:shd w:val="clear" w:color="auto" w:fill="E7E6E6"/>
          </w:tcPr>
          <w:p>
            <w:pPr>
              <w:spacing w:after="0"/>
              <w:rPr>
                <w:sz w:val="14"/>
                <w:szCs w:val="14"/>
                <w:color w:val="auto"/>
              </w:rPr>
            </w:pPr>
          </w:p>
        </w:tc>
        <w:tc>
          <w:tcPr>
            <w:tcW w:w="320" w:type="dxa"/>
            <w:vAlign w:val="bottom"/>
            <w:tcBorders>
              <w:right w:val="single" w:sz="8" w:color="auto"/>
            </w:tcBorders>
            <w:shd w:val="clear" w:color="auto" w:fill="E7E6E6"/>
          </w:tcPr>
          <w:p>
            <w:pPr>
              <w:jc w:val="right"/>
              <w:ind w:right="48"/>
              <w:spacing w:after="0" w:line="164" w:lineRule="exact"/>
              <w:rPr>
                <w:sz w:val="20"/>
                <w:szCs w:val="20"/>
                <w:color w:val="auto"/>
              </w:rPr>
            </w:pPr>
            <w:r>
              <w:rPr>
                <w:rFonts w:ascii="Calibri" w:cs="Calibri" w:eastAsia="Calibri" w:hAnsi="Calibri"/>
                <w:sz w:val="14"/>
                <w:szCs w:val="14"/>
                <w:color w:val="auto"/>
              </w:rPr>
              <w:t>(</w:t>
            </w:r>
          </w:p>
        </w:tc>
        <w:tc>
          <w:tcPr>
            <w:tcW w:w="140" w:type="dxa"/>
            <w:vAlign w:val="bottom"/>
            <w:shd w:val="clear" w:color="auto" w:fill="E7E6E6"/>
          </w:tcPr>
          <w:p>
            <w:pPr>
              <w:spacing w:after="0"/>
              <w:rPr>
                <w:sz w:val="14"/>
                <w:szCs w:val="14"/>
                <w:color w:val="auto"/>
              </w:rPr>
            </w:pPr>
          </w:p>
        </w:tc>
        <w:tc>
          <w:tcPr>
            <w:tcW w:w="980" w:type="dxa"/>
            <w:vAlign w:val="bottom"/>
            <w:tcBorders>
              <w:right w:val="single" w:sz="8" w:color="auto"/>
            </w:tcBorders>
            <w:shd w:val="clear" w:color="auto" w:fill="E7E6E6"/>
          </w:tcPr>
          <w:p>
            <w:pPr>
              <w:spacing w:after="0"/>
              <w:rPr>
                <w:sz w:val="14"/>
                <w:szCs w:val="14"/>
                <w:color w:val="auto"/>
              </w:rPr>
            </w:pPr>
          </w:p>
        </w:tc>
      </w:tr>
      <w:tr>
        <w:trPr>
          <w:trHeight w:val="188"/>
        </w:trPr>
        <w:tc>
          <w:tcPr>
            <w:tcW w:w="2200" w:type="dxa"/>
            <w:vAlign w:val="bottom"/>
            <w:tcBorders>
              <w:left w:val="single" w:sz="8" w:color="auto"/>
              <w:bottom w:val="single" w:sz="8" w:color="E7E6E6"/>
              <w:right w:val="single" w:sz="8" w:color="auto"/>
            </w:tcBorders>
            <w:shd w:val="clear" w:color="auto" w:fill="E7E6E6"/>
          </w:tcPr>
          <w:p>
            <w:pPr>
              <w:ind w:left="40"/>
              <w:spacing w:after="0"/>
              <w:rPr>
                <w:sz w:val="20"/>
                <w:szCs w:val="20"/>
                <w:color w:val="auto"/>
              </w:rPr>
            </w:pPr>
            <w:r>
              <w:rPr>
                <w:rFonts w:ascii="Calibri" w:cs="Calibri" w:eastAsia="Calibri" w:hAnsi="Calibri"/>
                <w:sz w:val="14"/>
                <w:szCs w:val="14"/>
                <w:color w:val="auto"/>
              </w:rPr>
              <w:t>W. Sultemeier</w:t>
            </w:r>
          </w:p>
        </w:tc>
        <w:tc>
          <w:tcPr>
            <w:tcW w:w="760" w:type="dxa"/>
            <w:vAlign w:val="bottom"/>
            <w:tcBorders>
              <w:bottom w:val="single" w:sz="8" w:color="E7E6E6"/>
              <w:right w:val="single" w:sz="8" w:color="auto"/>
            </w:tcBorders>
            <w:shd w:val="clear" w:color="auto" w:fill="E7E6E6"/>
          </w:tcPr>
          <w:p>
            <w:pPr>
              <w:ind w:left="480"/>
              <w:spacing w:after="0"/>
              <w:rPr>
                <w:sz w:val="20"/>
                <w:szCs w:val="20"/>
                <w:color w:val="auto"/>
              </w:rPr>
            </w:pPr>
            <w:r>
              <w:rPr>
                <w:rFonts w:ascii="Calibri" w:cs="Calibri" w:eastAsia="Calibri" w:hAnsi="Calibri"/>
                <w:sz w:val="14"/>
                <w:szCs w:val="14"/>
                <w:color w:val="auto"/>
              </w:rPr>
              <w:t>—</w:t>
            </w:r>
          </w:p>
        </w:tc>
        <w:tc>
          <w:tcPr>
            <w:tcW w:w="880" w:type="dxa"/>
            <w:vAlign w:val="bottom"/>
            <w:tcBorders>
              <w:bottom w:val="single" w:sz="8" w:color="E7E6E6"/>
            </w:tcBorders>
            <w:shd w:val="clear" w:color="auto" w:fill="E7E6E6"/>
          </w:tcPr>
          <w:p>
            <w:pPr>
              <w:ind w:left="720"/>
              <w:spacing w:after="0"/>
              <w:rPr>
                <w:sz w:val="20"/>
                <w:szCs w:val="20"/>
                <w:color w:val="auto"/>
              </w:rPr>
            </w:pPr>
            <w:r>
              <w:rPr>
                <w:rFonts w:ascii="Calibri" w:cs="Calibri" w:eastAsia="Calibri" w:hAnsi="Calibri"/>
                <w:sz w:val="14"/>
                <w:szCs w:val="14"/>
                <w:color w:val="auto"/>
              </w:rPr>
              <w:t>—</w:t>
            </w:r>
          </w:p>
        </w:tc>
        <w:tc>
          <w:tcPr>
            <w:tcW w:w="100" w:type="dxa"/>
            <w:vAlign w:val="bottom"/>
            <w:tcBorders>
              <w:bottom w:val="single" w:sz="8" w:color="E7E6E6"/>
              <w:right w:val="single" w:sz="8" w:color="auto"/>
            </w:tcBorders>
            <w:shd w:val="clear" w:color="auto" w:fill="E7E6E6"/>
          </w:tcPr>
          <w:p>
            <w:pPr>
              <w:spacing w:after="0"/>
              <w:rPr>
                <w:sz w:val="16"/>
                <w:szCs w:val="16"/>
                <w:color w:val="auto"/>
              </w:rPr>
            </w:pPr>
          </w:p>
        </w:tc>
        <w:tc>
          <w:tcPr>
            <w:tcW w:w="1100" w:type="dxa"/>
            <w:vAlign w:val="bottom"/>
            <w:tcBorders>
              <w:bottom w:val="single" w:sz="8" w:color="E7E6E6"/>
              <w:right w:val="single" w:sz="8" w:color="auto"/>
            </w:tcBorders>
            <w:shd w:val="clear" w:color="auto" w:fill="E7E6E6"/>
          </w:tcPr>
          <w:p>
            <w:pPr>
              <w:ind w:left="840"/>
              <w:spacing w:after="0"/>
              <w:rPr>
                <w:sz w:val="20"/>
                <w:szCs w:val="20"/>
                <w:color w:val="auto"/>
              </w:rPr>
            </w:pPr>
            <w:r>
              <w:rPr>
                <w:rFonts w:ascii="Calibri" w:cs="Calibri" w:eastAsia="Calibri" w:hAnsi="Calibri"/>
                <w:sz w:val="14"/>
                <w:szCs w:val="14"/>
                <w:color w:val="auto"/>
              </w:rPr>
              <w:t>—</w:t>
            </w:r>
          </w:p>
        </w:tc>
        <w:tc>
          <w:tcPr>
            <w:tcW w:w="760" w:type="dxa"/>
            <w:vAlign w:val="bottom"/>
            <w:tcBorders>
              <w:bottom w:val="single" w:sz="8" w:color="E7E6E6"/>
              <w:right w:val="single" w:sz="8" w:color="auto"/>
            </w:tcBorders>
            <w:shd w:val="clear" w:color="auto" w:fill="E7E6E6"/>
          </w:tcPr>
          <w:p>
            <w:pPr>
              <w:ind w:left="500"/>
              <w:spacing w:after="0"/>
              <w:rPr>
                <w:sz w:val="20"/>
                <w:szCs w:val="20"/>
                <w:color w:val="auto"/>
              </w:rPr>
            </w:pPr>
            <w:r>
              <w:rPr>
                <w:rFonts w:ascii="Calibri" w:cs="Calibri" w:eastAsia="Calibri" w:hAnsi="Calibri"/>
                <w:sz w:val="14"/>
                <w:szCs w:val="14"/>
                <w:color w:val="auto"/>
                <w:w w:val="97"/>
              </w:rPr>
              <w:t>N/A</w:t>
            </w:r>
          </w:p>
        </w:tc>
        <w:tc>
          <w:tcPr>
            <w:tcW w:w="860" w:type="dxa"/>
            <w:vAlign w:val="bottom"/>
            <w:tcBorders>
              <w:bottom w:val="single" w:sz="8" w:color="E7E6E6"/>
              <w:right w:val="single" w:sz="8" w:color="auto"/>
            </w:tcBorders>
            <w:shd w:val="clear" w:color="auto" w:fill="E7E6E6"/>
          </w:tcPr>
          <w:p>
            <w:pPr>
              <w:ind w:left="620"/>
              <w:spacing w:after="0"/>
              <w:rPr>
                <w:sz w:val="20"/>
                <w:szCs w:val="20"/>
                <w:color w:val="auto"/>
              </w:rPr>
            </w:pPr>
            <w:r>
              <w:rPr>
                <w:rFonts w:ascii="Calibri" w:cs="Calibri" w:eastAsia="Calibri" w:hAnsi="Calibri"/>
                <w:sz w:val="14"/>
                <w:szCs w:val="14"/>
                <w:color w:val="auto"/>
                <w:w w:val="88"/>
              </w:rPr>
              <w:t>N/A</w:t>
            </w:r>
          </w:p>
        </w:tc>
        <w:tc>
          <w:tcPr>
            <w:tcW w:w="680" w:type="dxa"/>
            <w:vAlign w:val="bottom"/>
            <w:tcBorders>
              <w:bottom w:val="single" w:sz="8" w:color="E7E6E6"/>
            </w:tcBorders>
            <w:shd w:val="clear" w:color="auto" w:fill="E7E6E6"/>
          </w:tcPr>
          <w:p>
            <w:pPr>
              <w:jc w:val="right"/>
              <w:ind w:right="148"/>
              <w:spacing w:after="0"/>
              <w:rPr>
                <w:sz w:val="20"/>
                <w:szCs w:val="20"/>
                <w:color w:val="auto"/>
              </w:rPr>
            </w:pPr>
            <w:r>
              <w:rPr>
                <w:rFonts w:ascii="Calibri" w:cs="Calibri" w:eastAsia="Calibri" w:hAnsi="Calibri"/>
                <w:sz w:val="14"/>
                <w:szCs w:val="14"/>
                <w:color w:val="auto"/>
              </w:rPr>
              <w:t>5,921</w:t>
            </w:r>
          </w:p>
        </w:tc>
        <w:tc>
          <w:tcPr>
            <w:tcW w:w="240" w:type="dxa"/>
            <w:vAlign w:val="bottom"/>
            <w:tcBorders>
              <w:bottom w:val="single" w:sz="8" w:color="E7E6E6"/>
              <w:right w:val="single" w:sz="8" w:color="auto"/>
            </w:tcBorders>
            <w:shd w:val="clear" w:color="auto" w:fill="E7E6E6"/>
          </w:tcPr>
          <w:p>
            <w:pPr>
              <w:jc w:val="right"/>
              <w:spacing w:after="0"/>
              <w:rPr>
                <w:sz w:val="20"/>
                <w:szCs w:val="20"/>
                <w:color w:val="auto"/>
              </w:rPr>
            </w:pPr>
            <w:r>
              <w:rPr>
                <w:rFonts w:ascii="Calibri" w:cs="Calibri" w:eastAsia="Calibri" w:hAnsi="Calibri"/>
                <w:sz w:val="14"/>
                <w:szCs w:val="14"/>
                <w:color w:val="auto"/>
              </w:rPr>
              <w:t>4 )</w:t>
            </w:r>
          </w:p>
        </w:tc>
        <w:tc>
          <w:tcPr>
            <w:tcW w:w="80" w:type="dxa"/>
            <w:vAlign w:val="bottom"/>
            <w:tcBorders>
              <w:bottom w:val="single" w:sz="8" w:color="E7E6E6"/>
            </w:tcBorders>
            <w:shd w:val="clear" w:color="auto" w:fill="E7E6E6"/>
          </w:tcPr>
          <w:p>
            <w:pPr>
              <w:jc w:val="right"/>
              <w:spacing w:after="0"/>
              <w:rPr>
                <w:sz w:val="20"/>
                <w:szCs w:val="20"/>
                <w:color w:val="auto"/>
              </w:rPr>
            </w:pPr>
            <w:r>
              <w:rPr>
                <w:rFonts w:ascii="Calibri" w:cs="Calibri" w:eastAsia="Calibri" w:hAnsi="Calibri"/>
                <w:sz w:val="14"/>
                <w:szCs w:val="14"/>
                <w:color w:val="auto"/>
                <w:w w:val="83"/>
              </w:rPr>
              <w:t>$</w:t>
            </w:r>
          </w:p>
        </w:tc>
        <w:tc>
          <w:tcPr>
            <w:tcW w:w="800" w:type="dxa"/>
            <w:vAlign w:val="bottom"/>
            <w:tcBorders>
              <w:bottom w:val="single" w:sz="8" w:color="E7E6E6"/>
            </w:tcBorders>
            <w:shd w:val="clear" w:color="auto" w:fill="E7E6E6"/>
          </w:tcPr>
          <w:p>
            <w:pPr>
              <w:jc w:val="right"/>
              <w:spacing w:after="0"/>
              <w:rPr>
                <w:sz w:val="20"/>
                <w:szCs w:val="20"/>
                <w:color w:val="auto"/>
              </w:rPr>
            </w:pPr>
            <w:r>
              <w:rPr>
                <w:rFonts w:ascii="Calibri" w:cs="Calibri" w:eastAsia="Calibri" w:hAnsi="Calibri"/>
                <w:sz w:val="14"/>
                <w:szCs w:val="14"/>
                <w:color w:val="auto"/>
              </w:rPr>
              <w:t>206,821</w:t>
            </w:r>
          </w:p>
        </w:tc>
        <w:tc>
          <w:tcPr>
            <w:tcW w:w="100" w:type="dxa"/>
            <w:vAlign w:val="bottom"/>
            <w:tcBorders>
              <w:bottom w:val="single" w:sz="8" w:color="E7E6E6"/>
              <w:right w:val="single" w:sz="8" w:color="auto"/>
            </w:tcBorders>
            <w:shd w:val="clear" w:color="auto" w:fill="E7E6E6"/>
          </w:tcPr>
          <w:p>
            <w:pPr>
              <w:spacing w:after="0"/>
              <w:rPr>
                <w:sz w:val="16"/>
                <w:szCs w:val="16"/>
                <w:color w:val="auto"/>
              </w:rPr>
            </w:pPr>
          </w:p>
        </w:tc>
        <w:tc>
          <w:tcPr>
            <w:tcW w:w="1240" w:type="dxa"/>
            <w:vAlign w:val="bottom"/>
            <w:tcBorders>
              <w:bottom w:val="single" w:sz="8" w:color="E7E6E6"/>
            </w:tcBorders>
            <w:shd w:val="clear" w:color="auto" w:fill="E7E6E6"/>
          </w:tcPr>
          <w:p>
            <w:pPr>
              <w:jc w:val="right"/>
              <w:ind w:right="48"/>
              <w:spacing w:after="0"/>
              <w:rPr>
                <w:sz w:val="20"/>
                <w:szCs w:val="20"/>
                <w:color w:val="auto"/>
              </w:rPr>
            </w:pPr>
            <w:r>
              <w:rPr>
                <w:rFonts w:ascii="Calibri" w:cs="Calibri" w:eastAsia="Calibri" w:hAnsi="Calibri"/>
                <w:sz w:val="14"/>
                <w:szCs w:val="14"/>
                <w:color w:val="auto"/>
              </w:rPr>
              <w:t>21,992</w:t>
            </w:r>
          </w:p>
        </w:tc>
        <w:tc>
          <w:tcPr>
            <w:tcW w:w="320" w:type="dxa"/>
            <w:vAlign w:val="bottom"/>
            <w:tcBorders>
              <w:bottom w:val="single" w:sz="8" w:color="E7E6E6"/>
              <w:right w:val="single" w:sz="8" w:color="auto"/>
            </w:tcBorders>
            <w:shd w:val="clear" w:color="auto" w:fill="E7E6E6"/>
          </w:tcPr>
          <w:p>
            <w:pPr>
              <w:jc w:val="right"/>
              <w:spacing w:after="0"/>
              <w:rPr>
                <w:sz w:val="20"/>
                <w:szCs w:val="20"/>
                <w:color w:val="auto"/>
              </w:rPr>
            </w:pPr>
            <w:r>
              <w:rPr>
                <w:rFonts w:ascii="Calibri" w:cs="Calibri" w:eastAsia="Calibri" w:hAnsi="Calibri"/>
                <w:sz w:val="14"/>
                <w:szCs w:val="14"/>
                <w:color w:val="auto"/>
              </w:rPr>
              <w:t>6 )</w:t>
            </w:r>
          </w:p>
        </w:tc>
        <w:tc>
          <w:tcPr>
            <w:tcW w:w="140" w:type="dxa"/>
            <w:vAlign w:val="bottom"/>
            <w:tcBorders>
              <w:bottom w:val="single" w:sz="8" w:color="E7E6E6"/>
            </w:tcBorders>
            <w:shd w:val="clear" w:color="auto" w:fill="E7E6E6"/>
          </w:tcPr>
          <w:p>
            <w:pPr>
              <w:jc w:val="right"/>
              <w:spacing w:after="0"/>
              <w:rPr>
                <w:sz w:val="20"/>
                <w:szCs w:val="20"/>
                <w:color w:val="auto"/>
              </w:rPr>
            </w:pPr>
            <w:r>
              <w:rPr>
                <w:rFonts w:ascii="Calibri" w:cs="Calibri" w:eastAsia="Calibri" w:hAnsi="Calibri"/>
                <w:sz w:val="14"/>
                <w:szCs w:val="14"/>
                <w:color w:val="auto"/>
                <w:w w:val="83"/>
              </w:rPr>
              <w:t>$</w:t>
            </w:r>
          </w:p>
        </w:tc>
        <w:tc>
          <w:tcPr>
            <w:tcW w:w="980" w:type="dxa"/>
            <w:vAlign w:val="bottom"/>
            <w:tcBorders>
              <w:bottom w:val="single" w:sz="8" w:color="E7E6E6"/>
              <w:right w:val="single" w:sz="8" w:color="auto"/>
            </w:tcBorders>
            <w:shd w:val="clear" w:color="auto" w:fill="E7E6E6"/>
          </w:tcPr>
          <w:p>
            <w:pPr>
              <w:jc w:val="right"/>
              <w:ind w:right="48"/>
              <w:spacing w:after="0"/>
              <w:rPr>
                <w:sz w:val="20"/>
                <w:szCs w:val="20"/>
                <w:color w:val="auto"/>
              </w:rPr>
            </w:pPr>
            <w:r>
              <w:rPr>
                <w:rFonts w:ascii="Calibri" w:cs="Calibri" w:eastAsia="Calibri" w:hAnsi="Calibri"/>
                <w:sz w:val="14"/>
                <w:szCs w:val="14"/>
                <w:color w:val="auto"/>
              </w:rPr>
              <w:t>768,181</w:t>
            </w:r>
          </w:p>
        </w:tc>
      </w:tr>
      <w:tr>
        <w:trPr>
          <w:trHeight w:val="170"/>
        </w:trPr>
        <w:tc>
          <w:tcPr>
            <w:tcW w:w="2200" w:type="dxa"/>
            <w:vAlign w:val="bottom"/>
            <w:tcBorders>
              <w:left w:val="single" w:sz="8" w:color="auto"/>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Borders>
              <w:right w:val="single" w:sz="8" w:color="auto"/>
            </w:tcBorders>
          </w:tcPr>
          <w:p>
            <w:pPr>
              <w:jc w:val="right"/>
              <w:ind w:right="68"/>
              <w:spacing w:after="0"/>
              <w:rPr>
                <w:sz w:val="20"/>
                <w:szCs w:val="20"/>
                <w:color w:val="auto"/>
              </w:rPr>
            </w:pPr>
            <w:r>
              <w:rPr>
                <w:rFonts w:ascii="Calibri" w:cs="Calibri" w:eastAsia="Calibri" w:hAnsi="Calibri"/>
                <w:sz w:val="14"/>
                <w:szCs w:val="14"/>
                <w:color w:val="auto"/>
              </w:rPr>
              <w:t>(</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Borders>
              <w:right w:val="single" w:sz="8" w:color="auto"/>
            </w:tcBorders>
          </w:tcPr>
          <w:p>
            <w:pPr>
              <w:jc w:val="right"/>
              <w:ind w:right="48"/>
              <w:spacing w:after="0"/>
              <w:rPr>
                <w:sz w:val="20"/>
                <w:szCs w:val="20"/>
                <w:color w:val="auto"/>
              </w:rPr>
            </w:pPr>
            <w:r>
              <w:rPr>
                <w:rFonts w:ascii="Calibri" w:cs="Calibri" w:eastAsia="Calibri" w:hAnsi="Calibri"/>
                <w:sz w:val="14"/>
                <w:szCs w:val="14"/>
                <w:color w:val="auto"/>
              </w:rPr>
              <w:t>(</w:t>
            </w:r>
          </w:p>
        </w:tc>
        <w:tc>
          <w:tcPr>
            <w:tcW w:w="140" w:type="dxa"/>
            <w:vAlign w:val="bottom"/>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r>
      <w:tr>
        <w:trPr>
          <w:trHeight w:val="175"/>
        </w:trPr>
        <w:tc>
          <w:tcPr>
            <w:tcW w:w="2200" w:type="dxa"/>
            <w:vAlign w:val="bottom"/>
            <w:tcBorders>
              <w:left w:val="single" w:sz="8" w:color="auto"/>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680" w:type="dxa"/>
            <w:vAlign w:val="bottom"/>
          </w:tcPr>
          <w:p>
            <w:pPr>
              <w:jc w:val="right"/>
              <w:ind w:right="148"/>
              <w:spacing w:after="0"/>
              <w:rPr>
                <w:sz w:val="20"/>
                <w:szCs w:val="20"/>
                <w:color w:val="auto"/>
              </w:rPr>
            </w:pPr>
            <w:r>
              <w:rPr>
                <w:rFonts w:ascii="Calibri" w:cs="Calibri" w:eastAsia="Calibri" w:hAnsi="Calibri"/>
                <w:sz w:val="14"/>
                <w:szCs w:val="14"/>
                <w:color w:val="auto"/>
              </w:rPr>
              <w:t>6,008</w:t>
            </w:r>
          </w:p>
        </w:tc>
        <w:tc>
          <w:tcPr>
            <w:tcW w:w="24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5 )</w:t>
            </w:r>
          </w:p>
        </w:tc>
        <w:tc>
          <w:tcPr>
            <w:tcW w:w="80" w:type="dxa"/>
            <w:vAlign w:val="bottom"/>
          </w:tcPr>
          <w:p>
            <w:pPr>
              <w:jc w:val="right"/>
              <w:spacing w:after="0"/>
              <w:rPr>
                <w:sz w:val="20"/>
                <w:szCs w:val="20"/>
                <w:color w:val="auto"/>
              </w:rPr>
            </w:pPr>
            <w:r>
              <w:rPr>
                <w:rFonts w:ascii="Calibri" w:cs="Calibri" w:eastAsia="Calibri" w:hAnsi="Calibri"/>
                <w:sz w:val="14"/>
                <w:szCs w:val="14"/>
                <w:color w:val="auto"/>
                <w:w w:val="83"/>
              </w:rPr>
              <w:t>$</w:t>
            </w:r>
          </w:p>
        </w:tc>
        <w:tc>
          <w:tcPr>
            <w:tcW w:w="800" w:type="dxa"/>
            <w:vAlign w:val="bottom"/>
          </w:tcPr>
          <w:p>
            <w:pPr>
              <w:jc w:val="right"/>
              <w:spacing w:after="0"/>
              <w:rPr>
                <w:sz w:val="20"/>
                <w:szCs w:val="20"/>
                <w:color w:val="auto"/>
              </w:rPr>
            </w:pPr>
            <w:r>
              <w:rPr>
                <w:rFonts w:ascii="Calibri" w:cs="Calibri" w:eastAsia="Calibri" w:hAnsi="Calibri"/>
                <w:sz w:val="14"/>
                <w:szCs w:val="14"/>
                <w:color w:val="auto"/>
              </w:rPr>
              <w:t>209,859</w:t>
            </w:r>
          </w:p>
        </w:tc>
        <w:tc>
          <w:tcPr>
            <w:tcW w:w="100" w:type="dxa"/>
            <w:vAlign w:val="bottom"/>
            <w:tcBorders>
              <w:right w:val="single" w:sz="8" w:color="auto"/>
            </w:tcBorders>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Calibri" w:cs="Calibri" w:eastAsia="Calibri" w:hAnsi="Calibri"/>
                <w:sz w:val="14"/>
                <w:szCs w:val="14"/>
                <w:color w:val="auto"/>
              </w:rPr>
              <w:t>22,316</w:t>
            </w:r>
          </w:p>
        </w:tc>
        <w:tc>
          <w:tcPr>
            <w:tcW w:w="32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7 )</w:t>
            </w:r>
          </w:p>
        </w:tc>
        <w:tc>
          <w:tcPr>
            <w:tcW w:w="140" w:type="dxa"/>
            <w:vAlign w:val="bottom"/>
          </w:tcPr>
          <w:p>
            <w:pPr>
              <w:jc w:val="right"/>
              <w:spacing w:after="0"/>
              <w:rPr>
                <w:sz w:val="20"/>
                <w:szCs w:val="20"/>
                <w:color w:val="auto"/>
              </w:rPr>
            </w:pPr>
            <w:r>
              <w:rPr>
                <w:rFonts w:ascii="Calibri" w:cs="Calibri" w:eastAsia="Calibri" w:hAnsi="Calibri"/>
                <w:sz w:val="14"/>
                <w:szCs w:val="14"/>
                <w:color w:val="auto"/>
                <w:w w:val="83"/>
              </w:rPr>
              <w:t>$</w:t>
            </w:r>
          </w:p>
        </w:tc>
        <w:tc>
          <w:tcPr>
            <w:tcW w:w="980" w:type="dxa"/>
            <w:vAlign w:val="bottom"/>
            <w:tcBorders>
              <w:right w:val="single" w:sz="8" w:color="auto"/>
            </w:tcBorders>
          </w:tcPr>
          <w:p>
            <w:pPr>
              <w:jc w:val="right"/>
              <w:ind w:right="48"/>
              <w:spacing w:after="0"/>
              <w:rPr>
                <w:sz w:val="20"/>
                <w:szCs w:val="20"/>
                <w:color w:val="auto"/>
              </w:rPr>
            </w:pPr>
            <w:r>
              <w:rPr>
                <w:rFonts w:ascii="Calibri" w:cs="Calibri" w:eastAsia="Calibri" w:hAnsi="Calibri"/>
                <w:sz w:val="14"/>
                <w:szCs w:val="14"/>
                <w:color w:val="auto"/>
              </w:rPr>
              <w:t>779,498</w:t>
            </w:r>
          </w:p>
        </w:tc>
      </w:tr>
      <w:tr>
        <w:trPr>
          <w:trHeight w:val="33"/>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r>
      <w:tr>
        <w:trPr>
          <w:trHeight w:val="163"/>
        </w:trPr>
        <w:tc>
          <w:tcPr>
            <w:tcW w:w="2200" w:type="dxa"/>
            <w:vAlign w:val="bottom"/>
            <w:tcBorders>
              <w:left w:val="single" w:sz="8" w:color="auto"/>
              <w:right w:val="single" w:sz="8" w:color="auto"/>
            </w:tcBorders>
            <w:shd w:val="clear" w:color="auto" w:fill="E7E6E6"/>
          </w:tcPr>
          <w:p>
            <w:pPr>
              <w:spacing w:after="0"/>
              <w:rPr>
                <w:sz w:val="14"/>
                <w:szCs w:val="14"/>
                <w:color w:val="auto"/>
              </w:rPr>
            </w:pPr>
          </w:p>
        </w:tc>
        <w:tc>
          <w:tcPr>
            <w:tcW w:w="760" w:type="dxa"/>
            <w:vAlign w:val="bottom"/>
            <w:tcBorders>
              <w:right w:val="single" w:sz="8" w:color="auto"/>
            </w:tcBorders>
            <w:shd w:val="clear" w:color="auto" w:fill="E7E6E6"/>
          </w:tcPr>
          <w:p>
            <w:pPr>
              <w:spacing w:after="0"/>
              <w:rPr>
                <w:sz w:val="14"/>
                <w:szCs w:val="14"/>
                <w:color w:val="auto"/>
              </w:rPr>
            </w:pPr>
          </w:p>
        </w:tc>
        <w:tc>
          <w:tcPr>
            <w:tcW w:w="880" w:type="dxa"/>
            <w:vAlign w:val="bottom"/>
            <w:shd w:val="clear" w:color="auto" w:fill="E7E6E6"/>
          </w:tcPr>
          <w:p>
            <w:pPr>
              <w:spacing w:after="0"/>
              <w:rPr>
                <w:sz w:val="14"/>
                <w:szCs w:val="14"/>
                <w:color w:val="auto"/>
              </w:rPr>
            </w:pPr>
          </w:p>
        </w:tc>
        <w:tc>
          <w:tcPr>
            <w:tcW w:w="100" w:type="dxa"/>
            <w:vAlign w:val="bottom"/>
            <w:tcBorders>
              <w:right w:val="single" w:sz="8" w:color="auto"/>
            </w:tcBorders>
            <w:shd w:val="clear" w:color="auto" w:fill="E7E6E6"/>
          </w:tcPr>
          <w:p>
            <w:pPr>
              <w:spacing w:after="0"/>
              <w:rPr>
                <w:sz w:val="14"/>
                <w:szCs w:val="14"/>
                <w:color w:val="auto"/>
              </w:rPr>
            </w:pPr>
          </w:p>
        </w:tc>
        <w:tc>
          <w:tcPr>
            <w:tcW w:w="1100" w:type="dxa"/>
            <w:vAlign w:val="bottom"/>
            <w:tcBorders>
              <w:right w:val="single" w:sz="8" w:color="auto"/>
            </w:tcBorders>
            <w:shd w:val="clear" w:color="auto" w:fill="E7E6E6"/>
          </w:tcPr>
          <w:p>
            <w:pPr>
              <w:spacing w:after="0"/>
              <w:rPr>
                <w:sz w:val="14"/>
                <w:szCs w:val="14"/>
                <w:color w:val="auto"/>
              </w:rPr>
            </w:pPr>
          </w:p>
        </w:tc>
        <w:tc>
          <w:tcPr>
            <w:tcW w:w="760" w:type="dxa"/>
            <w:vAlign w:val="bottom"/>
            <w:tcBorders>
              <w:right w:val="single" w:sz="8" w:color="auto"/>
            </w:tcBorders>
            <w:shd w:val="clear" w:color="auto" w:fill="E7E6E6"/>
          </w:tcPr>
          <w:p>
            <w:pPr>
              <w:spacing w:after="0"/>
              <w:rPr>
                <w:sz w:val="14"/>
                <w:szCs w:val="14"/>
                <w:color w:val="auto"/>
              </w:rPr>
            </w:pPr>
          </w:p>
        </w:tc>
        <w:tc>
          <w:tcPr>
            <w:tcW w:w="860" w:type="dxa"/>
            <w:vAlign w:val="bottom"/>
            <w:tcBorders>
              <w:right w:val="single" w:sz="8" w:color="auto"/>
            </w:tcBorders>
            <w:shd w:val="clear" w:color="auto" w:fill="E7E6E6"/>
          </w:tcPr>
          <w:p>
            <w:pPr>
              <w:spacing w:after="0"/>
              <w:rPr>
                <w:sz w:val="14"/>
                <w:szCs w:val="14"/>
                <w:color w:val="auto"/>
              </w:rPr>
            </w:pPr>
          </w:p>
        </w:tc>
        <w:tc>
          <w:tcPr>
            <w:tcW w:w="680" w:type="dxa"/>
            <w:vAlign w:val="bottom"/>
            <w:shd w:val="clear" w:color="auto" w:fill="E7E6E6"/>
          </w:tcPr>
          <w:p>
            <w:pPr>
              <w:spacing w:after="0"/>
              <w:rPr>
                <w:sz w:val="14"/>
                <w:szCs w:val="14"/>
                <w:color w:val="auto"/>
              </w:rPr>
            </w:pPr>
          </w:p>
        </w:tc>
        <w:tc>
          <w:tcPr>
            <w:tcW w:w="240" w:type="dxa"/>
            <w:vAlign w:val="bottom"/>
            <w:tcBorders>
              <w:right w:val="single" w:sz="8" w:color="auto"/>
            </w:tcBorders>
            <w:shd w:val="clear" w:color="auto" w:fill="E7E6E6"/>
          </w:tcPr>
          <w:p>
            <w:pPr>
              <w:jc w:val="right"/>
              <w:ind w:right="68"/>
              <w:spacing w:after="0" w:line="164" w:lineRule="exact"/>
              <w:rPr>
                <w:sz w:val="20"/>
                <w:szCs w:val="20"/>
                <w:color w:val="auto"/>
              </w:rPr>
            </w:pPr>
            <w:r>
              <w:rPr>
                <w:rFonts w:ascii="Calibri" w:cs="Calibri" w:eastAsia="Calibri" w:hAnsi="Calibri"/>
                <w:sz w:val="14"/>
                <w:szCs w:val="14"/>
                <w:color w:val="auto"/>
              </w:rPr>
              <w:t>(</w:t>
            </w:r>
          </w:p>
        </w:tc>
        <w:tc>
          <w:tcPr>
            <w:tcW w:w="80" w:type="dxa"/>
            <w:vAlign w:val="bottom"/>
            <w:shd w:val="clear" w:color="auto" w:fill="E7E6E6"/>
          </w:tcPr>
          <w:p>
            <w:pPr>
              <w:spacing w:after="0"/>
              <w:rPr>
                <w:sz w:val="14"/>
                <w:szCs w:val="14"/>
                <w:color w:val="auto"/>
              </w:rPr>
            </w:pPr>
          </w:p>
        </w:tc>
        <w:tc>
          <w:tcPr>
            <w:tcW w:w="800" w:type="dxa"/>
            <w:vAlign w:val="bottom"/>
            <w:shd w:val="clear" w:color="auto" w:fill="E7E6E6"/>
          </w:tcPr>
          <w:p>
            <w:pPr>
              <w:spacing w:after="0"/>
              <w:rPr>
                <w:sz w:val="14"/>
                <w:szCs w:val="14"/>
                <w:color w:val="auto"/>
              </w:rPr>
            </w:pPr>
          </w:p>
        </w:tc>
        <w:tc>
          <w:tcPr>
            <w:tcW w:w="100" w:type="dxa"/>
            <w:vAlign w:val="bottom"/>
            <w:tcBorders>
              <w:right w:val="single" w:sz="8" w:color="auto"/>
            </w:tcBorders>
            <w:shd w:val="clear" w:color="auto" w:fill="E7E6E6"/>
          </w:tcPr>
          <w:p>
            <w:pPr>
              <w:spacing w:after="0"/>
              <w:rPr>
                <w:sz w:val="14"/>
                <w:szCs w:val="14"/>
                <w:color w:val="auto"/>
              </w:rPr>
            </w:pPr>
          </w:p>
        </w:tc>
        <w:tc>
          <w:tcPr>
            <w:tcW w:w="1240" w:type="dxa"/>
            <w:vAlign w:val="bottom"/>
            <w:shd w:val="clear" w:color="auto" w:fill="E7E6E6"/>
          </w:tcPr>
          <w:p>
            <w:pPr>
              <w:spacing w:after="0"/>
              <w:rPr>
                <w:sz w:val="14"/>
                <w:szCs w:val="14"/>
                <w:color w:val="auto"/>
              </w:rPr>
            </w:pPr>
          </w:p>
        </w:tc>
        <w:tc>
          <w:tcPr>
            <w:tcW w:w="320" w:type="dxa"/>
            <w:vAlign w:val="bottom"/>
            <w:tcBorders>
              <w:right w:val="single" w:sz="8" w:color="auto"/>
            </w:tcBorders>
            <w:shd w:val="clear" w:color="auto" w:fill="E7E6E6"/>
          </w:tcPr>
          <w:p>
            <w:pPr>
              <w:jc w:val="right"/>
              <w:ind w:right="48"/>
              <w:spacing w:after="0" w:line="164" w:lineRule="exact"/>
              <w:rPr>
                <w:sz w:val="20"/>
                <w:szCs w:val="20"/>
                <w:color w:val="auto"/>
              </w:rPr>
            </w:pPr>
            <w:r>
              <w:rPr>
                <w:rFonts w:ascii="Calibri" w:cs="Calibri" w:eastAsia="Calibri" w:hAnsi="Calibri"/>
                <w:sz w:val="14"/>
                <w:szCs w:val="14"/>
                <w:color w:val="auto"/>
              </w:rPr>
              <w:t>(</w:t>
            </w:r>
          </w:p>
        </w:tc>
        <w:tc>
          <w:tcPr>
            <w:tcW w:w="140" w:type="dxa"/>
            <w:vAlign w:val="bottom"/>
            <w:shd w:val="clear" w:color="auto" w:fill="E7E6E6"/>
          </w:tcPr>
          <w:p>
            <w:pPr>
              <w:spacing w:after="0"/>
              <w:rPr>
                <w:sz w:val="14"/>
                <w:szCs w:val="14"/>
                <w:color w:val="auto"/>
              </w:rPr>
            </w:pPr>
          </w:p>
        </w:tc>
        <w:tc>
          <w:tcPr>
            <w:tcW w:w="980" w:type="dxa"/>
            <w:vAlign w:val="bottom"/>
            <w:tcBorders>
              <w:right w:val="single" w:sz="8" w:color="auto"/>
            </w:tcBorders>
            <w:shd w:val="clear" w:color="auto" w:fill="E7E6E6"/>
          </w:tcPr>
          <w:p>
            <w:pPr>
              <w:spacing w:after="0"/>
              <w:rPr>
                <w:sz w:val="14"/>
                <w:szCs w:val="14"/>
                <w:color w:val="auto"/>
              </w:rPr>
            </w:pPr>
          </w:p>
        </w:tc>
      </w:tr>
      <w:tr>
        <w:trPr>
          <w:trHeight w:val="188"/>
        </w:trPr>
        <w:tc>
          <w:tcPr>
            <w:tcW w:w="2200" w:type="dxa"/>
            <w:vAlign w:val="bottom"/>
            <w:tcBorders>
              <w:left w:val="single" w:sz="8" w:color="auto"/>
              <w:bottom w:val="single" w:sz="8" w:color="E7E6E6"/>
              <w:right w:val="single" w:sz="8" w:color="auto"/>
            </w:tcBorders>
            <w:shd w:val="clear" w:color="auto" w:fill="E7E6E6"/>
          </w:tcPr>
          <w:p>
            <w:pPr>
              <w:ind w:left="40"/>
              <w:spacing w:after="0"/>
              <w:rPr>
                <w:sz w:val="20"/>
                <w:szCs w:val="20"/>
                <w:color w:val="auto"/>
              </w:rPr>
            </w:pPr>
            <w:r>
              <w:rPr>
                <w:rFonts w:ascii="Calibri" w:cs="Calibri" w:eastAsia="Calibri" w:hAnsi="Calibri"/>
                <w:sz w:val="14"/>
                <w:szCs w:val="14"/>
                <w:color w:val="auto"/>
              </w:rPr>
              <w:t>D. Jones</w:t>
            </w:r>
          </w:p>
        </w:tc>
        <w:tc>
          <w:tcPr>
            <w:tcW w:w="760" w:type="dxa"/>
            <w:vAlign w:val="bottom"/>
            <w:tcBorders>
              <w:bottom w:val="single" w:sz="8" w:color="E7E6E6"/>
              <w:right w:val="single" w:sz="8" w:color="auto"/>
            </w:tcBorders>
            <w:shd w:val="clear" w:color="auto" w:fill="E7E6E6"/>
          </w:tcPr>
          <w:p>
            <w:pPr>
              <w:ind w:left="480"/>
              <w:spacing w:after="0"/>
              <w:rPr>
                <w:sz w:val="20"/>
                <w:szCs w:val="20"/>
                <w:color w:val="auto"/>
              </w:rPr>
            </w:pPr>
            <w:r>
              <w:rPr>
                <w:rFonts w:ascii="Calibri" w:cs="Calibri" w:eastAsia="Calibri" w:hAnsi="Calibri"/>
                <w:sz w:val="14"/>
                <w:szCs w:val="14"/>
                <w:color w:val="auto"/>
              </w:rPr>
              <w:t>—</w:t>
            </w:r>
          </w:p>
        </w:tc>
        <w:tc>
          <w:tcPr>
            <w:tcW w:w="880" w:type="dxa"/>
            <w:vAlign w:val="bottom"/>
            <w:tcBorders>
              <w:bottom w:val="single" w:sz="8" w:color="E7E6E6"/>
            </w:tcBorders>
            <w:shd w:val="clear" w:color="auto" w:fill="E7E6E6"/>
          </w:tcPr>
          <w:p>
            <w:pPr>
              <w:ind w:left="720"/>
              <w:spacing w:after="0"/>
              <w:rPr>
                <w:sz w:val="20"/>
                <w:szCs w:val="20"/>
                <w:color w:val="auto"/>
              </w:rPr>
            </w:pPr>
            <w:r>
              <w:rPr>
                <w:rFonts w:ascii="Calibri" w:cs="Calibri" w:eastAsia="Calibri" w:hAnsi="Calibri"/>
                <w:sz w:val="14"/>
                <w:szCs w:val="14"/>
                <w:color w:val="auto"/>
              </w:rPr>
              <w:t>—</w:t>
            </w:r>
          </w:p>
        </w:tc>
        <w:tc>
          <w:tcPr>
            <w:tcW w:w="100" w:type="dxa"/>
            <w:vAlign w:val="bottom"/>
            <w:tcBorders>
              <w:bottom w:val="single" w:sz="8" w:color="E7E6E6"/>
              <w:right w:val="single" w:sz="8" w:color="auto"/>
            </w:tcBorders>
            <w:shd w:val="clear" w:color="auto" w:fill="E7E6E6"/>
          </w:tcPr>
          <w:p>
            <w:pPr>
              <w:spacing w:after="0"/>
              <w:rPr>
                <w:sz w:val="16"/>
                <w:szCs w:val="16"/>
                <w:color w:val="auto"/>
              </w:rPr>
            </w:pPr>
          </w:p>
        </w:tc>
        <w:tc>
          <w:tcPr>
            <w:tcW w:w="1100" w:type="dxa"/>
            <w:vAlign w:val="bottom"/>
            <w:tcBorders>
              <w:bottom w:val="single" w:sz="8" w:color="E7E6E6"/>
              <w:right w:val="single" w:sz="8" w:color="auto"/>
            </w:tcBorders>
            <w:shd w:val="clear" w:color="auto" w:fill="E7E6E6"/>
          </w:tcPr>
          <w:p>
            <w:pPr>
              <w:ind w:left="840"/>
              <w:spacing w:after="0"/>
              <w:rPr>
                <w:sz w:val="20"/>
                <w:szCs w:val="20"/>
                <w:color w:val="auto"/>
              </w:rPr>
            </w:pPr>
            <w:r>
              <w:rPr>
                <w:rFonts w:ascii="Calibri" w:cs="Calibri" w:eastAsia="Calibri" w:hAnsi="Calibri"/>
                <w:sz w:val="14"/>
                <w:szCs w:val="14"/>
                <w:color w:val="auto"/>
              </w:rPr>
              <w:t>—</w:t>
            </w:r>
          </w:p>
        </w:tc>
        <w:tc>
          <w:tcPr>
            <w:tcW w:w="760" w:type="dxa"/>
            <w:vAlign w:val="bottom"/>
            <w:tcBorders>
              <w:bottom w:val="single" w:sz="8" w:color="E7E6E6"/>
              <w:right w:val="single" w:sz="8" w:color="auto"/>
            </w:tcBorders>
            <w:shd w:val="clear" w:color="auto" w:fill="E7E6E6"/>
          </w:tcPr>
          <w:p>
            <w:pPr>
              <w:ind w:left="500"/>
              <w:spacing w:after="0"/>
              <w:rPr>
                <w:sz w:val="20"/>
                <w:szCs w:val="20"/>
                <w:color w:val="auto"/>
              </w:rPr>
            </w:pPr>
            <w:r>
              <w:rPr>
                <w:rFonts w:ascii="Calibri" w:cs="Calibri" w:eastAsia="Calibri" w:hAnsi="Calibri"/>
                <w:sz w:val="14"/>
                <w:szCs w:val="14"/>
                <w:color w:val="auto"/>
                <w:w w:val="97"/>
              </w:rPr>
              <w:t>N/A</w:t>
            </w:r>
          </w:p>
        </w:tc>
        <w:tc>
          <w:tcPr>
            <w:tcW w:w="860" w:type="dxa"/>
            <w:vAlign w:val="bottom"/>
            <w:tcBorders>
              <w:bottom w:val="single" w:sz="8" w:color="E7E6E6"/>
              <w:right w:val="single" w:sz="8" w:color="auto"/>
            </w:tcBorders>
            <w:shd w:val="clear" w:color="auto" w:fill="E7E6E6"/>
          </w:tcPr>
          <w:p>
            <w:pPr>
              <w:ind w:left="620"/>
              <w:spacing w:after="0"/>
              <w:rPr>
                <w:sz w:val="20"/>
                <w:szCs w:val="20"/>
                <w:color w:val="auto"/>
              </w:rPr>
            </w:pPr>
            <w:r>
              <w:rPr>
                <w:rFonts w:ascii="Calibri" w:cs="Calibri" w:eastAsia="Calibri" w:hAnsi="Calibri"/>
                <w:sz w:val="14"/>
                <w:szCs w:val="14"/>
                <w:color w:val="auto"/>
                <w:w w:val="88"/>
              </w:rPr>
              <w:t>N/A</w:t>
            </w:r>
          </w:p>
        </w:tc>
        <w:tc>
          <w:tcPr>
            <w:tcW w:w="680" w:type="dxa"/>
            <w:vAlign w:val="bottom"/>
            <w:tcBorders>
              <w:bottom w:val="single" w:sz="8" w:color="E7E6E6"/>
            </w:tcBorders>
            <w:shd w:val="clear" w:color="auto" w:fill="E7E6E6"/>
          </w:tcPr>
          <w:p>
            <w:pPr>
              <w:jc w:val="right"/>
              <w:ind w:right="148"/>
              <w:spacing w:after="0"/>
              <w:rPr>
                <w:sz w:val="20"/>
                <w:szCs w:val="20"/>
                <w:color w:val="auto"/>
              </w:rPr>
            </w:pPr>
            <w:r>
              <w:rPr>
                <w:rFonts w:ascii="Calibri" w:cs="Calibri" w:eastAsia="Calibri" w:hAnsi="Calibri"/>
                <w:sz w:val="14"/>
                <w:szCs w:val="14"/>
                <w:color w:val="auto"/>
              </w:rPr>
              <w:t>5,602</w:t>
            </w:r>
          </w:p>
        </w:tc>
        <w:tc>
          <w:tcPr>
            <w:tcW w:w="240" w:type="dxa"/>
            <w:vAlign w:val="bottom"/>
            <w:tcBorders>
              <w:bottom w:val="single" w:sz="8" w:color="E7E6E6"/>
              <w:right w:val="single" w:sz="8" w:color="auto"/>
            </w:tcBorders>
            <w:shd w:val="clear" w:color="auto" w:fill="E7E6E6"/>
          </w:tcPr>
          <w:p>
            <w:pPr>
              <w:jc w:val="right"/>
              <w:spacing w:after="0"/>
              <w:rPr>
                <w:sz w:val="20"/>
                <w:szCs w:val="20"/>
                <w:color w:val="auto"/>
              </w:rPr>
            </w:pPr>
            <w:r>
              <w:rPr>
                <w:rFonts w:ascii="Calibri" w:cs="Calibri" w:eastAsia="Calibri" w:hAnsi="Calibri"/>
                <w:sz w:val="14"/>
                <w:szCs w:val="14"/>
                <w:color w:val="auto"/>
              </w:rPr>
              <w:t>4 )</w:t>
            </w:r>
          </w:p>
        </w:tc>
        <w:tc>
          <w:tcPr>
            <w:tcW w:w="80" w:type="dxa"/>
            <w:vAlign w:val="bottom"/>
            <w:tcBorders>
              <w:bottom w:val="single" w:sz="8" w:color="E7E6E6"/>
            </w:tcBorders>
            <w:shd w:val="clear" w:color="auto" w:fill="E7E6E6"/>
          </w:tcPr>
          <w:p>
            <w:pPr>
              <w:jc w:val="right"/>
              <w:spacing w:after="0"/>
              <w:rPr>
                <w:sz w:val="20"/>
                <w:szCs w:val="20"/>
                <w:color w:val="auto"/>
              </w:rPr>
            </w:pPr>
            <w:r>
              <w:rPr>
                <w:rFonts w:ascii="Calibri" w:cs="Calibri" w:eastAsia="Calibri" w:hAnsi="Calibri"/>
                <w:sz w:val="14"/>
                <w:szCs w:val="14"/>
                <w:color w:val="auto"/>
                <w:w w:val="83"/>
              </w:rPr>
              <w:t>$</w:t>
            </w:r>
          </w:p>
        </w:tc>
        <w:tc>
          <w:tcPr>
            <w:tcW w:w="800" w:type="dxa"/>
            <w:vAlign w:val="bottom"/>
            <w:tcBorders>
              <w:bottom w:val="single" w:sz="8" w:color="E7E6E6"/>
            </w:tcBorders>
            <w:shd w:val="clear" w:color="auto" w:fill="E7E6E6"/>
          </w:tcPr>
          <w:p>
            <w:pPr>
              <w:jc w:val="right"/>
              <w:spacing w:after="0"/>
              <w:rPr>
                <w:sz w:val="20"/>
                <w:szCs w:val="20"/>
                <w:color w:val="auto"/>
              </w:rPr>
            </w:pPr>
            <w:r>
              <w:rPr>
                <w:rFonts w:ascii="Calibri" w:cs="Calibri" w:eastAsia="Calibri" w:hAnsi="Calibri"/>
                <w:sz w:val="14"/>
                <w:szCs w:val="14"/>
                <w:color w:val="auto"/>
              </w:rPr>
              <w:t>195,678</w:t>
            </w:r>
          </w:p>
        </w:tc>
        <w:tc>
          <w:tcPr>
            <w:tcW w:w="100" w:type="dxa"/>
            <w:vAlign w:val="bottom"/>
            <w:tcBorders>
              <w:bottom w:val="single" w:sz="8" w:color="E7E6E6"/>
              <w:right w:val="single" w:sz="8" w:color="auto"/>
            </w:tcBorders>
            <w:shd w:val="clear" w:color="auto" w:fill="E7E6E6"/>
          </w:tcPr>
          <w:p>
            <w:pPr>
              <w:spacing w:after="0"/>
              <w:rPr>
                <w:sz w:val="16"/>
                <w:szCs w:val="16"/>
                <w:color w:val="auto"/>
              </w:rPr>
            </w:pPr>
          </w:p>
        </w:tc>
        <w:tc>
          <w:tcPr>
            <w:tcW w:w="1240" w:type="dxa"/>
            <w:vAlign w:val="bottom"/>
            <w:tcBorders>
              <w:bottom w:val="single" w:sz="8" w:color="E7E6E6"/>
            </w:tcBorders>
            <w:shd w:val="clear" w:color="auto" w:fill="E7E6E6"/>
          </w:tcPr>
          <w:p>
            <w:pPr>
              <w:jc w:val="right"/>
              <w:ind w:right="48"/>
              <w:spacing w:after="0"/>
              <w:rPr>
                <w:sz w:val="20"/>
                <w:szCs w:val="20"/>
                <w:color w:val="auto"/>
              </w:rPr>
            </w:pPr>
            <w:r>
              <w:rPr>
                <w:rFonts w:ascii="Calibri" w:cs="Calibri" w:eastAsia="Calibri" w:hAnsi="Calibri"/>
                <w:sz w:val="14"/>
                <w:szCs w:val="14"/>
                <w:color w:val="auto"/>
              </w:rPr>
              <w:t>20,808</w:t>
            </w:r>
          </w:p>
        </w:tc>
        <w:tc>
          <w:tcPr>
            <w:tcW w:w="320" w:type="dxa"/>
            <w:vAlign w:val="bottom"/>
            <w:tcBorders>
              <w:bottom w:val="single" w:sz="8" w:color="E7E6E6"/>
              <w:right w:val="single" w:sz="8" w:color="auto"/>
            </w:tcBorders>
            <w:shd w:val="clear" w:color="auto" w:fill="E7E6E6"/>
          </w:tcPr>
          <w:p>
            <w:pPr>
              <w:jc w:val="right"/>
              <w:spacing w:after="0"/>
              <w:rPr>
                <w:sz w:val="20"/>
                <w:szCs w:val="20"/>
                <w:color w:val="auto"/>
              </w:rPr>
            </w:pPr>
            <w:r>
              <w:rPr>
                <w:rFonts w:ascii="Calibri" w:cs="Calibri" w:eastAsia="Calibri" w:hAnsi="Calibri"/>
                <w:sz w:val="14"/>
                <w:szCs w:val="14"/>
                <w:color w:val="auto"/>
              </w:rPr>
              <w:t>6 )</w:t>
            </w:r>
          </w:p>
        </w:tc>
        <w:tc>
          <w:tcPr>
            <w:tcW w:w="140" w:type="dxa"/>
            <w:vAlign w:val="bottom"/>
            <w:tcBorders>
              <w:bottom w:val="single" w:sz="8" w:color="E7E6E6"/>
            </w:tcBorders>
            <w:shd w:val="clear" w:color="auto" w:fill="E7E6E6"/>
          </w:tcPr>
          <w:p>
            <w:pPr>
              <w:jc w:val="right"/>
              <w:spacing w:after="0"/>
              <w:rPr>
                <w:sz w:val="20"/>
                <w:szCs w:val="20"/>
                <w:color w:val="auto"/>
              </w:rPr>
            </w:pPr>
            <w:r>
              <w:rPr>
                <w:rFonts w:ascii="Calibri" w:cs="Calibri" w:eastAsia="Calibri" w:hAnsi="Calibri"/>
                <w:sz w:val="14"/>
                <w:szCs w:val="14"/>
                <w:color w:val="auto"/>
                <w:w w:val="83"/>
              </w:rPr>
              <w:t>$</w:t>
            </w:r>
          </w:p>
        </w:tc>
        <w:tc>
          <w:tcPr>
            <w:tcW w:w="980" w:type="dxa"/>
            <w:vAlign w:val="bottom"/>
            <w:tcBorders>
              <w:bottom w:val="single" w:sz="8" w:color="E7E6E6"/>
              <w:right w:val="single" w:sz="8" w:color="auto"/>
            </w:tcBorders>
            <w:shd w:val="clear" w:color="auto" w:fill="E7E6E6"/>
          </w:tcPr>
          <w:p>
            <w:pPr>
              <w:jc w:val="right"/>
              <w:ind w:right="48"/>
              <w:spacing w:after="0"/>
              <w:rPr>
                <w:sz w:val="20"/>
                <w:szCs w:val="20"/>
                <w:color w:val="auto"/>
              </w:rPr>
            </w:pPr>
            <w:r>
              <w:rPr>
                <w:rFonts w:ascii="Calibri" w:cs="Calibri" w:eastAsia="Calibri" w:hAnsi="Calibri"/>
                <w:sz w:val="14"/>
                <w:szCs w:val="14"/>
                <w:color w:val="auto"/>
              </w:rPr>
              <w:t>726,823</w:t>
            </w:r>
          </w:p>
        </w:tc>
      </w:tr>
      <w:tr>
        <w:trPr>
          <w:trHeight w:val="170"/>
        </w:trPr>
        <w:tc>
          <w:tcPr>
            <w:tcW w:w="2200" w:type="dxa"/>
            <w:vAlign w:val="bottom"/>
            <w:tcBorders>
              <w:left w:val="single" w:sz="8" w:color="auto"/>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Borders>
              <w:right w:val="single" w:sz="8" w:color="auto"/>
            </w:tcBorders>
          </w:tcPr>
          <w:p>
            <w:pPr>
              <w:jc w:val="right"/>
              <w:ind w:right="68"/>
              <w:spacing w:after="0"/>
              <w:rPr>
                <w:sz w:val="20"/>
                <w:szCs w:val="20"/>
                <w:color w:val="auto"/>
              </w:rPr>
            </w:pPr>
            <w:r>
              <w:rPr>
                <w:rFonts w:ascii="Calibri" w:cs="Calibri" w:eastAsia="Calibri" w:hAnsi="Calibri"/>
                <w:sz w:val="14"/>
                <w:szCs w:val="14"/>
                <w:color w:val="auto"/>
              </w:rPr>
              <w:t>(</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Borders>
              <w:right w:val="single" w:sz="8" w:color="auto"/>
            </w:tcBorders>
          </w:tcPr>
          <w:p>
            <w:pPr>
              <w:jc w:val="right"/>
              <w:ind w:right="48"/>
              <w:spacing w:after="0"/>
              <w:rPr>
                <w:sz w:val="20"/>
                <w:szCs w:val="20"/>
                <w:color w:val="auto"/>
              </w:rPr>
            </w:pPr>
            <w:r>
              <w:rPr>
                <w:rFonts w:ascii="Calibri" w:cs="Calibri" w:eastAsia="Calibri" w:hAnsi="Calibri"/>
                <w:sz w:val="14"/>
                <w:szCs w:val="14"/>
                <w:color w:val="auto"/>
              </w:rPr>
              <w:t>(</w:t>
            </w:r>
          </w:p>
        </w:tc>
        <w:tc>
          <w:tcPr>
            <w:tcW w:w="140" w:type="dxa"/>
            <w:vAlign w:val="bottom"/>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r>
      <w:tr>
        <w:trPr>
          <w:trHeight w:val="175"/>
        </w:trPr>
        <w:tc>
          <w:tcPr>
            <w:tcW w:w="2200" w:type="dxa"/>
            <w:vAlign w:val="bottom"/>
            <w:tcBorders>
              <w:left w:val="single" w:sz="8" w:color="auto"/>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680" w:type="dxa"/>
            <w:vAlign w:val="bottom"/>
          </w:tcPr>
          <w:p>
            <w:pPr>
              <w:jc w:val="right"/>
              <w:ind w:right="148"/>
              <w:spacing w:after="0"/>
              <w:rPr>
                <w:sz w:val="20"/>
                <w:szCs w:val="20"/>
                <w:color w:val="auto"/>
              </w:rPr>
            </w:pPr>
            <w:r>
              <w:rPr>
                <w:rFonts w:ascii="Calibri" w:cs="Calibri" w:eastAsia="Calibri" w:hAnsi="Calibri"/>
                <w:sz w:val="14"/>
                <w:szCs w:val="14"/>
                <w:color w:val="auto"/>
              </w:rPr>
              <w:t>5,132</w:t>
            </w:r>
          </w:p>
        </w:tc>
        <w:tc>
          <w:tcPr>
            <w:tcW w:w="24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5 )</w:t>
            </w:r>
          </w:p>
        </w:tc>
        <w:tc>
          <w:tcPr>
            <w:tcW w:w="80" w:type="dxa"/>
            <w:vAlign w:val="bottom"/>
          </w:tcPr>
          <w:p>
            <w:pPr>
              <w:jc w:val="right"/>
              <w:spacing w:after="0"/>
              <w:rPr>
                <w:sz w:val="20"/>
                <w:szCs w:val="20"/>
                <w:color w:val="auto"/>
              </w:rPr>
            </w:pPr>
            <w:r>
              <w:rPr>
                <w:rFonts w:ascii="Calibri" w:cs="Calibri" w:eastAsia="Calibri" w:hAnsi="Calibri"/>
                <w:sz w:val="14"/>
                <w:szCs w:val="14"/>
                <w:color w:val="auto"/>
                <w:w w:val="83"/>
              </w:rPr>
              <w:t>$</w:t>
            </w:r>
          </w:p>
        </w:tc>
        <w:tc>
          <w:tcPr>
            <w:tcW w:w="800" w:type="dxa"/>
            <w:vAlign w:val="bottom"/>
          </w:tcPr>
          <w:p>
            <w:pPr>
              <w:jc w:val="right"/>
              <w:spacing w:after="0"/>
              <w:rPr>
                <w:sz w:val="20"/>
                <w:szCs w:val="20"/>
                <w:color w:val="auto"/>
              </w:rPr>
            </w:pPr>
            <w:r>
              <w:rPr>
                <w:rFonts w:ascii="Calibri" w:cs="Calibri" w:eastAsia="Calibri" w:hAnsi="Calibri"/>
                <w:sz w:val="14"/>
                <w:szCs w:val="14"/>
                <w:color w:val="auto"/>
              </w:rPr>
              <w:t>179,261</w:t>
            </w:r>
          </w:p>
        </w:tc>
        <w:tc>
          <w:tcPr>
            <w:tcW w:w="100" w:type="dxa"/>
            <w:vAlign w:val="bottom"/>
            <w:tcBorders>
              <w:right w:val="single" w:sz="8" w:color="auto"/>
            </w:tcBorders>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Calibri" w:cs="Calibri" w:eastAsia="Calibri" w:hAnsi="Calibri"/>
                <w:sz w:val="14"/>
                <w:szCs w:val="14"/>
                <w:color w:val="auto"/>
              </w:rPr>
              <w:t>19,062</w:t>
            </w:r>
          </w:p>
        </w:tc>
        <w:tc>
          <w:tcPr>
            <w:tcW w:w="32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7 )</w:t>
            </w:r>
          </w:p>
        </w:tc>
        <w:tc>
          <w:tcPr>
            <w:tcW w:w="140" w:type="dxa"/>
            <w:vAlign w:val="bottom"/>
          </w:tcPr>
          <w:p>
            <w:pPr>
              <w:jc w:val="right"/>
              <w:spacing w:after="0"/>
              <w:rPr>
                <w:sz w:val="20"/>
                <w:szCs w:val="20"/>
                <w:color w:val="auto"/>
              </w:rPr>
            </w:pPr>
            <w:r>
              <w:rPr>
                <w:rFonts w:ascii="Calibri" w:cs="Calibri" w:eastAsia="Calibri" w:hAnsi="Calibri"/>
                <w:sz w:val="14"/>
                <w:szCs w:val="14"/>
                <w:color w:val="auto"/>
                <w:w w:val="83"/>
              </w:rPr>
              <w:t>$</w:t>
            </w:r>
          </w:p>
        </w:tc>
        <w:tc>
          <w:tcPr>
            <w:tcW w:w="980" w:type="dxa"/>
            <w:vAlign w:val="bottom"/>
            <w:tcBorders>
              <w:right w:val="single" w:sz="8" w:color="auto"/>
            </w:tcBorders>
          </w:tcPr>
          <w:p>
            <w:pPr>
              <w:jc w:val="right"/>
              <w:ind w:right="48"/>
              <w:spacing w:after="0"/>
              <w:rPr>
                <w:sz w:val="20"/>
                <w:szCs w:val="20"/>
                <w:color w:val="auto"/>
              </w:rPr>
            </w:pPr>
            <w:r>
              <w:rPr>
                <w:rFonts w:ascii="Calibri" w:cs="Calibri" w:eastAsia="Calibri" w:hAnsi="Calibri"/>
                <w:sz w:val="14"/>
                <w:szCs w:val="14"/>
                <w:color w:val="auto"/>
              </w:rPr>
              <w:t>665,836</w:t>
            </w:r>
          </w:p>
        </w:tc>
      </w:tr>
      <w:tr>
        <w:trPr>
          <w:trHeight w:val="33"/>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r>
      <w:tr>
        <w:trPr>
          <w:trHeight w:val="163"/>
        </w:trPr>
        <w:tc>
          <w:tcPr>
            <w:tcW w:w="2200" w:type="dxa"/>
            <w:vAlign w:val="bottom"/>
            <w:tcBorders>
              <w:left w:val="single" w:sz="8" w:color="auto"/>
              <w:right w:val="single" w:sz="8" w:color="auto"/>
            </w:tcBorders>
            <w:shd w:val="clear" w:color="auto" w:fill="E7E6E6"/>
          </w:tcPr>
          <w:p>
            <w:pPr>
              <w:spacing w:after="0"/>
              <w:rPr>
                <w:sz w:val="14"/>
                <w:szCs w:val="14"/>
                <w:color w:val="auto"/>
              </w:rPr>
            </w:pPr>
          </w:p>
        </w:tc>
        <w:tc>
          <w:tcPr>
            <w:tcW w:w="760" w:type="dxa"/>
            <w:vAlign w:val="bottom"/>
            <w:tcBorders>
              <w:right w:val="single" w:sz="8" w:color="auto"/>
            </w:tcBorders>
            <w:shd w:val="clear" w:color="auto" w:fill="E7E6E6"/>
          </w:tcPr>
          <w:p>
            <w:pPr>
              <w:spacing w:after="0"/>
              <w:rPr>
                <w:sz w:val="14"/>
                <w:szCs w:val="14"/>
                <w:color w:val="auto"/>
              </w:rPr>
            </w:pPr>
          </w:p>
        </w:tc>
        <w:tc>
          <w:tcPr>
            <w:tcW w:w="880" w:type="dxa"/>
            <w:vAlign w:val="bottom"/>
            <w:shd w:val="clear" w:color="auto" w:fill="E7E6E6"/>
          </w:tcPr>
          <w:p>
            <w:pPr>
              <w:spacing w:after="0"/>
              <w:rPr>
                <w:sz w:val="14"/>
                <w:szCs w:val="14"/>
                <w:color w:val="auto"/>
              </w:rPr>
            </w:pPr>
          </w:p>
        </w:tc>
        <w:tc>
          <w:tcPr>
            <w:tcW w:w="100" w:type="dxa"/>
            <w:vAlign w:val="bottom"/>
            <w:tcBorders>
              <w:right w:val="single" w:sz="8" w:color="auto"/>
            </w:tcBorders>
            <w:shd w:val="clear" w:color="auto" w:fill="E7E6E6"/>
          </w:tcPr>
          <w:p>
            <w:pPr>
              <w:spacing w:after="0"/>
              <w:rPr>
                <w:sz w:val="14"/>
                <w:szCs w:val="14"/>
                <w:color w:val="auto"/>
              </w:rPr>
            </w:pPr>
          </w:p>
        </w:tc>
        <w:tc>
          <w:tcPr>
            <w:tcW w:w="1100" w:type="dxa"/>
            <w:vAlign w:val="bottom"/>
            <w:tcBorders>
              <w:right w:val="single" w:sz="8" w:color="auto"/>
            </w:tcBorders>
            <w:shd w:val="clear" w:color="auto" w:fill="E7E6E6"/>
          </w:tcPr>
          <w:p>
            <w:pPr>
              <w:spacing w:after="0"/>
              <w:rPr>
                <w:sz w:val="14"/>
                <w:szCs w:val="14"/>
                <w:color w:val="auto"/>
              </w:rPr>
            </w:pPr>
          </w:p>
        </w:tc>
        <w:tc>
          <w:tcPr>
            <w:tcW w:w="760" w:type="dxa"/>
            <w:vAlign w:val="bottom"/>
            <w:tcBorders>
              <w:right w:val="single" w:sz="8" w:color="auto"/>
            </w:tcBorders>
            <w:shd w:val="clear" w:color="auto" w:fill="E7E6E6"/>
          </w:tcPr>
          <w:p>
            <w:pPr>
              <w:spacing w:after="0"/>
              <w:rPr>
                <w:sz w:val="14"/>
                <w:szCs w:val="14"/>
                <w:color w:val="auto"/>
              </w:rPr>
            </w:pPr>
          </w:p>
        </w:tc>
        <w:tc>
          <w:tcPr>
            <w:tcW w:w="860" w:type="dxa"/>
            <w:vAlign w:val="bottom"/>
            <w:tcBorders>
              <w:right w:val="single" w:sz="8" w:color="auto"/>
            </w:tcBorders>
            <w:shd w:val="clear" w:color="auto" w:fill="E7E6E6"/>
          </w:tcPr>
          <w:p>
            <w:pPr>
              <w:spacing w:after="0"/>
              <w:rPr>
                <w:sz w:val="14"/>
                <w:szCs w:val="14"/>
                <w:color w:val="auto"/>
              </w:rPr>
            </w:pPr>
          </w:p>
        </w:tc>
        <w:tc>
          <w:tcPr>
            <w:tcW w:w="680" w:type="dxa"/>
            <w:vAlign w:val="bottom"/>
            <w:shd w:val="clear" w:color="auto" w:fill="E7E6E6"/>
          </w:tcPr>
          <w:p>
            <w:pPr>
              <w:spacing w:after="0"/>
              <w:rPr>
                <w:sz w:val="14"/>
                <w:szCs w:val="14"/>
                <w:color w:val="auto"/>
              </w:rPr>
            </w:pPr>
          </w:p>
        </w:tc>
        <w:tc>
          <w:tcPr>
            <w:tcW w:w="240" w:type="dxa"/>
            <w:vAlign w:val="bottom"/>
            <w:tcBorders>
              <w:right w:val="single" w:sz="8" w:color="auto"/>
            </w:tcBorders>
            <w:shd w:val="clear" w:color="auto" w:fill="E7E6E6"/>
          </w:tcPr>
          <w:p>
            <w:pPr>
              <w:jc w:val="right"/>
              <w:ind w:right="68"/>
              <w:spacing w:after="0" w:line="164" w:lineRule="exact"/>
              <w:rPr>
                <w:sz w:val="20"/>
                <w:szCs w:val="20"/>
                <w:color w:val="auto"/>
              </w:rPr>
            </w:pPr>
            <w:r>
              <w:rPr>
                <w:rFonts w:ascii="Calibri" w:cs="Calibri" w:eastAsia="Calibri" w:hAnsi="Calibri"/>
                <w:sz w:val="14"/>
                <w:szCs w:val="14"/>
                <w:color w:val="auto"/>
              </w:rPr>
              <w:t>(</w:t>
            </w:r>
          </w:p>
        </w:tc>
        <w:tc>
          <w:tcPr>
            <w:tcW w:w="80" w:type="dxa"/>
            <w:vAlign w:val="bottom"/>
            <w:shd w:val="clear" w:color="auto" w:fill="E7E6E6"/>
          </w:tcPr>
          <w:p>
            <w:pPr>
              <w:spacing w:after="0"/>
              <w:rPr>
                <w:sz w:val="14"/>
                <w:szCs w:val="14"/>
                <w:color w:val="auto"/>
              </w:rPr>
            </w:pPr>
          </w:p>
        </w:tc>
        <w:tc>
          <w:tcPr>
            <w:tcW w:w="800" w:type="dxa"/>
            <w:vAlign w:val="bottom"/>
            <w:shd w:val="clear" w:color="auto" w:fill="E7E6E6"/>
          </w:tcPr>
          <w:p>
            <w:pPr>
              <w:spacing w:after="0"/>
              <w:rPr>
                <w:sz w:val="14"/>
                <w:szCs w:val="14"/>
                <w:color w:val="auto"/>
              </w:rPr>
            </w:pPr>
          </w:p>
        </w:tc>
        <w:tc>
          <w:tcPr>
            <w:tcW w:w="100" w:type="dxa"/>
            <w:vAlign w:val="bottom"/>
            <w:tcBorders>
              <w:right w:val="single" w:sz="8" w:color="auto"/>
            </w:tcBorders>
            <w:shd w:val="clear" w:color="auto" w:fill="E7E6E6"/>
          </w:tcPr>
          <w:p>
            <w:pPr>
              <w:spacing w:after="0"/>
              <w:rPr>
                <w:sz w:val="14"/>
                <w:szCs w:val="14"/>
                <w:color w:val="auto"/>
              </w:rPr>
            </w:pPr>
          </w:p>
        </w:tc>
        <w:tc>
          <w:tcPr>
            <w:tcW w:w="1240" w:type="dxa"/>
            <w:vAlign w:val="bottom"/>
            <w:shd w:val="clear" w:color="auto" w:fill="E7E6E6"/>
          </w:tcPr>
          <w:p>
            <w:pPr>
              <w:spacing w:after="0"/>
              <w:rPr>
                <w:sz w:val="14"/>
                <w:szCs w:val="14"/>
                <w:color w:val="auto"/>
              </w:rPr>
            </w:pPr>
          </w:p>
        </w:tc>
        <w:tc>
          <w:tcPr>
            <w:tcW w:w="320" w:type="dxa"/>
            <w:vAlign w:val="bottom"/>
            <w:tcBorders>
              <w:right w:val="single" w:sz="8" w:color="auto"/>
            </w:tcBorders>
            <w:shd w:val="clear" w:color="auto" w:fill="E7E6E6"/>
          </w:tcPr>
          <w:p>
            <w:pPr>
              <w:jc w:val="right"/>
              <w:ind w:right="48"/>
              <w:spacing w:after="0" w:line="164" w:lineRule="exact"/>
              <w:rPr>
                <w:sz w:val="20"/>
                <w:szCs w:val="20"/>
                <w:color w:val="auto"/>
              </w:rPr>
            </w:pPr>
            <w:r>
              <w:rPr>
                <w:rFonts w:ascii="Calibri" w:cs="Calibri" w:eastAsia="Calibri" w:hAnsi="Calibri"/>
                <w:sz w:val="14"/>
                <w:szCs w:val="14"/>
                <w:color w:val="auto"/>
              </w:rPr>
              <w:t>(</w:t>
            </w:r>
          </w:p>
        </w:tc>
        <w:tc>
          <w:tcPr>
            <w:tcW w:w="140" w:type="dxa"/>
            <w:vAlign w:val="bottom"/>
            <w:shd w:val="clear" w:color="auto" w:fill="E7E6E6"/>
          </w:tcPr>
          <w:p>
            <w:pPr>
              <w:spacing w:after="0"/>
              <w:rPr>
                <w:sz w:val="14"/>
                <w:szCs w:val="14"/>
                <w:color w:val="auto"/>
              </w:rPr>
            </w:pPr>
          </w:p>
        </w:tc>
        <w:tc>
          <w:tcPr>
            <w:tcW w:w="980" w:type="dxa"/>
            <w:vAlign w:val="bottom"/>
            <w:tcBorders>
              <w:right w:val="single" w:sz="8" w:color="auto"/>
            </w:tcBorders>
            <w:shd w:val="clear" w:color="auto" w:fill="E7E6E6"/>
          </w:tcPr>
          <w:p>
            <w:pPr>
              <w:spacing w:after="0"/>
              <w:rPr>
                <w:sz w:val="14"/>
                <w:szCs w:val="14"/>
                <w:color w:val="auto"/>
              </w:rPr>
            </w:pPr>
          </w:p>
        </w:tc>
      </w:tr>
      <w:tr>
        <w:trPr>
          <w:trHeight w:val="188"/>
        </w:trPr>
        <w:tc>
          <w:tcPr>
            <w:tcW w:w="2200" w:type="dxa"/>
            <w:vAlign w:val="bottom"/>
            <w:tcBorders>
              <w:left w:val="single" w:sz="8" w:color="auto"/>
              <w:bottom w:val="single" w:sz="8" w:color="E7E6E6"/>
              <w:right w:val="single" w:sz="8" w:color="auto"/>
            </w:tcBorders>
            <w:shd w:val="clear" w:color="auto" w:fill="E7E6E6"/>
          </w:tcPr>
          <w:p>
            <w:pPr>
              <w:ind w:left="40"/>
              <w:spacing w:after="0"/>
              <w:rPr>
                <w:sz w:val="20"/>
                <w:szCs w:val="20"/>
                <w:color w:val="auto"/>
              </w:rPr>
            </w:pPr>
            <w:r>
              <w:rPr>
                <w:rFonts w:ascii="Calibri" w:cs="Calibri" w:eastAsia="Calibri" w:hAnsi="Calibri"/>
                <w:sz w:val="14"/>
                <w:szCs w:val="14"/>
                <w:color w:val="auto"/>
              </w:rPr>
              <w:t>C. McQuiston</w:t>
            </w:r>
          </w:p>
        </w:tc>
        <w:tc>
          <w:tcPr>
            <w:tcW w:w="760" w:type="dxa"/>
            <w:vAlign w:val="bottom"/>
            <w:tcBorders>
              <w:bottom w:val="single" w:sz="8" w:color="E7E6E6"/>
              <w:right w:val="single" w:sz="8" w:color="auto"/>
            </w:tcBorders>
            <w:shd w:val="clear" w:color="auto" w:fill="E7E6E6"/>
          </w:tcPr>
          <w:p>
            <w:pPr>
              <w:ind w:left="480"/>
              <w:spacing w:after="0"/>
              <w:rPr>
                <w:sz w:val="20"/>
                <w:szCs w:val="20"/>
                <w:color w:val="auto"/>
              </w:rPr>
            </w:pPr>
            <w:r>
              <w:rPr>
                <w:rFonts w:ascii="Calibri" w:cs="Calibri" w:eastAsia="Calibri" w:hAnsi="Calibri"/>
                <w:sz w:val="14"/>
                <w:szCs w:val="14"/>
                <w:color w:val="auto"/>
              </w:rPr>
              <w:t>—</w:t>
            </w:r>
          </w:p>
        </w:tc>
        <w:tc>
          <w:tcPr>
            <w:tcW w:w="880" w:type="dxa"/>
            <w:vAlign w:val="bottom"/>
            <w:tcBorders>
              <w:bottom w:val="single" w:sz="8" w:color="E7E6E6"/>
            </w:tcBorders>
            <w:shd w:val="clear" w:color="auto" w:fill="E7E6E6"/>
          </w:tcPr>
          <w:p>
            <w:pPr>
              <w:ind w:left="720"/>
              <w:spacing w:after="0"/>
              <w:rPr>
                <w:sz w:val="20"/>
                <w:szCs w:val="20"/>
                <w:color w:val="auto"/>
              </w:rPr>
            </w:pPr>
            <w:r>
              <w:rPr>
                <w:rFonts w:ascii="Calibri" w:cs="Calibri" w:eastAsia="Calibri" w:hAnsi="Calibri"/>
                <w:sz w:val="14"/>
                <w:szCs w:val="14"/>
                <w:color w:val="auto"/>
              </w:rPr>
              <w:t>—</w:t>
            </w:r>
          </w:p>
        </w:tc>
        <w:tc>
          <w:tcPr>
            <w:tcW w:w="100" w:type="dxa"/>
            <w:vAlign w:val="bottom"/>
            <w:tcBorders>
              <w:bottom w:val="single" w:sz="8" w:color="E7E6E6"/>
              <w:right w:val="single" w:sz="8" w:color="auto"/>
            </w:tcBorders>
            <w:shd w:val="clear" w:color="auto" w:fill="E7E6E6"/>
          </w:tcPr>
          <w:p>
            <w:pPr>
              <w:spacing w:after="0"/>
              <w:rPr>
                <w:sz w:val="16"/>
                <w:szCs w:val="16"/>
                <w:color w:val="auto"/>
              </w:rPr>
            </w:pPr>
          </w:p>
        </w:tc>
        <w:tc>
          <w:tcPr>
            <w:tcW w:w="1100" w:type="dxa"/>
            <w:vAlign w:val="bottom"/>
            <w:tcBorders>
              <w:bottom w:val="single" w:sz="8" w:color="E7E6E6"/>
              <w:right w:val="single" w:sz="8" w:color="auto"/>
            </w:tcBorders>
            <w:shd w:val="clear" w:color="auto" w:fill="E7E6E6"/>
          </w:tcPr>
          <w:p>
            <w:pPr>
              <w:ind w:left="840"/>
              <w:spacing w:after="0"/>
              <w:rPr>
                <w:sz w:val="20"/>
                <w:szCs w:val="20"/>
                <w:color w:val="auto"/>
              </w:rPr>
            </w:pPr>
            <w:r>
              <w:rPr>
                <w:rFonts w:ascii="Calibri" w:cs="Calibri" w:eastAsia="Calibri" w:hAnsi="Calibri"/>
                <w:sz w:val="14"/>
                <w:szCs w:val="14"/>
                <w:color w:val="auto"/>
              </w:rPr>
              <w:t>—</w:t>
            </w:r>
          </w:p>
        </w:tc>
        <w:tc>
          <w:tcPr>
            <w:tcW w:w="760" w:type="dxa"/>
            <w:vAlign w:val="bottom"/>
            <w:tcBorders>
              <w:bottom w:val="single" w:sz="8" w:color="E7E6E6"/>
              <w:right w:val="single" w:sz="8" w:color="auto"/>
            </w:tcBorders>
            <w:shd w:val="clear" w:color="auto" w:fill="E7E6E6"/>
          </w:tcPr>
          <w:p>
            <w:pPr>
              <w:ind w:left="500"/>
              <w:spacing w:after="0"/>
              <w:rPr>
                <w:sz w:val="20"/>
                <w:szCs w:val="20"/>
                <w:color w:val="auto"/>
              </w:rPr>
            </w:pPr>
            <w:r>
              <w:rPr>
                <w:rFonts w:ascii="Calibri" w:cs="Calibri" w:eastAsia="Calibri" w:hAnsi="Calibri"/>
                <w:sz w:val="14"/>
                <w:szCs w:val="14"/>
                <w:color w:val="auto"/>
                <w:w w:val="97"/>
              </w:rPr>
              <w:t>N/A</w:t>
            </w:r>
          </w:p>
        </w:tc>
        <w:tc>
          <w:tcPr>
            <w:tcW w:w="860" w:type="dxa"/>
            <w:vAlign w:val="bottom"/>
            <w:tcBorders>
              <w:bottom w:val="single" w:sz="8" w:color="E7E6E6"/>
              <w:right w:val="single" w:sz="8" w:color="auto"/>
            </w:tcBorders>
            <w:shd w:val="clear" w:color="auto" w:fill="E7E6E6"/>
          </w:tcPr>
          <w:p>
            <w:pPr>
              <w:ind w:left="620"/>
              <w:spacing w:after="0"/>
              <w:rPr>
                <w:sz w:val="20"/>
                <w:szCs w:val="20"/>
                <w:color w:val="auto"/>
              </w:rPr>
            </w:pPr>
            <w:r>
              <w:rPr>
                <w:rFonts w:ascii="Calibri" w:cs="Calibri" w:eastAsia="Calibri" w:hAnsi="Calibri"/>
                <w:sz w:val="14"/>
                <w:szCs w:val="14"/>
                <w:color w:val="auto"/>
                <w:w w:val="88"/>
              </w:rPr>
              <w:t>N/A</w:t>
            </w:r>
          </w:p>
        </w:tc>
        <w:tc>
          <w:tcPr>
            <w:tcW w:w="680" w:type="dxa"/>
            <w:vAlign w:val="bottom"/>
            <w:tcBorders>
              <w:bottom w:val="single" w:sz="8" w:color="E7E6E6"/>
            </w:tcBorders>
            <w:shd w:val="clear" w:color="auto" w:fill="E7E6E6"/>
          </w:tcPr>
          <w:p>
            <w:pPr>
              <w:jc w:val="right"/>
              <w:ind w:right="148"/>
              <w:spacing w:after="0"/>
              <w:rPr>
                <w:sz w:val="20"/>
                <w:szCs w:val="20"/>
                <w:color w:val="auto"/>
              </w:rPr>
            </w:pPr>
            <w:r>
              <w:rPr>
                <w:rFonts w:ascii="Calibri" w:cs="Calibri" w:eastAsia="Calibri" w:hAnsi="Calibri"/>
                <w:sz w:val="14"/>
                <w:szCs w:val="14"/>
                <w:color w:val="auto"/>
              </w:rPr>
              <w:t>2,574</w:t>
            </w:r>
          </w:p>
        </w:tc>
        <w:tc>
          <w:tcPr>
            <w:tcW w:w="240" w:type="dxa"/>
            <w:vAlign w:val="bottom"/>
            <w:tcBorders>
              <w:bottom w:val="single" w:sz="8" w:color="E7E6E6"/>
              <w:right w:val="single" w:sz="8" w:color="auto"/>
            </w:tcBorders>
            <w:shd w:val="clear" w:color="auto" w:fill="E7E6E6"/>
          </w:tcPr>
          <w:p>
            <w:pPr>
              <w:jc w:val="right"/>
              <w:spacing w:after="0"/>
              <w:rPr>
                <w:sz w:val="20"/>
                <w:szCs w:val="20"/>
                <w:color w:val="auto"/>
              </w:rPr>
            </w:pPr>
            <w:r>
              <w:rPr>
                <w:rFonts w:ascii="Calibri" w:cs="Calibri" w:eastAsia="Calibri" w:hAnsi="Calibri"/>
                <w:sz w:val="14"/>
                <w:szCs w:val="14"/>
                <w:color w:val="auto"/>
              </w:rPr>
              <w:t>4 )</w:t>
            </w:r>
          </w:p>
        </w:tc>
        <w:tc>
          <w:tcPr>
            <w:tcW w:w="80" w:type="dxa"/>
            <w:vAlign w:val="bottom"/>
            <w:tcBorders>
              <w:bottom w:val="single" w:sz="8" w:color="E7E6E6"/>
            </w:tcBorders>
            <w:shd w:val="clear" w:color="auto" w:fill="E7E6E6"/>
          </w:tcPr>
          <w:p>
            <w:pPr>
              <w:jc w:val="right"/>
              <w:spacing w:after="0"/>
              <w:rPr>
                <w:sz w:val="20"/>
                <w:szCs w:val="20"/>
                <w:color w:val="auto"/>
              </w:rPr>
            </w:pPr>
            <w:r>
              <w:rPr>
                <w:rFonts w:ascii="Calibri" w:cs="Calibri" w:eastAsia="Calibri" w:hAnsi="Calibri"/>
                <w:sz w:val="14"/>
                <w:szCs w:val="14"/>
                <w:color w:val="auto"/>
                <w:w w:val="83"/>
              </w:rPr>
              <w:t>$</w:t>
            </w:r>
          </w:p>
        </w:tc>
        <w:tc>
          <w:tcPr>
            <w:tcW w:w="800" w:type="dxa"/>
            <w:vAlign w:val="bottom"/>
            <w:tcBorders>
              <w:bottom w:val="single" w:sz="8" w:color="E7E6E6"/>
            </w:tcBorders>
            <w:shd w:val="clear" w:color="auto" w:fill="E7E6E6"/>
          </w:tcPr>
          <w:p>
            <w:pPr>
              <w:jc w:val="right"/>
              <w:spacing w:after="0"/>
              <w:rPr>
                <w:sz w:val="20"/>
                <w:szCs w:val="20"/>
                <w:color w:val="auto"/>
              </w:rPr>
            </w:pPr>
            <w:r>
              <w:rPr>
                <w:rFonts w:ascii="Calibri" w:cs="Calibri" w:eastAsia="Calibri" w:hAnsi="Calibri"/>
                <w:sz w:val="14"/>
                <w:szCs w:val="14"/>
                <w:color w:val="auto"/>
              </w:rPr>
              <w:t>89,910</w:t>
            </w:r>
          </w:p>
        </w:tc>
        <w:tc>
          <w:tcPr>
            <w:tcW w:w="100" w:type="dxa"/>
            <w:vAlign w:val="bottom"/>
            <w:tcBorders>
              <w:bottom w:val="single" w:sz="8" w:color="E7E6E6"/>
              <w:right w:val="single" w:sz="8" w:color="auto"/>
            </w:tcBorders>
            <w:shd w:val="clear" w:color="auto" w:fill="E7E6E6"/>
          </w:tcPr>
          <w:p>
            <w:pPr>
              <w:spacing w:after="0"/>
              <w:rPr>
                <w:sz w:val="16"/>
                <w:szCs w:val="16"/>
                <w:color w:val="auto"/>
              </w:rPr>
            </w:pPr>
          </w:p>
        </w:tc>
        <w:tc>
          <w:tcPr>
            <w:tcW w:w="1240" w:type="dxa"/>
            <w:vAlign w:val="bottom"/>
            <w:tcBorders>
              <w:bottom w:val="single" w:sz="8" w:color="E7E6E6"/>
            </w:tcBorders>
            <w:shd w:val="clear" w:color="auto" w:fill="E7E6E6"/>
          </w:tcPr>
          <w:p>
            <w:pPr>
              <w:jc w:val="right"/>
              <w:ind w:right="48"/>
              <w:spacing w:after="0"/>
              <w:rPr>
                <w:sz w:val="20"/>
                <w:szCs w:val="20"/>
                <w:color w:val="auto"/>
              </w:rPr>
            </w:pPr>
            <w:r>
              <w:rPr>
                <w:rFonts w:ascii="Calibri" w:cs="Calibri" w:eastAsia="Calibri" w:hAnsi="Calibri"/>
                <w:sz w:val="14"/>
                <w:szCs w:val="14"/>
                <w:color w:val="auto"/>
              </w:rPr>
              <w:t>9,562</w:t>
            </w:r>
          </w:p>
        </w:tc>
        <w:tc>
          <w:tcPr>
            <w:tcW w:w="320" w:type="dxa"/>
            <w:vAlign w:val="bottom"/>
            <w:tcBorders>
              <w:bottom w:val="single" w:sz="8" w:color="E7E6E6"/>
              <w:right w:val="single" w:sz="8" w:color="auto"/>
            </w:tcBorders>
            <w:shd w:val="clear" w:color="auto" w:fill="E7E6E6"/>
          </w:tcPr>
          <w:p>
            <w:pPr>
              <w:jc w:val="right"/>
              <w:spacing w:after="0"/>
              <w:rPr>
                <w:sz w:val="20"/>
                <w:szCs w:val="20"/>
                <w:color w:val="auto"/>
              </w:rPr>
            </w:pPr>
            <w:r>
              <w:rPr>
                <w:rFonts w:ascii="Calibri" w:cs="Calibri" w:eastAsia="Calibri" w:hAnsi="Calibri"/>
                <w:sz w:val="14"/>
                <w:szCs w:val="14"/>
                <w:color w:val="auto"/>
              </w:rPr>
              <w:t>6 )</w:t>
            </w:r>
          </w:p>
        </w:tc>
        <w:tc>
          <w:tcPr>
            <w:tcW w:w="140" w:type="dxa"/>
            <w:vAlign w:val="bottom"/>
            <w:tcBorders>
              <w:bottom w:val="single" w:sz="8" w:color="E7E6E6"/>
            </w:tcBorders>
            <w:shd w:val="clear" w:color="auto" w:fill="E7E6E6"/>
          </w:tcPr>
          <w:p>
            <w:pPr>
              <w:jc w:val="right"/>
              <w:spacing w:after="0"/>
              <w:rPr>
                <w:sz w:val="20"/>
                <w:szCs w:val="20"/>
                <w:color w:val="auto"/>
              </w:rPr>
            </w:pPr>
            <w:r>
              <w:rPr>
                <w:rFonts w:ascii="Calibri" w:cs="Calibri" w:eastAsia="Calibri" w:hAnsi="Calibri"/>
                <w:sz w:val="14"/>
                <w:szCs w:val="14"/>
                <w:color w:val="auto"/>
                <w:w w:val="83"/>
              </w:rPr>
              <w:t>$</w:t>
            </w:r>
          </w:p>
        </w:tc>
        <w:tc>
          <w:tcPr>
            <w:tcW w:w="980" w:type="dxa"/>
            <w:vAlign w:val="bottom"/>
            <w:tcBorders>
              <w:bottom w:val="single" w:sz="8" w:color="E7E6E6"/>
              <w:right w:val="single" w:sz="8" w:color="auto"/>
            </w:tcBorders>
            <w:shd w:val="clear" w:color="auto" w:fill="E7E6E6"/>
          </w:tcPr>
          <w:p>
            <w:pPr>
              <w:jc w:val="right"/>
              <w:ind w:right="48"/>
              <w:spacing w:after="0"/>
              <w:rPr>
                <w:sz w:val="20"/>
                <w:szCs w:val="20"/>
                <w:color w:val="auto"/>
              </w:rPr>
            </w:pPr>
            <w:r>
              <w:rPr>
                <w:rFonts w:ascii="Calibri" w:cs="Calibri" w:eastAsia="Calibri" w:hAnsi="Calibri"/>
                <w:sz w:val="14"/>
                <w:szCs w:val="14"/>
                <w:color w:val="auto"/>
              </w:rPr>
              <w:t>334,001</w:t>
            </w:r>
          </w:p>
        </w:tc>
      </w:tr>
      <w:tr>
        <w:trPr>
          <w:trHeight w:val="170"/>
        </w:trPr>
        <w:tc>
          <w:tcPr>
            <w:tcW w:w="2200" w:type="dxa"/>
            <w:vAlign w:val="bottom"/>
            <w:tcBorders>
              <w:left w:val="single" w:sz="8" w:color="auto"/>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Borders>
              <w:right w:val="single" w:sz="8" w:color="auto"/>
            </w:tcBorders>
          </w:tcPr>
          <w:p>
            <w:pPr>
              <w:jc w:val="right"/>
              <w:ind w:right="68"/>
              <w:spacing w:after="0"/>
              <w:rPr>
                <w:sz w:val="20"/>
                <w:szCs w:val="20"/>
                <w:color w:val="auto"/>
              </w:rPr>
            </w:pPr>
            <w:r>
              <w:rPr>
                <w:rFonts w:ascii="Calibri" w:cs="Calibri" w:eastAsia="Calibri" w:hAnsi="Calibri"/>
                <w:sz w:val="14"/>
                <w:szCs w:val="14"/>
                <w:color w:val="auto"/>
              </w:rPr>
              <w:t>(</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Borders>
              <w:right w:val="single" w:sz="8" w:color="auto"/>
            </w:tcBorders>
          </w:tcPr>
          <w:p>
            <w:pPr>
              <w:jc w:val="right"/>
              <w:ind w:right="48"/>
              <w:spacing w:after="0"/>
              <w:rPr>
                <w:sz w:val="20"/>
                <w:szCs w:val="20"/>
                <w:color w:val="auto"/>
              </w:rPr>
            </w:pPr>
            <w:r>
              <w:rPr>
                <w:rFonts w:ascii="Calibri" w:cs="Calibri" w:eastAsia="Calibri" w:hAnsi="Calibri"/>
                <w:sz w:val="14"/>
                <w:szCs w:val="14"/>
                <w:color w:val="auto"/>
              </w:rPr>
              <w:t>(</w:t>
            </w:r>
          </w:p>
        </w:tc>
        <w:tc>
          <w:tcPr>
            <w:tcW w:w="140" w:type="dxa"/>
            <w:vAlign w:val="bottom"/>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r>
      <w:tr>
        <w:trPr>
          <w:trHeight w:val="175"/>
        </w:trPr>
        <w:tc>
          <w:tcPr>
            <w:tcW w:w="2200" w:type="dxa"/>
            <w:vAlign w:val="bottom"/>
            <w:tcBorders>
              <w:left w:val="single" w:sz="8" w:color="auto"/>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680" w:type="dxa"/>
            <w:vAlign w:val="bottom"/>
          </w:tcPr>
          <w:p>
            <w:pPr>
              <w:jc w:val="right"/>
              <w:ind w:right="148"/>
              <w:spacing w:after="0"/>
              <w:rPr>
                <w:sz w:val="20"/>
                <w:szCs w:val="20"/>
                <w:color w:val="auto"/>
              </w:rPr>
            </w:pPr>
            <w:r>
              <w:rPr>
                <w:rFonts w:ascii="Calibri" w:cs="Calibri" w:eastAsia="Calibri" w:hAnsi="Calibri"/>
                <w:sz w:val="14"/>
                <w:szCs w:val="14"/>
                <w:color w:val="auto"/>
              </w:rPr>
              <w:t>2,449</w:t>
            </w:r>
          </w:p>
        </w:tc>
        <w:tc>
          <w:tcPr>
            <w:tcW w:w="24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5 )</w:t>
            </w:r>
          </w:p>
        </w:tc>
        <w:tc>
          <w:tcPr>
            <w:tcW w:w="80" w:type="dxa"/>
            <w:vAlign w:val="bottom"/>
          </w:tcPr>
          <w:p>
            <w:pPr>
              <w:jc w:val="right"/>
              <w:spacing w:after="0"/>
              <w:rPr>
                <w:sz w:val="20"/>
                <w:szCs w:val="20"/>
                <w:color w:val="auto"/>
              </w:rPr>
            </w:pPr>
            <w:r>
              <w:rPr>
                <w:rFonts w:ascii="Calibri" w:cs="Calibri" w:eastAsia="Calibri" w:hAnsi="Calibri"/>
                <w:sz w:val="14"/>
                <w:szCs w:val="14"/>
                <w:color w:val="auto"/>
                <w:w w:val="83"/>
              </w:rPr>
              <w:t>$</w:t>
            </w:r>
          </w:p>
        </w:tc>
        <w:tc>
          <w:tcPr>
            <w:tcW w:w="800" w:type="dxa"/>
            <w:vAlign w:val="bottom"/>
          </w:tcPr>
          <w:p>
            <w:pPr>
              <w:jc w:val="right"/>
              <w:spacing w:after="0"/>
              <w:rPr>
                <w:sz w:val="20"/>
                <w:szCs w:val="20"/>
                <w:color w:val="auto"/>
              </w:rPr>
            </w:pPr>
            <w:r>
              <w:rPr>
                <w:rFonts w:ascii="Calibri" w:cs="Calibri" w:eastAsia="Calibri" w:hAnsi="Calibri"/>
                <w:sz w:val="14"/>
                <w:szCs w:val="14"/>
                <w:color w:val="auto"/>
              </w:rPr>
              <w:t>85,544</w:t>
            </w:r>
          </w:p>
        </w:tc>
        <w:tc>
          <w:tcPr>
            <w:tcW w:w="100" w:type="dxa"/>
            <w:vAlign w:val="bottom"/>
            <w:tcBorders>
              <w:right w:val="single" w:sz="8" w:color="auto"/>
            </w:tcBorders>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Calibri" w:cs="Calibri" w:eastAsia="Calibri" w:hAnsi="Calibri"/>
                <w:sz w:val="14"/>
                <w:szCs w:val="14"/>
                <w:color w:val="auto"/>
              </w:rPr>
              <w:t>9,096</w:t>
            </w:r>
          </w:p>
        </w:tc>
        <w:tc>
          <w:tcPr>
            <w:tcW w:w="32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7 )</w:t>
            </w:r>
          </w:p>
        </w:tc>
        <w:tc>
          <w:tcPr>
            <w:tcW w:w="140" w:type="dxa"/>
            <w:vAlign w:val="bottom"/>
          </w:tcPr>
          <w:p>
            <w:pPr>
              <w:jc w:val="right"/>
              <w:spacing w:after="0"/>
              <w:rPr>
                <w:sz w:val="20"/>
                <w:szCs w:val="20"/>
                <w:color w:val="auto"/>
              </w:rPr>
            </w:pPr>
            <w:r>
              <w:rPr>
                <w:rFonts w:ascii="Calibri" w:cs="Calibri" w:eastAsia="Calibri" w:hAnsi="Calibri"/>
                <w:sz w:val="14"/>
                <w:szCs w:val="14"/>
                <w:color w:val="auto"/>
                <w:w w:val="83"/>
              </w:rPr>
              <w:t>$</w:t>
            </w:r>
          </w:p>
        </w:tc>
        <w:tc>
          <w:tcPr>
            <w:tcW w:w="980" w:type="dxa"/>
            <w:vAlign w:val="bottom"/>
            <w:tcBorders>
              <w:right w:val="single" w:sz="8" w:color="auto"/>
            </w:tcBorders>
          </w:tcPr>
          <w:p>
            <w:pPr>
              <w:jc w:val="right"/>
              <w:ind w:right="48"/>
              <w:spacing w:after="0"/>
              <w:rPr>
                <w:sz w:val="20"/>
                <w:szCs w:val="20"/>
                <w:color w:val="auto"/>
              </w:rPr>
            </w:pPr>
            <w:r>
              <w:rPr>
                <w:rFonts w:ascii="Calibri" w:cs="Calibri" w:eastAsia="Calibri" w:hAnsi="Calibri"/>
                <w:sz w:val="14"/>
                <w:szCs w:val="14"/>
                <w:color w:val="auto"/>
              </w:rPr>
              <w:t>317,723</w:t>
            </w:r>
          </w:p>
        </w:tc>
      </w:tr>
      <w:tr>
        <w:trPr>
          <w:trHeight w:val="33"/>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r>
    </w:tbl>
    <w:p>
      <w:pPr>
        <w:ind w:left="380" w:hanging="372"/>
        <w:spacing w:after="0" w:line="210" w:lineRule="auto"/>
        <w:tabs>
          <w:tab w:leader="none" w:pos="380" w:val="left"/>
        </w:tabs>
        <w:numPr>
          <w:ilvl w:val="0"/>
          <w:numId w:val="48"/>
        </w:numPr>
        <w:rPr>
          <w:rFonts w:ascii="Calibri" w:cs="Calibri" w:eastAsia="Calibri" w:hAnsi="Calibri"/>
          <w:sz w:val="18"/>
          <w:szCs w:val="18"/>
          <w:color w:val="auto"/>
        </w:rPr>
      </w:pPr>
      <w:r>
        <w:rPr>
          <w:rFonts w:ascii="Calibri" w:cs="Calibri" w:eastAsia="Calibri" w:hAnsi="Calibri"/>
          <w:sz w:val="18"/>
          <w:szCs w:val="18"/>
          <w:color w:val="auto"/>
        </w:rPr>
        <w:t>There are no stock optons outstanding.</w:t>
      </w:r>
    </w:p>
    <w:p>
      <w:pPr>
        <w:ind w:left="380" w:hanging="372"/>
        <w:spacing w:after="0" w:line="235" w:lineRule="auto"/>
        <w:tabs>
          <w:tab w:leader="none" w:pos="380" w:val="left"/>
        </w:tabs>
        <w:numPr>
          <w:ilvl w:val="0"/>
          <w:numId w:val="48"/>
        </w:numPr>
        <w:rPr>
          <w:rFonts w:ascii="Calibri" w:cs="Calibri" w:eastAsia="Calibri" w:hAnsi="Calibri"/>
          <w:sz w:val="18"/>
          <w:szCs w:val="18"/>
          <w:color w:val="auto"/>
        </w:rPr>
      </w:pPr>
      <w:r>
        <w:rPr>
          <w:rFonts w:ascii="Calibri" w:cs="Calibri" w:eastAsia="Calibri" w:hAnsi="Calibri"/>
          <w:sz w:val="18"/>
          <w:szCs w:val="18"/>
          <w:color w:val="auto"/>
        </w:rPr>
        <w:t>The number of units is based on achieving maximum performance resultng in payout of 200 percent of target.</w:t>
      </w:r>
    </w:p>
    <w:p>
      <w:pPr>
        <w:spacing w:after="0" w:line="1" w:lineRule="exact"/>
        <w:rPr>
          <w:rFonts w:ascii="Calibri" w:cs="Calibri" w:eastAsia="Calibri" w:hAnsi="Calibri"/>
          <w:sz w:val="18"/>
          <w:szCs w:val="18"/>
          <w:color w:val="auto"/>
        </w:rPr>
      </w:pPr>
    </w:p>
    <w:p>
      <w:pPr>
        <w:ind w:left="380" w:right="20" w:hanging="372"/>
        <w:spacing w:after="0" w:line="235" w:lineRule="auto"/>
        <w:tabs>
          <w:tab w:leader="none" w:pos="380" w:val="left"/>
        </w:tabs>
        <w:numPr>
          <w:ilvl w:val="0"/>
          <w:numId w:val="48"/>
        </w:numPr>
        <w:rPr>
          <w:rFonts w:ascii="Calibri" w:cs="Calibri" w:eastAsia="Calibri" w:hAnsi="Calibri"/>
          <w:sz w:val="18"/>
          <w:szCs w:val="18"/>
          <w:color w:val="auto"/>
        </w:rPr>
      </w:pPr>
      <w:r>
        <w:rPr>
          <w:rFonts w:ascii="Calibri" w:cs="Calibri" w:eastAsia="Calibri" w:hAnsi="Calibri"/>
          <w:sz w:val="18"/>
          <w:szCs w:val="18"/>
          <w:color w:val="auto"/>
        </w:rPr>
        <w:t>Values were calculated based on a $34.93 closing price of the Company's Common Stock, as reported on the NYSE at December 29, 2023 (as the market was closed on December 31, 2023).</w:t>
      </w:r>
    </w:p>
    <w:p>
      <w:pPr>
        <w:ind w:left="380" w:hanging="372"/>
        <w:spacing w:after="0" w:line="235" w:lineRule="auto"/>
        <w:tabs>
          <w:tab w:leader="none" w:pos="380" w:val="left"/>
        </w:tabs>
        <w:numPr>
          <w:ilvl w:val="0"/>
          <w:numId w:val="48"/>
        </w:numPr>
        <w:rPr>
          <w:rFonts w:ascii="Calibri" w:cs="Calibri" w:eastAsia="Calibri" w:hAnsi="Calibri"/>
          <w:sz w:val="18"/>
          <w:szCs w:val="18"/>
          <w:color w:val="auto"/>
        </w:rPr>
      </w:pPr>
      <w:r>
        <w:rPr>
          <w:rFonts w:ascii="Calibri" w:cs="Calibri" w:eastAsia="Calibri" w:hAnsi="Calibri"/>
          <w:sz w:val="18"/>
          <w:szCs w:val="18"/>
          <w:color w:val="auto"/>
        </w:rPr>
        <w:t>These amounts represent restricted stock units for the vestng period January 1, 2023 through December 31, 2025.</w:t>
      </w:r>
    </w:p>
    <w:p>
      <w:pPr>
        <w:ind w:left="380" w:hanging="372"/>
        <w:spacing w:after="0" w:line="235" w:lineRule="auto"/>
        <w:tabs>
          <w:tab w:leader="none" w:pos="380" w:val="left"/>
        </w:tabs>
        <w:numPr>
          <w:ilvl w:val="0"/>
          <w:numId w:val="48"/>
        </w:numPr>
        <w:rPr>
          <w:rFonts w:ascii="Calibri" w:cs="Calibri" w:eastAsia="Calibri" w:hAnsi="Calibri"/>
          <w:sz w:val="18"/>
          <w:szCs w:val="18"/>
          <w:color w:val="auto"/>
        </w:rPr>
      </w:pPr>
      <w:r>
        <w:rPr>
          <w:rFonts w:ascii="Calibri" w:cs="Calibri" w:eastAsia="Calibri" w:hAnsi="Calibri"/>
          <w:sz w:val="18"/>
          <w:szCs w:val="18"/>
          <w:color w:val="auto"/>
        </w:rPr>
        <w:t>These amounts represent restricted stock units for the vestng period January 1, 2022 through December 31, 2024.</w:t>
      </w:r>
    </w:p>
    <w:p>
      <w:pPr>
        <w:ind w:left="380" w:hanging="372"/>
        <w:spacing w:after="0" w:line="235" w:lineRule="auto"/>
        <w:tabs>
          <w:tab w:leader="none" w:pos="380" w:val="left"/>
        </w:tabs>
        <w:numPr>
          <w:ilvl w:val="0"/>
          <w:numId w:val="48"/>
        </w:numPr>
        <w:rPr>
          <w:rFonts w:ascii="Calibri" w:cs="Calibri" w:eastAsia="Calibri" w:hAnsi="Calibri"/>
          <w:sz w:val="18"/>
          <w:szCs w:val="18"/>
          <w:color w:val="auto"/>
        </w:rPr>
      </w:pPr>
      <w:r>
        <w:rPr>
          <w:rFonts w:ascii="Calibri" w:cs="Calibri" w:eastAsia="Calibri" w:hAnsi="Calibri"/>
          <w:sz w:val="18"/>
          <w:szCs w:val="18"/>
          <w:color w:val="auto"/>
        </w:rPr>
        <w:t>These amounts represent performance units for the performance period January 1, 2023 through December 31, 2025.</w:t>
      </w:r>
    </w:p>
    <w:p>
      <w:pPr>
        <w:ind w:left="380" w:hanging="372"/>
        <w:spacing w:after="0" w:line="235" w:lineRule="auto"/>
        <w:tabs>
          <w:tab w:leader="none" w:pos="380" w:val="left"/>
        </w:tabs>
        <w:numPr>
          <w:ilvl w:val="0"/>
          <w:numId w:val="48"/>
        </w:numPr>
        <w:rPr>
          <w:rFonts w:ascii="Calibri" w:cs="Calibri" w:eastAsia="Calibri" w:hAnsi="Calibri"/>
          <w:sz w:val="18"/>
          <w:szCs w:val="18"/>
          <w:color w:val="auto"/>
        </w:rPr>
      </w:pPr>
      <w:r>
        <w:rPr>
          <w:rFonts w:ascii="Calibri" w:cs="Calibri" w:eastAsia="Calibri" w:hAnsi="Calibri"/>
          <w:sz w:val="18"/>
          <w:szCs w:val="18"/>
          <w:color w:val="auto"/>
        </w:rPr>
        <w:t>These amounts represent performance units for the performance period January 1, 2022 through December 31, 2024.</w:t>
      </w:r>
    </w:p>
    <w:p>
      <w:pPr>
        <w:spacing w:after="0" w:line="389" w:lineRule="exact"/>
        <w:rPr>
          <w:sz w:val="20"/>
          <w:szCs w:val="20"/>
          <w:color w:val="auto"/>
        </w:rPr>
      </w:pPr>
    </w:p>
    <w:p>
      <w:pPr>
        <w:spacing w:after="0"/>
        <w:tabs>
          <w:tab w:leader="none" w:pos="660" w:val="left"/>
        </w:tabs>
        <w:rPr>
          <w:sz w:val="20"/>
          <w:szCs w:val="20"/>
          <w:color w:val="auto"/>
        </w:rPr>
      </w:pPr>
      <w:r>
        <w:rPr>
          <w:rFonts w:ascii="Calibri" w:cs="Calibri" w:eastAsia="Calibri" w:hAnsi="Calibri"/>
          <w:sz w:val="18"/>
          <w:szCs w:val="18"/>
          <w:color w:val="auto"/>
        </w:rPr>
        <w:t>45</w:t>
      </w:r>
      <w:r>
        <w:rPr>
          <w:sz w:val="20"/>
          <w:szCs w:val="20"/>
          <w:color w:val="auto"/>
        </w:rPr>
        <w:tab/>
      </w:r>
      <w:r>
        <w:rPr>
          <w:rFonts w:ascii="Calibri" w:cs="Calibri" w:eastAsia="Calibri" w:hAnsi="Calibri"/>
          <w:sz w:val="18"/>
          <w:szCs w:val="18"/>
          <w:b w:val="1"/>
          <w:bCs w:val="1"/>
          <w:color w:val="EE2724"/>
        </w:rPr>
        <w:t xml:space="preserve">OGE Energy Corp. </w:t>
      </w:r>
      <w:r>
        <w:rPr>
          <w:rFonts w:ascii="Calibri" w:cs="Calibri" w:eastAsia="Calibri" w:hAnsi="Calibri"/>
          <w:sz w:val="18"/>
          <w:szCs w:val="18"/>
          <w:color w:val="00000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3" w:right="339" w:bottom="1440" w:gutter="0" w:footer="0" w:header="0"/>
        </w:sectPr>
      </w:pPr>
    </w:p>
    <w:bookmarkStart w:id="51" w:name="page52"/>
    <w:bookmarkEnd w:id="51"/>
    <w:p>
      <w:pPr>
        <w:spacing w:after="0" w:line="159"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2023 Opton Exercises and Stock Vested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9"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1580" w:type="dxa"/>
            <w:vAlign w:val="bottom"/>
            <w:tcBorders>
              <w:top w:val="single" w:sz="8" w:color="auto"/>
              <w:left w:val="single" w:sz="8" w:color="auto"/>
              <w:right w:val="single" w:sz="8" w:color="auto"/>
            </w:tcBorders>
          </w:tcPr>
          <w:p>
            <w:pPr>
              <w:spacing w:after="0"/>
              <w:rPr>
                <w:sz w:val="16"/>
                <w:szCs w:val="16"/>
                <w:color w:val="auto"/>
              </w:rPr>
            </w:pPr>
          </w:p>
        </w:tc>
        <w:tc>
          <w:tcPr>
            <w:tcW w:w="2900" w:type="dxa"/>
            <w:vAlign w:val="bottom"/>
            <w:tcBorders>
              <w:top w:val="single" w:sz="8" w:color="auto"/>
            </w:tcBorders>
            <w:gridSpan w:val="3"/>
          </w:tcPr>
          <w:p>
            <w:pPr>
              <w:jc w:val="right"/>
              <w:ind w:right="748"/>
              <w:spacing w:after="0"/>
              <w:rPr>
                <w:sz w:val="20"/>
                <w:szCs w:val="20"/>
                <w:color w:val="auto"/>
              </w:rPr>
            </w:pPr>
            <w:r>
              <w:rPr>
                <w:rFonts w:ascii="Calibri" w:cs="Calibri" w:eastAsia="Calibri" w:hAnsi="Calibri"/>
                <w:sz w:val="14"/>
                <w:szCs w:val="14"/>
                <w:color w:val="auto"/>
              </w:rPr>
              <w:t>Opton Awards (1)</w:t>
            </w:r>
          </w:p>
        </w:tc>
        <w:tc>
          <w:tcPr>
            <w:tcW w:w="340" w:type="dxa"/>
            <w:vAlign w:val="bottom"/>
            <w:tcBorders>
              <w:top w:val="single" w:sz="8" w:color="auto"/>
              <w:right w:val="single" w:sz="8" w:color="auto"/>
            </w:tcBorders>
          </w:tcPr>
          <w:p>
            <w:pPr>
              <w:spacing w:after="0"/>
              <w:rPr>
                <w:sz w:val="16"/>
                <w:szCs w:val="16"/>
                <w:color w:val="auto"/>
              </w:rPr>
            </w:pPr>
          </w:p>
        </w:tc>
        <w:tc>
          <w:tcPr>
            <w:tcW w:w="16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080" w:type="dxa"/>
            <w:vAlign w:val="bottom"/>
            <w:tcBorders>
              <w:top w:val="single" w:sz="8" w:color="auto"/>
            </w:tcBorders>
            <w:gridSpan w:val="3"/>
          </w:tcPr>
          <w:p>
            <w:pPr>
              <w:jc w:val="right"/>
              <w:ind w:right="1228"/>
              <w:spacing w:after="0"/>
              <w:rPr>
                <w:sz w:val="20"/>
                <w:szCs w:val="20"/>
                <w:color w:val="auto"/>
              </w:rPr>
            </w:pPr>
            <w:r>
              <w:rPr>
                <w:rFonts w:ascii="Calibri" w:cs="Calibri" w:eastAsia="Calibri" w:hAnsi="Calibri"/>
                <w:sz w:val="14"/>
                <w:szCs w:val="14"/>
                <w:color w:val="auto"/>
              </w:rPr>
              <w:t>Stock Awards</w:t>
            </w:r>
          </w:p>
        </w:tc>
        <w:tc>
          <w:tcPr>
            <w:tcW w:w="140" w:type="dxa"/>
            <w:vAlign w:val="bottom"/>
            <w:tcBorders>
              <w:top w:val="single" w:sz="8" w:color="auto"/>
            </w:tcBorders>
          </w:tcPr>
          <w:p>
            <w:pPr>
              <w:spacing w:after="0"/>
              <w:rPr>
                <w:sz w:val="16"/>
                <w:szCs w:val="16"/>
                <w:color w:val="auto"/>
              </w:rPr>
            </w:pPr>
          </w:p>
        </w:tc>
        <w:tc>
          <w:tcPr>
            <w:tcW w:w="1440" w:type="dxa"/>
            <w:vAlign w:val="bottom"/>
            <w:tcBorders>
              <w:top w:val="single" w:sz="8" w:color="auto"/>
              <w:right w:val="single" w:sz="8" w:color="auto"/>
            </w:tcBorders>
          </w:tcPr>
          <w:p>
            <w:pPr>
              <w:spacing w:after="0"/>
              <w:rPr>
                <w:sz w:val="16"/>
                <w:szCs w:val="16"/>
                <w:color w:val="auto"/>
              </w:rPr>
            </w:pPr>
          </w:p>
        </w:tc>
      </w:tr>
      <w:tr>
        <w:trPr>
          <w:trHeight w:val="49"/>
        </w:trPr>
        <w:tc>
          <w:tcPr>
            <w:tcW w:w="1580" w:type="dxa"/>
            <w:vAlign w:val="bottom"/>
            <w:tcBorders>
              <w:left w:val="single" w:sz="8" w:color="auto"/>
              <w:bottom w:val="single" w:sz="8" w:color="auto"/>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r>
      <w:tr>
        <w:trPr>
          <w:trHeight w:val="150"/>
        </w:trPr>
        <w:tc>
          <w:tcPr>
            <w:tcW w:w="1580" w:type="dxa"/>
            <w:vAlign w:val="bottom"/>
            <w:tcBorders>
              <w:left w:val="single" w:sz="8" w:color="auto"/>
              <w:right w:val="single" w:sz="8" w:color="auto"/>
            </w:tcBorders>
          </w:tcPr>
          <w:p>
            <w:pPr>
              <w:ind w:left="620"/>
              <w:spacing w:after="0" w:line="150" w:lineRule="exact"/>
              <w:rPr>
                <w:sz w:val="20"/>
                <w:szCs w:val="20"/>
                <w:color w:val="auto"/>
              </w:rPr>
            </w:pPr>
            <w:r>
              <w:rPr>
                <w:rFonts w:ascii="Calibri" w:cs="Calibri" w:eastAsia="Calibri" w:hAnsi="Calibri"/>
                <w:sz w:val="14"/>
                <w:szCs w:val="14"/>
                <w:color w:val="auto"/>
              </w:rPr>
              <w:t>Name</w:t>
            </w:r>
          </w:p>
        </w:tc>
        <w:tc>
          <w:tcPr>
            <w:tcW w:w="1240" w:type="dxa"/>
            <w:vAlign w:val="bottom"/>
          </w:tcPr>
          <w:p>
            <w:pPr>
              <w:jc w:val="center"/>
              <w:ind w:left="208"/>
              <w:spacing w:after="0" w:line="150" w:lineRule="exact"/>
              <w:rPr>
                <w:sz w:val="20"/>
                <w:szCs w:val="20"/>
                <w:color w:val="auto"/>
              </w:rPr>
            </w:pPr>
            <w:r>
              <w:rPr>
                <w:rFonts w:ascii="Calibri" w:cs="Calibri" w:eastAsia="Calibri" w:hAnsi="Calibri"/>
                <w:sz w:val="14"/>
                <w:szCs w:val="14"/>
                <w:color w:val="auto"/>
              </w:rPr>
              <w:t>Number of</w:t>
            </w:r>
          </w:p>
        </w:tc>
        <w:tc>
          <w:tcPr>
            <w:tcW w:w="440" w:type="dxa"/>
            <w:vAlign w:val="bottom"/>
            <w:tcBorders>
              <w:right w:val="single" w:sz="8" w:color="auto"/>
            </w:tcBorders>
          </w:tcPr>
          <w:p>
            <w:pPr>
              <w:spacing w:after="0"/>
              <w:rPr>
                <w:sz w:val="13"/>
                <w:szCs w:val="13"/>
                <w:color w:val="auto"/>
              </w:rPr>
            </w:pPr>
          </w:p>
        </w:tc>
        <w:tc>
          <w:tcPr>
            <w:tcW w:w="1220" w:type="dxa"/>
            <w:vAlign w:val="bottom"/>
          </w:tcPr>
          <w:p>
            <w:pPr>
              <w:jc w:val="center"/>
              <w:ind w:left="148"/>
              <w:spacing w:after="0" w:line="150" w:lineRule="exact"/>
              <w:rPr>
                <w:sz w:val="20"/>
                <w:szCs w:val="20"/>
                <w:color w:val="auto"/>
              </w:rPr>
            </w:pPr>
            <w:r>
              <w:rPr>
                <w:rFonts w:ascii="Calibri" w:cs="Calibri" w:eastAsia="Calibri" w:hAnsi="Calibri"/>
                <w:sz w:val="14"/>
                <w:szCs w:val="14"/>
                <w:color w:val="auto"/>
              </w:rPr>
              <w:t>Value Realized</w:t>
            </w:r>
          </w:p>
        </w:tc>
        <w:tc>
          <w:tcPr>
            <w:tcW w:w="340" w:type="dxa"/>
            <w:vAlign w:val="bottom"/>
            <w:tcBorders>
              <w:right w:val="single" w:sz="8" w:color="auto"/>
            </w:tcBorders>
          </w:tcPr>
          <w:p>
            <w:pPr>
              <w:spacing w:after="0"/>
              <w:rPr>
                <w:sz w:val="13"/>
                <w:szCs w:val="13"/>
                <w:color w:val="auto"/>
              </w:rPr>
            </w:pPr>
          </w:p>
        </w:tc>
        <w:tc>
          <w:tcPr>
            <w:tcW w:w="1640" w:type="dxa"/>
            <w:vAlign w:val="bottom"/>
            <w:tcBorders>
              <w:right w:val="single" w:sz="8" w:color="auto"/>
            </w:tcBorders>
          </w:tcPr>
          <w:p>
            <w:pPr>
              <w:jc w:val="center"/>
              <w:ind w:right="48"/>
              <w:spacing w:after="0" w:line="150" w:lineRule="exact"/>
              <w:rPr>
                <w:sz w:val="20"/>
                <w:szCs w:val="20"/>
                <w:color w:val="auto"/>
              </w:rPr>
            </w:pPr>
            <w:r>
              <w:rPr>
                <w:rFonts w:ascii="Calibri" w:cs="Calibri" w:eastAsia="Calibri" w:hAnsi="Calibri"/>
                <w:sz w:val="14"/>
                <w:szCs w:val="14"/>
                <w:color w:val="auto"/>
              </w:rPr>
              <w:t>Number of</w:t>
            </w:r>
          </w:p>
        </w:tc>
        <w:tc>
          <w:tcPr>
            <w:tcW w:w="120" w:type="dxa"/>
            <w:vAlign w:val="bottom"/>
          </w:tcPr>
          <w:p>
            <w:pPr>
              <w:spacing w:after="0"/>
              <w:rPr>
                <w:sz w:val="13"/>
                <w:szCs w:val="13"/>
                <w:color w:val="auto"/>
              </w:rPr>
            </w:pPr>
          </w:p>
        </w:tc>
        <w:tc>
          <w:tcPr>
            <w:tcW w:w="1480" w:type="dxa"/>
            <w:vAlign w:val="bottom"/>
            <w:tcBorders>
              <w:right w:val="single" w:sz="8" w:color="auto"/>
            </w:tcBorders>
          </w:tcPr>
          <w:p>
            <w:pPr>
              <w:jc w:val="center"/>
              <w:ind w:right="168"/>
              <w:spacing w:after="0" w:line="150" w:lineRule="exact"/>
              <w:rPr>
                <w:sz w:val="20"/>
                <w:szCs w:val="20"/>
                <w:color w:val="auto"/>
              </w:rPr>
            </w:pPr>
            <w:r>
              <w:rPr>
                <w:rFonts w:ascii="Calibri" w:cs="Calibri" w:eastAsia="Calibri" w:hAnsi="Calibri"/>
                <w:sz w:val="14"/>
                <w:szCs w:val="14"/>
                <w:color w:val="auto"/>
              </w:rPr>
              <w:t>Share Value Realized</w:t>
            </w:r>
          </w:p>
        </w:tc>
        <w:tc>
          <w:tcPr>
            <w:tcW w:w="1600" w:type="dxa"/>
            <w:vAlign w:val="bottom"/>
            <w:tcBorders>
              <w:right w:val="single" w:sz="8" w:color="auto"/>
            </w:tcBorders>
            <w:gridSpan w:val="2"/>
          </w:tcPr>
          <w:p>
            <w:pPr>
              <w:ind w:left="20"/>
              <w:spacing w:after="0" w:line="150" w:lineRule="exact"/>
              <w:rPr>
                <w:sz w:val="20"/>
                <w:szCs w:val="20"/>
                <w:color w:val="auto"/>
              </w:rPr>
            </w:pPr>
            <w:r>
              <w:rPr>
                <w:rFonts w:ascii="Calibri" w:cs="Calibri" w:eastAsia="Calibri" w:hAnsi="Calibri"/>
                <w:sz w:val="14"/>
                <w:szCs w:val="14"/>
                <w:color w:val="auto"/>
              </w:rPr>
              <w:t>Dividend Equivalents on</w:t>
            </w:r>
          </w:p>
        </w:tc>
        <w:tc>
          <w:tcPr>
            <w:tcW w:w="140" w:type="dxa"/>
            <w:vAlign w:val="bottom"/>
          </w:tcPr>
          <w:p>
            <w:pPr>
              <w:spacing w:after="0"/>
              <w:rPr>
                <w:sz w:val="13"/>
                <w:szCs w:val="13"/>
                <w:color w:val="auto"/>
              </w:rPr>
            </w:pPr>
          </w:p>
        </w:tc>
        <w:tc>
          <w:tcPr>
            <w:tcW w:w="1440" w:type="dxa"/>
            <w:vAlign w:val="bottom"/>
            <w:tcBorders>
              <w:right w:val="single" w:sz="8" w:color="auto"/>
            </w:tcBorders>
          </w:tcPr>
          <w:p>
            <w:pPr>
              <w:jc w:val="center"/>
              <w:ind w:right="228"/>
              <w:spacing w:after="0" w:line="150" w:lineRule="exact"/>
              <w:rPr>
                <w:sz w:val="20"/>
                <w:szCs w:val="20"/>
                <w:color w:val="auto"/>
              </w:rPr>
            </w:pPr>
            <w:r>
              <w:rPr>
                <w:rFonts w:ascii="Calibri" w:cs="Calibri" w:eastAsia="Calibri" w:hAnsi="Calibri"/>
                <w:sz w:val="14"/>
                <w:szCs w:val="14"/>
                <w:color w:val="auto"/>
              </w:rPr>
              <w:t>Value Realized on</w:t>
            </w:r>
          </w:p>
        </w:tc>
      </w:tr>
      <w:tr>
        <w:trPr>
          <w:trHeight w:val="171"/>
        </w:trPr>
        <w:tc>
          <w:tcPr>
            <w:tcW w:w="1580" w:type="dxa"/>
            <w:vAlign w:val="bottom"/>
            <w:tcBorders>
              <w:left w:val="single" w:sz="8" w:color="auto"/>
              <w:right w:val="single" w:sz="8" w:color="auto"/>
            </w:tcBorders>
          </w:tcPr>
          <w:p>
            <w:pPr>
              <w:spacing w:after="0"/>
              <w:rPr>
                <w:sz w:val="14"/>
                <w:szCs w:val="14"/>
                <w:color w:val="auto"/>
              </w:rPr>
            </w:pPr>
          </w:p>
        </w:tc>
        <w:tc>
          <w:tcPr>
            <w:tcW w:w="1240" w:type="dxa"/>
            <w:vAlign w:val="bottom"/>
          </w:tcPr>
          <w:p>
            <w:pPr>
              <w:jc w:val="center"/>
              <w:ind w:left="228"/>
              <w:spacing w:after="0"/>
              <w:rPr>
                <w:sz w:val="20"/>
                <w:szCs w:val="20"/>
                <w:color w:val="auto"/>
              </w:rPr>
            </w:pPr>
            <w:r>
              <w:rPr>
                <w:rFonts w:ascii="Calibri" w:cs="Calibri" w:eastAsia="Calibri" w:hAnsi="Calibri"/>
                <w:sz w:val="14"/>
                <w:szCs w:val="14"/>
                <w:color w:val="auto"/>
              </w:rPr>
              <w:t>Shares</w:t>
            </w:r>
          </w:p>
        </w:tc>
        <w:tc>
          <w:tcPr>
            <w:tcW w:w="440" w:type="dxa"/>
            <w:vAlign w:val="bottom"/>
            <w:tcBorders>
              <w:right w:val="single" w:sz="8" w:color="auto"/>
            </w:tcBorders>
          </w:tcPr>
          <w:p>
            <w:pPr>
              <w:spacing w:after="0"/>
              <w:rPr>
                <w:sz w:val="14"/>
                <w:szCs w:val="14"/>
                <w:color w:val="auto"/>
              </w:rPr>
            </w:pPr>
          </w:p>
        </w:tc>
        <w:tc>
          <w:tcPr>
            <w:tcW w:w="1220" w:type="dxa"/>
            <w:vAlign w:val="bottom"/>
          </w:tcPr>
          <w:p>
            <w:pPr>
              <w:jc w:val="center"/>
              <w:ind w:left="148"/>
              <w:spacing w:after="0"/>
              <w:rPr>
                <w:sz w:val="20"/>
                <w:szCs w:val="20"/>
                <w:color w:val="auto"/>
              </w:rPr>
            </w:pPr>
            <w:r>
              <w:rPr>
                <w:rFonts w:ascii="Calibri" w:cs="Calibri" w:eastAsia="Calibri" w:hAnsi="Calibri"/>
                <w:sz w:val="14"/>
                <w:szCs w:val="14"/>
                <w:color w:val="auto"/>
                <w:w w:val="99"/>
              </w:rPr>
              <w:t>on Exercise</w:t>
            </w:r>
          </w:p>
        </w:tc>
        <w:tc>
          <w:tcPr>
            <w:tcW w:w="340" w:type="dxa"/>
            <w:vAlign w:val="bottom"/>
            <w:tcBorders>
              <w:right w:val="single" w:sz="8" w:color="auto"/>
            </w:tcBorders>
          </w:tcPr>
          <w:p>
            <w:pPr>
              <w:spacing w:after="0"/>
              <w:rPr>
                <w:sz w:val="14"/>
                <w:szCs w:val="14"/>
                <w:color w:val="auto"/>
              </w:rPr>
            </w:pPr>
          </w:p>
        </w:tc>
        <w:tc>
          <w:tcPr>
            <w:tcW w:w="1640" w:type="dxa"/>
            <w:vAlign w:val="bottom"/>
            <w:tcBorders>
              <w:right w:val="single" w:sz="8" w:color="auto"/>
            </w:tcBorders>
          </w:tcPr>
          <w:p>
            <w:pPr>
              <w:jc w:val="center"/>
              <w:ind w:right="28"/>
              <w:spacing w:after="0"/>
              <w:rPr>
                <w:sz w:val="20"/>
                <w:szCs w:val="20"/>
                <w:color w:val="auto"/>
              </w:rPr>
            </w:pPr>
            <w:r>
              <w:rPr>
                <w:rFonts w:ascii="Calibri" w:cs="Calibri" w:eastAsia="Calibri" w:hAnsi="Calibri"/>
                <w:sz w:val="14"/>
                <w:szCs w:val="14"/>
                <w:color w:val="auto"/>
              </w:rPr>
              <w:t>Shares</w:t>
            </w:r>
          </w:p>
        </w:tc>
        <w:tc>
          <w:tcPr>
            <w:tcW w:w="120" w:type="dxa"/>
            <w:vAlign w:val="bottom"/>
          </w:tcPr>
          <w:p>
            <w:pPr>
              <w:spacing w:after="0"/>
              <w:rPr>
                <w:sz w:val="14"/>
                <w:szCs w:val="14"/>
                <w:color w:val="auto"/>
              </w:rPr>
            </w:pPr>
          </w:p>
        </w:tc>
        <w:tc>
          <w:tcPr>
            <w:tcW w:w="1480" w:type="dxa"/>
            <w:vAlign w:val="bottom"/>
            <w:tcBorders>
              <w:right w:val="single" w:sz="8" w:color="auto"/>
            </w:tcBorders>
          </w:tcPr>
          <w:p>
            <w:pPr>
              <w:jc w:val="center"/>
              <w:ind w:right="168"/>
              <w:spacing w:after="0"/>
              <w:rPr>
                <w:sz w:val="20"/>
                <w:szCs w:val="20"/>
                <w:color w:val="auto"/>
              </w:rPr>
            </w:pPr>
            <w:r>
              <w:rPr>
                <w:rFonts w:ascii="Calibri" w:cs="Calibri" w:eastAsia="Calibri" w:hAnsi="Calibri"/>
                <w:sz w:val="14"/>
                <w:szCs w:val="14"/>
                <w:color w:val="auto"/>
              </w:rPr>
              <w:t>on Vestng</w:t>
            </w:r>
          </w:p>
        </w:tc>
        <w:tc>
          <w:tcPr>
            <w:tcW w:w="100" w:type="dxa"/>
            <w:vAlign w:val="bottom"/>
          </w:tcPr>
          <w:p>
            <w:pPr>
              <w:spacing w:after="0"/>
              <w:rPr>
                <w:sz w:val="14"/>
                <w:szCs w:val="14"/>
                <w:color w:val="auto"/>
              </w:rPr>
            </w:pPr>
          </w:p>
        </w:tc>
        <w:tc>
          <w:tcPr>
            <w:tcW w:w="1500" w:type="dxa"/>
            <w:vAlign w:val="bottom"/>
            <w:tcBorders>
              <w:right w:val="single" w:sz="8" w:color="auto"/>
            </w:tcBorders>
          </w:tcPr>
          <w:p>
            <w:pPr>
              <w:jc w:val="center"/>
              <w:ind w:right="148"/>
              <w:spacing w:after="0"/>
              <w:rPr>
                <w:sz w:val="20"/>
                <w:szCs w:val="20"/>
                <w:color w:val="auto"/>
              </w:rPr>
            </w:pPr>
            <w:r>
              <w:rPr>
                <w:rFonts w:ascii="Calibri" w:cs="Calibri" w:eastAsia="Calibri" w:hAnsi="Calibri"/>
                <w:sz w:val="14"/>
                <w:szCs w:val="14"/>
                <w:color w:val="auto"/>
              </w:rPr>
              <w:t>Share Value Realized</w:t>
            </w:r>
          </w:p>
        </w:tc>
        <w:tc>
          <w:tcPr>
            <w:tcW w:w="140" w:type="dxa"/>
            <w:vAlign w:val="bottom"/>
          </w:tcPr>
          <w:p>
            <w:pPr>
              <w:spacing w:after="0"/>
              <w:rPr>
                <w:sz w:val="14"/>
                <w:szCs w:val="14"/>
                <w:color w:val="auto"/>
              </w:rPr>
            </w:pPr>
          </w:p>
        </w:tc>
        <w:tc>
          <w:tcPr>
            <w:tcW w:w="1440" w:type="dxa"/>
            <w:vAlign w:val="bottom"/>
            <w:tcBorders>
              <w:right w:val="single" w:sz="8" w:color="auto"/>
            </w:tcBorders>
          </w:tcPr>
          <w:p>
            <w:pPr>
              <w:jc w:val="center"/>
              <w:ind w:right="188"/>
              <w:spacing w:after="0"/>
              <w:rPr>
                <w:sz w:val="20"/>
                <w:szCs w:val="20"/>
                <w:color w:val="auto"/>
              </w:rPr>
            </w:pPr>
            <w:r>
              <w:rPr>
                <w:rFonts w:ascii="Calibri" w:cs="Calibri" w:eastAsia="Calibri" w:hAnsi="Calibri"/>
                <w:sz w:val="14"/>
                <w:szCs w:val="14"/>
                <w:color w:val="auto"/>
              </w:rPr>
              <w:t>Vestng</w:t>
            </w:r>
          </w:p>
        </w:tc>
      </w:tr>
      <w:tr>
        <w:trPr>
          <w:trHeight w:val="176"/>
        </w:trPr>
        <w:tc>
          <w:tcPr>
            <w:tcW w:w="1580" w:type="dxa"/>
            <w:vAlign w:val="bottom"/>
            <w:tcBorders>
              <w:left w:val="single" w:sz="8" w:color="auto"/>
              <w:right w:val="single" w:sz="8" w:color="auto"/>
            </w:tcBorders>
          </w:tcPr>
          <w:p>
            <w:pPr>
              <w:spacing w:after="0"/>
              <w:rPr>
                <w:sz w:val="15"/>
                <w:szCs w:val="15"/>
                <w:color w:val="auto"/>
              </w:rPr>
            </w:pPr>
          </w:p>
        </w:tc>
        <w:tc>
          <w:tcPr>
            <w:tcW w:w="1240" w:type="dxa"/>
            <w:vAlign w:val="bottom"/>
          </w:tcPr>
          <w:p>
            <w:pPr>
              <w:jc w:val="center"/>
              <w:ind w:left="208"/>
              <w:spacing w:after="0"/>
              <w:rPr>
                <w:sz w:val="20"/>
                <w:szCs w:val="20"/>
                <w:color w:val="auto"/>
              </w:rPr>
            </w:pPr>
            <w:r>
              <w:rPr>
                <w:rFonts w:ascii="Calibri" w:cs="Calibri" w:eastAsia="Calibri" w:hAnsi="Calibri"/>
                <w:sz w:val="14"/>
                <w:szCs w:val="14"/>
                <w:color w:val="auto"/>
              </w:rPr>
              <w:t>Acquired</w:t>
            </w:r>
          </w:p>
        </w:tc>
        <w:tc>
          <w:tcPr>
            <w:tcW w:w="440" w:type="dxa"/>
            <w:vAlign w:val="bottom"/>
            <w:tcBorders>
              <w:right w:val="single" w:sz="8" w:color="auto"/>
            </w:tcBorders>
          </w:tcPr>
          <w:p>
            <w:pPr>
              <w:spacing w:after="0"/>
              <w:rPr>
                <w:sz w:val="15"/>
                <w:szCs w:val="15"/>
                <w:color w:val="auto"/>
              </w:rPr>
            </w:pPr>
          </w:p>
        </w:tc>
        <w:tc>
          <w:tcPr>
            <w:tcW w:w="1220" w:type="dxa"/>
            <w:vAlign w:val="bottom"/>
          </w:tcPr>
          <w:p>
            <w:pPr>
              <w:jc w:val="center"/>
              <w:ind w:left="148"/>
              <w:spacing w:after="0"/>
              <w:rPr>
                <w:sz w:val="20"/>
                <w:szCs w:val="20"/>
                <w:color w:val="auto"/>
              </w:rPr>
            </w:pPr>
            <w:r>
              <w:rPr>
                <w:rFonts w:ascii="Calibri" w:cs="Calibri" w:eastAsia="Calibri" w:hAnsi="Calibri"/>
                <w:sz w:val="14"/>
                <w:szCs w:val="14"/>
                <w:color w:val="auto"/>
              </w:rPr>
              <w:t>($)</w:t>
            </w:r>
          </w:p>
        </w:tc>
        <w:tc>
          <w:tcPr>
            <w:tcW w:w="34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tcPr>
          <w:p>
            <w:pPr>
              <w:jc w:val="center"/>
              <w:ind w:right="48"/>
              <w:spacing w:after="0"/>
              <w:rPr>
                <w:sz w:val="20"/>
                <w:szCs w:val="20"/>
                <w:color w:val="auto"/>
              </w:rPr>
            </w:pPr>
            <w:r>
              <w:rPr>
                <w:rFonts w:ascii="Calibri" w:cs="Calibri" w:eastAsia="Calibri" w:hAnsi="Calibri"/>
                <w:sz w:val="14"/>
                <w:szCs w:val="14"/>
                <w:color w:val="auto"/>
              </w:rPr>
              <w:t>Acquired</w:t>
            </w:r>
          </w:p>
        </w:tc>
        <w:tc>
          <w:tcPr>
            <w:tcW w:w="120" w:type="dxa"/>
            <w:vAlign w:val="bottom"/>
          </w:tcPr>
          <w:p>
            <w:pPr>
              <w:spacing w:after="0"/>
              <w:rPr>
                <w:sz w:val="15"/>
                <w:szCs w:val="15"/>
                <w:color w:val="auto"/>
              </w:rPr>
            </w:pPr>
          </w:p>
        </w:tc>
        <w:tc>
          <w:tcPr>
            <w:tcW w:w="1480" w:type="dxa"/>
            <w:vAlign w:val="bottom"/>
            <w:tcBorders>
              <w:right w:val="single" w:sz="8" w:color="auto"/>
            </w:tcBorders>
          </w:tcPr>
          <w:p>
            <w:pPr>
              <w:jc w:val="center"/>
              <w:ind w:right="168"/>
              <w:spacing w:after="0"/>
              <w:rPr>
                <w:sz w:val="20"/>
                <w:szCs w:val="20"/>
                <w:color w:val="auto"/>
              </w:rPr>
            </w:pPr>
            <w:r>
              <w:rPr>
                <w:rFonts w:ascii="Calibri" w:cs="Calibri" w:eastAsia="Calibri" w:hAnsi="Calibri"/>
                <w:sz w:val="14"/>
                <w:szCs w:val="14"/>
                <w:color w:val="auto"/>
              </w:rPr>
              <w:t>($)(3)</w:t>
            </w:r>
          </w:p>
        </w:tc>
        <w:tc>
          <w:tcPr>
            <w:tcW w:w="100" w:type="dxa"/>
            <w:vAlign w:val="bottom"/>
          </w:tcPr>
          <w:p>
            <w:pPr>
              <w:spacing w:after="0"/>
              <w:rPr>
                <w:sz w:val="15"/>
                <w:szCs w:val="15"/>
                <w:color w:val="auto"/>
              </w:rPr>
            </w:pPr>
          </w:p>
        </w:tc>
        <w:tc>
          <w:tcPr>
            <w:tcW w:w="1500" w:type="dxa"/>
            <w:vAlign w:val="bottom"/>
            <w:tcBorders>
              <w:right w:val="single" w:sz="8" w:color="auto"/>
            </w:tcBorders>
          </w:tcPr>
          <w:p>
            <w:pPr>
              <w:jc w:val="center"/>
              <w:ind w:right="148"/>
              <w:spacing w:after="0"/>
              <w:rPr>
                <w:sz w:val="20"/>
                <w:szCs w:val="20"/>
                <w:color w:val="auto"/>
              </w:rPr>
            </w:pPr>
            <w:r>
              <w:rPr>
                <w:rFonts w:ascii="Calibri" w:cs="Calibri" w:eastAsia="Calibri" w:hAnsi="Calibri"/>
                <w:sz w:val="14"/>
                <w:szCs w:val="14"/>
                <w:color w:val="auto"/>
              </w:rPr>
              <w:t>($)</w:t>
            </w:r>
          </w:p>
        </w:tc>
        <w:tc>
          <w:tcPr>
            <w:tcW w:w="140" w:type="dxa"/>
            <w:vAlign w:val="bottom"/>
          </w:tcPr>
          <w:p>
            <w:pPr>
              <w:spacing w:after="0"/>
              <w:rPr>
                <w:sz w:val="15"/>
                <w:szCs w:val="15"/>
                <w:color w:val="auto"/>
              </w:rPr>
            </w:pPr>
          </w:p>
        </w:tc>
        <w:tc>
          <w:tcPr>
            <w:tcW w:w="1440" w:type="dxa"/>
            <w:vAlign w:val="bottom"/>
            <w:tcBorders>
              <w:right w:val="single" w:sz="8" w:color="auto"/>
            </w:tcBorders>
          </w:tcPr>
          <w:p>
            <w:pPr>
              <w:jc w:val="center"/>
              <w:ind w:right="208"/>
              <w:spacing w:after="0"/>
              <w:rPr>
                <w:sz w:val="20"/>
                <w:szCs w:val="20"/>
                <w:color w:val="auto"/>
              </w:rPr>
            </w:pPr>
            <w:r>
              <w:rPr>
                <w:rFonts w:ascii="Calibri" w:cs="Calibri" w:eastAsia="Calibri" w:hAnsi="Calibri"/>
                <w:sz w:val="14"/>
                <w:szCs w:val="14"/>
                <w:color w:val="auto"/>
              </w:rPr>
              <w:t>($)</w:t>
            </w:r>
          </w:p>
        </w:tc>
      </w:tr>
      <w:tr>
        <w:trPr>
          <w:trHeight w:val="175"/>
        </w:trPr>
        <w:tc>
          <w:tcPr>
            <w:tcW w:w="1580" w:type="dxa"/>
            <w:vAlign w:val="bottom"/>
            <w:tcBorders>
              <w:left w:val="single" w:sz="8" w:color="auto"/>
              <w:right w:val="single" w:sz="8" w:color="auto"/>
            </w:tcBorders>
          </w:tcPr>
          <w:p>
            <w:pPr>
              <w:spacing w:after="0"/>
              <w:rPr>
                <w:sz w:val="15"/>
                <w:szCs w:val="15"/>
                <w:color w:val="auto"/>
              </w:rPr>
            </w:pPr>
          </w:p>
        </w:tc>
        <w:tc>
          <w:tcPr>
            <w:tcW w:w="1240" w:type="dxa"/>
            <w:vAlign w:val="bottom"/>
          </w:tcPr>
          <w:p>
            <w:pPr>
              <w:jc w:val="center"/>
              <w:ind w:left="228"/>
              <w:spacing w:after="0"/>
              <w:rPr>
                <w:sz w:val="20"/>
                <w:szCs w:val="20"/>
                <w:color w:val="auto"/>
              </w:rPr>
            </w:pPr>
            <w:r>
              <w:rPr>
                <w:rFonts w:ascii="Calibri" w:cs="Calibri" w:eastAsia="Calibri" w:hAnsi="Calibri"/>
                <w:sz w:val="14"/>
                <w:szCs w:val="14"/>
                <w:color w:val="auto"/>
              </w:rPr>
              <w:t>on Exercise</w:t>
            </w:r>
          </w:p>
        </w:tc>
        <w:tc>
          <w:tcPr>
            <w:tcW w:w="440" w:type="dxa"/>
            <w:vAlign w:val="bottom"/>
            <w:tcBorders>
              <w:right w:val="single" w:sz="8" w:color="auto"/>
            </w:tcBorders>
          </w:tcPr>
          <w:p>
            <w:pPr>
              <w:spacing w:after="0"/>
              <w:rPr>
                <w:sz w:val="15"/>
                <w:szCs w:val="15"/>
                <w:color w:val="auto"/>
              </w:rPr>
            </w:pPr>
          </w:p>
        </w:tc>
        <w:tc>
          <w:tcPr>
            <w:tcW w:w="1220" w:type="dxa"/>
            <w:vAlign w:val="bottom"/>
          </w:tcPr>
          <w:p>
            <w:pPr>
              <w:spacing w:after="0"/>
              <w:rPr>
                <w:sz w:val="15"/>
                <w:szCs w:val="15"/>
                <w:color w:val="auto"/>
              </w:rPr>
            </w:pPr>
          </w:p>
        </w:tc>
        <w:tc>
          <w:tcPr>
            <w:tcW w:w="34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tcPr>
          <w:p>
            <w:pPr>
              <w:jc w:val="center"/>
              <w:ind w:right="48"/>
              <w:spacing w:after="0"/>
              <w:rPr>
                <w:sz w:val="20"/>
                <w:szCs w:val="20"/>
                <w:color w:val="auto"/>
              </w:rPr>
            </w:pPr>
            <w:r>
              <w:rPr>
                <w:rFonts w:ascii="Calibri" w:cs="Calibri" w:eastAsia="Calibri" w:hAnsi="Calibri"/>
                <w:sz w:val="14"/>
                <w:szCs w:val="14"/>
                <w:color w:val="auto"/>
              </w:rPr>
              <w:t>on Vestng</w:t>
            </w:r>
          </w:p>
        </w:tc>
        <w:tc>
          <w:tcPr>
            <w:tcW w:w="120" w:type="dxa"/>
            <w:vAlign w:val="bottom"/>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r>
      <w:tr>
        <w:trPr>
          <w:trHeight w:val="176"/>
        </w:trPr>
        <w:tc>
          <w:tcPr>
            <w:tcW w:w="1580" w:type="dxa"/>
            <w:vAlign w:val="bottom"/>
            <w:tcBorders>
              <w:left w:val="single" w:sz="8" w:color="auto"/>
              <w:right w:val="single" w:sz="8" w:color="auto"/>
            </w:tcBorders>
          </w:tcPr>
          <w:p>
            <w:pPr>
              <w:spacing w:after="0"/>
              <w:rPr>
                <w:sz w:val="15"/>
                <w:szCs w:val="15"/>
                <w:color w:val="auto"/>
              </w:rPr>
            </w:pPr>
          </w:p>
        </w:tc>
        <w:tc>
          <w:tcPr>
            <w:tcW w:w="1240" w:type="dxa"/>
            <w:vAlign w:val="bottom"/>
          </w:tcPr>
          <w:p>
            <w:pPr>
              <w:jc w:val="center"/>
              <w:ind w:left="208"/>
              <w:spacing w:after="0"/>
              <w:rPr>
                <w:sz w:val="20"/>
                <w:szCs w:val="20"/>
                <w:color w:val="auto"/>
              </w:rPr>
            </w:pPr>
            <w:r>
              <w:rPr>
                <w:rFonts w:ascii="Calibri" w:cs="Calibri" w:eastAsia="Calibri" w:hAnsi="Calibri"/>
                <w:sz w:val="14"/>
                <w:szCs w:val="14"/>
                <w:color w:val="auto"/>
              </w:rPr>
              <w:t>(#)</w:t>
            </w:r>
          </w:p>
        </w:tc>
        <w:tc>
          <w:tcPr>
            <w:tcW w:w="440" w:type="dxa"/>
            <w:vAlign w:val="bottom"/>
            <w:tcBorders>
              <w:right w:val="single" w:sz="8" w:color="auto"/>
            </w:tcBorders>
          </w:tcPr>
          <w:p>
            <w:pPr>
              <w:spacing w:after="0"/>
              <w:rPr>
                <w:sz w:val="15"/>
                <w:szCs w:val="15"/>
                <w:color w:val="auto"/>
              </w:rPr>
            </w:pPr>
          </w:p>
        </w:tc>
        <w:tc>
          <w:tcPr>
            <w:tcW w:w="1220" w:type="dxa"/>
            <w:vAlign w:val="bottom"/>
          </w:tcPr>
          <w:p>
            <w:pPr>
              <w:spacing w:after="0"/>
              <w:rPr>
                <w:sz w:val="15"/>
                <w:szCs w:val="15"/>
                <w:color w:val="auto"/>
              </w:rPr>
            </w:pPr>
          </w:p>
        </w:tc>
        <w:tc>
          <w:tcPr>
            <w:tcW w:w="34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tcPr>
          <w:p>
            <w:pPr>
              <w:jc w:val="center"/>
              <w:ind w:right="48"/>
              <w:spacing w:after="0"/>
              <w:rPr>
                <w:sz w:val="20"/>
                <w:szCs w:val="20"/>
                <w:color w:val="auto"/>
              </w:rPr>
            </w:pPr>
            <w:r>
              <w:rPr>
                <w:rFonts w:ascii="Calibri" w:cs="Calibri" w:eastAsia="Calibri" w:hAnsi="Calibri"/>
                <w:sz w:val="14"/>
                <w:szCs w:val="14"/>
                <w:color w:val="auto"/>
              </w:rPr>
              <w:t>(#)(2)</w:t>
            </w:r>
          </w:p>
        </w:tc>
        <w:tc>
          <w:tcPr>
            <w:tcW w:w="120" w:type="dxa"/>
            <w:vAlign w:val="bottom"/>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r>
      <w:tr>
        <w:trPr>
          <w:trHeight w:val="203"/>
        </w:trPr>
        <w:tc>
          <w:tcPr>
            <w:tcW w:w="1580" w:type="dxa"/>
            <w:vAlign w:val="bottom"/>
            <w:tcBorders>
              <w:left w:val="single" w:sz="8" w:color="auto"/>
              <w:right w:val="single" w:sz="8" w:color="auto"/>
            </w:tcBorders>
          </w:tcPr>
          <w:p>
            <w:pPr>
              <w:ind w:left="700"/>
              <w:spacing w:after="0"/>
              <w:rPr>
                <w:sz w:val="20"/>
                <w:szCs w:val="20"/>
                <w:color w:val="auto"/>
              </w:rPr>
            </w:pPr>
            <w:r>
              <w:rPr>
                <w:rFonts w:ascii="Calibri" w:cs="Calibri" w:eastAsia="Calibri" w:hAnsi="Calibri"/>
                <w:sz w:val="14"/>
                <w:szCs w:val="14"/>
                <w:color w:val="auto"/>
              </w:rPr>
              <w:t>(a)</w:t>
            </w:r>
          </w:p>
        </w:tc>
        <w:tc>
          <w:tcPr>
            <w:tcW w:w="1240" w:type="dxa"/>
            <w:vAlign w:val="bottom"/>
          </w:tcPr>
          <w:p>
            <w:pPr>
              <w:jc w:val="center"/>
              <w:ind w:left="208"/>
              <w:spacing w:after="0"/>
              <w:rPr>
                <w:sz w:val="20"/>
                <w:szCs w:val="20"/>
                <w:color w:val="auto"/>
              </w:rPr>
            </w:pPr>
            <w:r>
              <w:rPr>
                <w:rFonts w:ascii="Calibri" w:cs="Calibri" w:eastAsia="Calibri" w:hAnsi="Calibri"/>
                <w:sz w:val="14"/>
                <w:szCs w:val="14"/>
                <w:color w:val="auto"/>
              </w:rPr>
              <w:t>(b)</w:t>
            </w:r>
          </w:p>
        </w:tc>
        <w:tc>
          <w:tcPr>
            <w:tcW w:w="440" w:type="dxa"/>
            <w:vAlign w:val="bottom"/>
            <w:tcBorders>
              <w:right w:val="single" w:sz="8" w:color="auto"/>
            </w:tcBorders>
          </w:tcPr>
          <w:p>
            <w:pPr>
              <w:spacing w:after="0"/>
              <w:rPr>
                <w:sz w:val="17"/>
                <w:szCs w:val="17"/>
                <w:color w:val="auto"/>
              </w:rPr>
            </w:pPr>
          </w:p>
        </w:tc>
        <w:tc>
          <w:tcPr>
            <w:tcW w:w="1220" w:type="dxa"/>
            <w:vAlign w:val="bottom"/>
          </w:tcPr>
          <w:p>
            <w:pPr>
              <w:jc w:val="center"/>
              <w:ind w:left="148"/>
              <w:spacing w:after="0"/>
              <w:rPr>
                <w:sz w:val="20"/>
                <w:szCs w:val="20"/>
                <w:color w:val="auto"/>
              </w:rPr>
            </w:pPr>
            <w:r>
              <w:rPr>
                <w:rFonts w:ascii="Calibri" w:cs="Calibri" w:eastAsia="Calibri" w:hAnsi="Calibri"/>
                <w:sz w:val="14"/>
                <w:szCs w:val="14"/>
                <w:color w:val="auto"/>
              </w:rPr>
              <w:t>(c)</w:t>
            </w:r>
          </w:p>
        </w:tc>
        <w:tc>
          <w:tcPr>
            <w:tcW w:w="34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jc w:val="center"/>
              <w:ind w:right="48"/>
              <w:spacing w:after="0"/>
              <w:rPr>
                <w:sz w:val="20"/>
                <w:szCs w:val="20"/>
                <w:color w:val="auto"/>
              </w:rPr>
            </w:pPr>
            <w:r>
              <w:rPr>
                <w:rFonts w:ascii="Calibri" w:cs="Calibri" w:eastAsia="Calibri" w:hAnsi="Calibri"/>
                <w:sz w:val="14"/>
                <w:szCs w:val="14"/>
                <w:color w:val="auto"/>
              </w:rPr>
              <w:t>(d)</w:t>
            </w:r>
          </w:p>
        </w:tc>
        <w:tc>
          <w:tcPr>
            <w:tcW w:w="120" w:type="dxa"/>
            <w:vAlign w:val="bottom"/>
          </w:tcPr>
          <w:p>
            <w:pPr>
              <w:spacing w:after="0"/>
              <w:rPr>
                <w:sz w:val="17"/>
                <w:szCs w:val="17"/>
                <w:color w:val="auto"/>
              </w:rPr>
            </w:pPr>
          </w:p>
        </w:tc>
        <w:tc>
          <w:tcPr>
            <w:tcW w:w="1480" w:type="dxa"/>
            <w:vAlign w:val="bottom"/>
            <w:tcBorders>
              <w:right w:val="single" w:sz="8" w:color="auto"/>
            </w:tcBorders>
          </w:tcPr>
          <w:p>
            <w:pPr>
              <w:jc w:val="center"/>
              <w:ind w:right="168"/>
              <w:spacing w:after="0"/>
              <w:rPr>
                <w:sz w:val="20"/>
                <w:szCs w:val="20"/>
                <w:color w:val="auto"/>
              </w:rPr>
            </w:pPr>
            <w:r>
              <w:rPr>
                <w:rFonts w:ascii="Calibri" w:cs="Calibri" w:eastAsia="Calibri" w:hAnsi="Calibri"/>
                <w:sz w:val="14"/>
                <w:szCs w:val="14"/>
                <w:color w:val="auto"/>
              </w:rPr>
              <w:t>(e)</w:t>
            </w:r>
          </w:p>
        </w:tc>
        <w:tc>
          <w:tcPr>
            <w:tcW w:w="100" w:type="dxa"/>
            <w:vAlign w:val="bottom"/>
          </w:tcPr>
          <w:p>
            <w:pPr>
              <w:spacing w:after="0"/>
              <w:rPr>
                <w:sz w:val="17"/>
                <w:szCs w:val="17"/>
                <w:color w:val="auto"/>
              </w:rPr>
            </w:pPr>
          </w:p>
        </w:tc>
        <w:tc>
          <w:tcPr>
            <w:tcW w:w="1500" w:type="dxa"/>
            <w:vAlign w:val="bottom"/>
            <w:tcBorders>
              <w:right w:val="single" w:sz="8" w:color="auto"/>
            </w:tcBorders>
          </w:tcPr>
          <w:p>
            <w:pPr>
              <w:jc w:val="center"/>
              <w:ind w:right="168"/>
              <w:spacing w:after="0"/>
              <w:rPr>
                <w:sz w:val="20"/>
                <w:szCs w:val="20"/>
                <w:color w:val="auto"/>
              </w:rPr>
            </w:pPr>
            <w:r>
              <w:rPr>
                <w:rFonts w:ascii="Calibri" w:cs="Calibri" w:eastAsia="Calibri" w:hAnsi="Calibri"/>
                <w:sz w:val="14"/>
                <w:szCs w:val="14"/>
                <w:color w:val="auto"/>
              </w:rPr>
              <w:t>(f)</w:t>
            </w:r>
          </w:p>
        </w:tc>
        <w:tc>
          <w:tcPr>
            <w:tcW w:w="140" w:type="dxa"/>
            <w:vAlign w:val="bottom"/>
          </w:tcPr>
          <w:p>
            <w:pPr>
              <w:spacing w:after="0"/>
              <w:rPr>
                <w:sz w:val="17"/>
                <w:szCs w:val="17"/>
                <w:color w:val="auto"/>
              </w:rPr>
            </w:pPr>
          </w:p>
        </w:tc>
        <w:tc>
          <w:tcPr>
            <w:tcW w:w="1440" w:type="dxa"/>
            <w:vAlign w:val="bottom"/>
            <w:tcBorders>
              <w:right w:val="single" w:sz="8" w:color="auto"/>
            </w:tcBorders>
          </w:tcPr>
          <w:p>
            <w:pPr>
              <w:jc w:val="center"/>
              <w:ind w:right="188"/>
              <w:spacing w:after="0"/>
              <w:rPr>
                <w:sz w:val="20"/>
                <w:szCs w:val="20"/>
                <w:color w:val="auto"/>
              </w:rPr>
            </w:pPr>
            <w:r>
              <w:rPr>
                <w:rFonts w:ascii="Calibri" w:cs="Calibri" w:eastAsia="Calibri" w:hAnsi="Calibri"/>
                <w:sz w:val="14"/>
                <w:szCs w:val="14"/>
                <w:color w:val="auto"/>
                <w:w w:val="92"/>
              </w:rPr>
              <w:t>(g)</w:t>
            </w:r>
          </w:p>
        </w:tc>
      </w:tr>
      <w:tr>
        <w:trPr>
          <w:trHeight w:val="55"/>
        </w:trPr>
        <w:tc>
          <w:tcPr>
            <w:tcW w:w="1580" w:type="dxa"/>
            <w:vAlign w:val="bottom"/>
            <w:tcBorders>
              <w:left w:val="single" w:sz="8" w:color="auto"/>
              <w:bottom w:val="single" w:sz="8" w:color="auto"/>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r>
      <w:tr>
        <w:trPr>
          <w:trHeight w:val="201"/>
        </w:trPr>
        <w:tc>
          <w:tcPr>
            <w:tcW w:w="1580" w:type="dxa"/>
            <w:vAlign w:val="bottom"/>
            <w:tcBorders>
              <w:top w:val="single" w:sz="8" w:color="auto"/>
              <w:left w:val="single" w:sz="8" w:color="auto"/>
              <w:bottom w:val="single" w:sz="8" w:color="E7E6E6"/>
              <w:right w:val="single" w:sz="8" w:color="auto"/>
            </w:tcBorders>
            <w:shd w:val="clear" w:color="auto" w:fill="E7E6E6"/>
          </w:tcPr>
          <w:p>
            <w:pPr>
              <w:ind w:left="40"/>
              <w:spacing w:after="0" w:line="150" w:lineRule="exact"/>
              <w:rPr>
                <w:sz w:val="20"/>
                <w:szCs w:val="20"/>
                <w:color w:val="auto"/>
              </w:rPr>
            </w:pPr>
            <w:r>
              <w:rPr>
                <w:rFonts w:ascii="Calibri" w:cs="Calibri" w:eastAsia="Calibri" w:hAnsi="Calibri"/>
                <w:sz w:val="14"/>
                <w:szCs w:val="14"/>
                <w:color w:val="auto"/>
              </w:rPr>
              <w:t>S. Trauschke</w:t>
            </w:r>
          </w:p>
        </w:tc>
        <w:tc>
          <w:tcPr>
            <w:tcW w:w="1240" w:type="dxa"/>
            <w:vAlign w:val="bottom"/>
            <w:tcBorders>
              <w:top w:val="single" w:sz="8" w:color="E7E6E6"/>
              <w:bottom w:val="single" w:sz="8" w:color="E7E6E6"/>
            </w:tcBorders>
            <w:shd w:val="clear" w:color="auto" w:fill="E7E6E6"/>
          </w:tcPr>
          <w:p>
            <w:pPr>
              <w:spacing w:after="0"/>
              <w:rPr>
                <w:sz w:val="17"/>
                <w:szCs w:val="17"/>
                <w:color w:val="auto"/>
              </w:rPr>
            </w:pPr>
          </w:p>
        </w:tc>
        <w:tc>
          <w:tcPr>
            <w:tcW w:w="440" w:type="dxa"/>
            <w:vAlign w:val="bottom"/>
            <w:tcBorders>
              <w:top w:val="single" w:sz="8" w:color="E7E6E6"/>
              <w:bottom w:val="single" w:sz="8" w:color="E7E6E6"/>
              <w:right w:val="single" w:sz="8" w:color="auto"/>
            </w:tcBorders>
            <w:shd w:val="clear" w:color="auto" w:fill="E7E6E6"/>
          </w:tcPr>
          <w:p>
            <w:pPr>
              <w:ind w:left="160"/>
              <w:spacing w:after="0" w:line="150" w:lineRule="exact"/>
              <w:rPr>
                <w:sz w:val="20"/>
                <w:szCs w:val="20"/>
                <w:color w:val="auto"/>
              </w:rPr>
            </w:pPr>
            <w:r>
              <w:rPr>
                <w:rFonts w:ascii="Calibri" w:cs="Calibri" w:eastAsia="Calibri" w:hAnsi="Calibri"/>
                <w:sz w:val="14"/>
                <w:szCs w:val="14"/>
                <w:color w:val="auto"/>
              </w:rPr>
              <w:t>—</w:t>
            </w:r>
          </w:p>
        </w:tc>
        <w:tc>
          <w:tcPr>
            <w:tcW w:w="1220" w:type="dxa"/>
            <w:vAlign w:val="bottom"/>
            <w:tcBorders>
              <w:top w:val="single" w:sz="8" w:color="E7E6E6"/>
              <w:bottom w:val="single" w:sz="8" w:color="E7E6E6"/>
            </w:tcBorders>
            <w:shd w:val="clear" w:color="auto" w:fill="E7E6E6"/>
          </w:tcPr>
          <w:p>
            <w:pPr>
              <w:jc w:val="right"/>
              <w:ind w:right="1068"/>
              <w:spacing w:after="0" w:line="150" w:lineRule="exact"/>
              <w:rPr>
                <w:sz w:val="20"/>
                <w:szCs w:val="20"/>
                <w:color w:val="auto"/>
              </w:rPr>
            </w:pPr>
            <w:r>
              <w:rPr>
                <w:rFonts w:ascii="Calibri" w:cs="Calibri" w:eastAsia="Calibri" w:hAnsi="Calibri"/>
                <w:sz w:val="14"/>
                <w:szCs w:val="14"/>
                <w:color w:val="auto"/>
                <w:w w:val="83"/>
              </w:rPr>
              <w:t>$</w:t>
            </w:r>
          </w:p>
        </w:tc>
        <w:tc>
          <w:tcPr>
            <w:tcW w:w="340" w:type="dxa"/>
            <w:vAlign w:val="bottom"/>
            <w:tcBorders>
              <w:top w:val="single" w:sz="8" w:color="E7E6E6"/>
              <w:bottom w:val="single" w:sz="8" w:color="E7E6E6"/>
              <w:right w:val="single" w:sz="8" w:color="auto"/>
            </w:tcBorders>
            <w:shd w:val="clear" w:color="auto" w:fill="E7E6E6"/>
          </w:tcPr>
          <w:p>
            <w:pPr>
              <w:ind w:left="80"/>
              <w:spacing w:after="0" w:line="150" w:lineRule="exact"/>
              <w:rPr>
                <w:sz w:val="20"/>
                <w:szCs w:val="20"/>
                <w:color w:val="auto"/>
              </w:rPr>
            </w:pPr>
            <w:r>
              <w:rPr>
                <w:rFonts w:ascii="Calibri" w:cs="Calibri" w:eastAsia="Calibri" w:hAnsi="Calibri"/>
                <w:sz w:val="14"/>
                <w:szCs w:val="14"/>
                <w:color w:val="auto"/>
              </w:rPr>
              <w:t>—</w:t>
            </w:r>
          </w:p>
        </w:tc>
        <w:tc>
          <w:tcPr>
            <w:tcW w:w="1640" w:type="dxa"/>
            <w:vAlign w:val="bottom"/>
            <w:tcBorders>
              <w:top w:val="single" w:sz="8" w:color="E7E6E6"/>
              <w:bottom w:val="single" w:sz="8" w:color="E7E6E6"/>
              <w:right w:val="single" w:sz="8" w:color="auto"/>
            </w:tcBorders>
            <w:shd w:val="clear" w:color="auto" w:fill="E7E6E6"/>
          </w:tcPr>
          <w:p>
            <w:pPr>
              <w:jc w:val="right"/>
              <w:ind w:right="48"/>
              <w:spacing w:after="0" w:line="150" w:lineRule="exact"/>
              <w:rPr>
                <w:sz w:val="20"/>
                <w:szCs w:val="20"/>
                <w:color w:val="auto"/>
              </w:rPr>
            </w:pPr>
            <w:r>
              <w:rPr>
                <w:rFonts w:ascii="Calibri" w:cs="Calibri" w:eastAsia="Calibri" w:hAnsi="Calibri"/>
                <w:sz w:val="14"/>
                <w:szCs w:val="14"/>
                <w:color w:val="auto"/>
              </w:rPr>
              <w:t>154,285</w:t>
            </w:r>
          </w:p>
        </w:tc>
        <w:tc>
          <w:tcPr>
            <w:tcW w:w="120" w:type="dxa"/>
            <w:vAlign w:val="bottom"/>
            <w:tcBorders>
              <w:top w:val="single" w:sz="8" w:color="E7E6E6"/>
              <w:bottom w:val="single" w:sz="8" w:color="E7E6E6"/>
            </w:tcBorders>
            <w:shd w:val="clear" w:color="auto" w:fill="E7E6E6"/>
          </w:tcPr>
          <w:p>
            <w:pPr>
              <w:jc w:val="right"/>
              <w:spacing w:after="0" w:line="150" w:lineRule="exact"/>
              <w:rPr>
                <w:sz w:val="20"/>
                <w:szCs w:val="20"/>
                <w:color w:val="auto"/>
              </w:rPr>
            </w:pPr>
            <w:r>
              <w:rPr>
                <w:rFonts w:ascii="Calibri" w:cs="Calibri" w:eastAsia="Calibri" w:hAnsi="Calibri"/>
                <w:sz w:val="14"/>
                <w:szCs w:val="14"/>
                <w:color w:val="auto"/>
                <w:w w:val="83"/>
              </w:rPr>
              <w:t>$</w:t>
            </w:r>
          </w:p>
        </w:tc>
        <w:tc>
          <w:tcPr>
            <w:tcW w:w="1480" w:type="dxa"/>
            <w:vAlign w:val="bottom"/>
            <w:tcBorders>
              <w:top w:val="single" w:sz="8" w:color="E7E6E6"/>
              <w:bottom w:val="single" w:sz="8" w:color="E7E6E6"/>
              <w:right w:val="single" w:sz="8" w:color="auto"/>
            </w:tcBorders>
            <w:shd w:val="clear" w:color="auto" w:fill="E7E6E6"/>
          </w:tcPr>
          <w:p>
            <w:pPr>
              <w:jc w:val="right"/>
              <w:ind w:right="48"/>
              <w:spacing w:after="0" w:line="150" w:lineRule="exact"/>
              <w:rPr>
                <w:sz w:val="20"/>
                <w:szCs w:val="20"/>
                <w:color w:val="auto"/>
              </w:rPr>
            </w:pPr>
            <w:r>
              <w:rPr>
                <w:rFonts w:ascii="Calibri" w:cs="Calibri" w:eastAsia="Calibri" w:hAnsi="Calibri"/>
                <w:sz w:val="14"/>
                <w:szCs w:val="14"/>
                <w:color w:val="auto"/>
              </w:rPr>
              <w:t>5,389,175</w:t>
            </w:r>
          </w:p>
        </w:tc>
        <w:tc>
          <w:tcPr>
            <w:tcW w:w="100" w:type="dxa"/>
            <w:vAlign w:val="bottom"/>
            <w:tcBorders>
              <w:top w:val="single" w:sz="8" w:color="E7E6E6"/>
              <w:bottom w:val="single" w:sz="8" w:color="E7E6E6"/>
            </w:tcBorders>
            <w:shd w:val="clear" w:color="auto" w:fill="E7E6E6"/>
          </w:tcPr>
          <w:p>
            <w:pPr>
              <w:spacing w:after="0" w:line="150" w:lineRule="exact"/>
              <w:rPr>
                <w:sz w:val="20"/>
                <w:szCs w:val="20"/>
                <w:color w:val="auto"/>
              </w:rPr>
            </w:pPr>
            <w:r>
              <w:rPr>
                <w:rFonts w:ascii="Calibri" w:cs="Calibri" w:eastAsia="Calibri" w:hAnsi="Calibri"/>
                <w:sz w:val="14"/>
                <w:szCs w:val="14"/>
                <w:color w:val="auto"/>
              </w:rPr>
              <w:t>$</w:t>
            </w:r>
          </w:p>
        </w:tc>
        <w:tc>
          <w:tcPr>
            <w:tcW w:w="1500" w:type="dxa"/>
            <w:vAlign w:val="bottom"/>
            <w:tcBorders>
              <w:top w:val="single" w:sz="8" w:color="E7E6E6"/>
              <w:bottom w:val="single" w:sz="8" w:color="E7E6E6"/>
              <w:right w:val="single" w:sz="8" w:color="auto"/>
            </w:tcBorders>
            <w:shd w:val="clear" w:color="auto" w:fill="E7E6E6"/>
          </w:tcPr>
          <w:p>
            <w:pPr>
              <w:jc w:val="right"/>
              <w:ind w:right="68"/>
              <w:spacing w:after="0" w:line="150" w:lineRule="exact"/>
              <w:rPr>
                <w:sz w:val="20"/>
                <w:szCs w:val="20"/>
                <w:color w:val="auto"/>
              </w:rPr>
            </w:pPr>
            <w:r>
              <w:rPr>
                <w:rFonts w:ascii="Calibri" w:cs="Calibri" w:eastAsia="Calibri" w:hAnsi="Calibri"/>
                <w:sz w:val="14"/>
                <w:szCs w:val="14"/>
                <w:color w:val="auto"/>
              </w:rPr>
              <w:t>750,377</w:t>
            </w:r>
          </w:p>
        </w:tc>
        <w:tc>
          <w:tcPr>
            <w:tcW w:w="140" w:type="dxa"/>
            <w:vAlign w:val="bottom"/>
            <w:tcBorders>
              <w:top w:val="single" w:sz="8" w:color="E7E6E6"/>
              <w:bottom w:val="single" w:sz="8" w:color="E7E6E6"/>
            </w:tcBorders>
            <w:shd w:val="clear" w:color="auto" w:fill="E7E6E6"/>
          </w:tcPr>
          <w:p>
            <w:pPr>
              <w:jc w:val="right"/>
              <w:spacing w:after="0" w:line="150" w:lineRule="exact"/>
              <w:rPr>
                <w:sz w:val="20"/>
                <w:szCs w:val="20"/>
                <w:color w:val="auto"/>
              </w:rPr>
            </w:pPr>
            <w:r>
              <w:rPr>
                <w:rFonts w:ascii="Calibri" w:cs="Calibri" w:eastAsia="Calibri" w:hAnsi="Calibri"/>
                <w:sz w:val="14"/>
                <w:szCs w:val="14"/>
                <w:color w:val="auto"/>
                <w:w w:val="83"/>
              </w:rPr>
              <w:t>$</w:t>
            </w:r>
          </w:p>
        </w:tc>
        <w:tc>
          <w:tcPr>
            <w:tcW w:w="1440" w:type="dxa"/>
            <w:vAlign w:val="bottom"/>
            <w:tcBorders>
              <w:top w:val="single" w:sz="8" w:color="E7E6E6"/>
              <w:bottom w:val="single" w:sz="8" w:color="E7E6E6"/>
              <w:right w:val="single" w:sz="8" w:color="auto"/>
            </w:tcBorders>
            <w:shd w:val="clear" w:color="auto" w:fill="E7E6E6"/>
          </w:tcPr>
          <w:p>
            <w:pPr>
              <w:jc w:val="right"/>
              <w:ind w:right="48"/>
              <w:spacing w:after="0" w:line="150" w:lineRule="exact"/>
              <w:rPr>
                <w:sz w:val="20"/>
                <w:szCs w:val="20"/>
                <w:color w:val="auto"/>
              </w:rPr>
            </w:pPr>
            <w:r>
              <w:rPr>
                <w:rFonts w:ascii="Calibri" w:cs="Calibri" w:eastAsia="Calibri" w:hAnsi="Calibri"/>
                <w:sz w:val="14"/>
                <w:szCs w:val="14"/>
                <w:color w:val="auto"/>
              </w:rPr>
              <w:t>6,139,552</w:t>
            </w:r>
          </w:p>
        </w:tc>
      </w:tr>
      <w:tr>
        <w:trPr>
          <w:trHeight w:val="150"/>
        </w:trPr>
        <w:tc>
          <w:tcPr>
            <w:tcW w:w="1580" w:type="dxa"/>
            <w:vAlign w:val="bottom"/>
            <w:tcBorders>
              <w:top w:val="single" w:sz="8" w:color="auto"/>
              <w:left w:val="single" w:sz="8" w:color="auto"/>
              <w:right w:val="single" w:sz="8" w:color="auto"/>
            </w:tcBorders>
          </w:tcPr>
          <w:p>
            <w:pPr>
              <w:ind w:left="40"/>
              <w:spacing w:after="0" w:line="150" w:lineRule="exact"/>
              <w:rPr>
                <w:sz w:val="20"/>
                <w:szCs w:val="20"/>
                <w:color w:val="auto"/>
              </w:rPr>
            </w:pPr>
            <w:r>
              <w:rPr>
                <w:rFonts w:ascii="Calibri" w:cs="Calibri" w:eastAsia="Calibri" w:hAnsi="Calibri"/>
                <w:sz w:val="14"/>
                <w:szCs w:val="14"/>
                <w:color w:val="auto"/>
              </w:rPr>
              <w:t>B. Buckler</w:t>
            </w:r>
          </w:p>
        </w:tc>
        <w:tc>
          <w:tcPr>
            <w:tcW w:w="1240" w:type="dxa"/>
            <w:vAlign w:val="bottom"/>
            <w:tcBorders>
              <w:top w:val="single" w:sz="8" w:color="auto"/>
            </w:tcBorders>
          </w:tcPr>
          <w:p>
            <w:pPr>
              <w:spacing w:after="0"/>
              <w:rPr>
                <w:sz w:val="13"/>
                <w:szCs w:val="13"/>
                <w:color w:val="auto"/>
              </w:rPr>
            </w:pPr>
          </w:p>
        </w:tc>
        <w:tc>
          <w:tcPr>
            <w:tcW w:w="440" w:type="dxa"/>
            <w:vAlign w:val="bottom"/>
            <w:tcBorders>
              <w:top w:val="single" w:sz="8" w:color="auto"/>
              <w:right w:val="single" w:sz="8" w:color="auto"/>
            </w:tcBorders>
          </w:tcPr>
          <w:p>
            <w:pPr>
              <w:ind w:left="160"/>
              <w:spacing w:after="0" w:line="150" w:lineRule="exact"/>
              <w:rPr>
                <w:sz w:val="20"/>
                <w:szCs w:val="20"/>
                <w:color w:val="auto"/>
              </w:rPr>
            </w:pPr>
            <w:r>
              <w:rPr>
                <w:rFonts w:ascii="Calibri" w:cs="Calibri" w:eastAsia="Calibri" w:hAnsi="Calibri"/>
                <w:sz w:val="14"/>
                <w:szCs w:val="14"/>
                <w:color w:val="auto"/>
              </w:rPr>
              <w:t>—</w:t>
            </w:r>
          </w:p>
        </w:tc>
        <w:tc>
          <w:tcPr>
            <w:tcW w:w="1220" w:type="dxa"/>
            <w:vAlign w:val="bottom"/>
            <w:tcBorders>
              <w:top w:val="single" w:sz="8" w:color="auto"/>
            </w:tcBorders>
          </w:tcPr>
          <w:p>
            <w:pPr>
              <w:jc w:val="right"/>
              <w:ind w:right="1068"/>
              <w:spacing w:after="0" w:line="150" w:lineRule="exact"/>
              <w:rPr>
                <w:sz w:val="20"/>
                <w:szCs w:val="20"/>
                <w:color w:val="auto"/>
              </w:rPr>
            </w:pPr>
            <w:r>
              <w:rPr>
                <w:rFonts w:ascii="Calibri" w:cs="Calibri" w:eastAsia="Calibri" w:hAnsi="Calibri"/>
                <w:sz w:val="14"/>
                <w:szCs w:val="14"/>
                <w:color w:val="auto"/>
                <w:w w:val="83"/>
              </w:rPr>
              <w:t>$</w:t>
            </w:r>
          </w:p>
        </w:tc>
        <w:tc>
          <w:tcPr>
            <w:tcW w:w="340" w:type="dxa"/>
            <w:vAlign w:val="bottom"/>
            <w:tcBorders>
              <w:top w:val="single" w:sz="8" w:color="auto"/>
              <w:right w:val="single" w:sz="8" w:color="auto"/>
            </w:tcBorders>
          </w:tcPr>
          <w:p>
            <w:pPr>
              <w:ind w:left="80"/>
              <w:spacing w:after="0" w:line="150" w:lineRule="exact"/>
              <w:rPr>
                <w:sz w:val="20"/>
                <w:szCs w:val="20"/>
                <w:color w:val="auto"/>
              </w:rPr>
            </w:pPr>
            <w:r>
              <w:rPr>
                <w:rFonts w:ascii="Calibri" w:cs="Calibri" w:eastAsia="Calibri" w:hAnsi="Calibri"/>
                <w:sz w:val="14"/>
                <w:szCs w:val="14"/>
                <w:color w:val="auto"/>
              </w:rPr>
              <w:t>—</w:t>
            </w:r>
          </w:p>
        </w:tc>
        <w:tc>
          <w:tcPr>
            <w:tcW w:w="1640" w:type="dxa"/>
            <w:vAlign w:val="bottom"/>
            <w:tcBorders>
              <w:top w:val="single" w:sz="8" w:color="auto"/>
              <w:right w:val="single" w:sz="8" w:color="auto"/>
            </w:tcBorders>
          </w:tcPr>
          <w:p>
            <w:pPr>
              <w:jc w:val="right"/>
              <w:ind w:right="48"/>
              <w:spacing w:after="0" w:line="150" w:lineRule="exact"/>
              <w:rPr>
                <w:sz w:val="20"/>
                <w:szCs w:val="20"/>
                <w:color w:val="auto"/>
              </w:rPr>
            </w:pPr>
            <w:r>
              <w:rPr>
                <w:rFonts w:ascii="Calibri" w:cs="Calibri" w:eastAsia="Calibri" w:hAnsi="Calibri"/>
                <w:sz w:val="14"/>
                <w:szCs w:val="14"/>
                <w:color w:val="auto"/>
              </w:rPr>
              <w:t>27,429</w:t>
            </w:r>
          </w:p>
        </w:tc>
        <w:tc>
          <w:tcPr>
            <w:tcW w:w="120" w:type="dxa"/>
            <w:vAlign w:val="bottom"/>
            <w:tcBorders>
              <w:top w:val="single" w:sz="8" w:color="auto"/>
            </w:tcBorders>
          </w:tcPr>
          <w:p>
            <w:pPr>
              <w:jc w:val="right"/>
              <w:spacing w:after="0" w:line="150" w:lineRule="exact"/>
              <w:rPr>
                <w:sz w:val="20"/>
                <w:szCs w:val="20"/>
                <w:color w:val="auto"/>
              </w:rPr>
            </w:pPr>
            <w:r>
              <w:rPr>
                <w:rFonts w:ascii="Calibri" w:cs="Calibri" w:eastAsia="Calibri" w:hAnsi="Calibri"/>
                <w:sz w:val="14"/>
                <w:szCs w:val="14"/>
                <w:color w:val="auto"/>
                <w:w w:val="83"/>
              </w:rPr>
              <w:t>$</w:t>
            </w:r>
          </w:p>
        </w:tc>
        <w:tc>
          <w:tcPr>
            <w:tcW w:w="1480" w:type="dxa"/>
            <w:vAlign w:val="bottom"/>
            <w:tcBorders>
              <w:top w:val="single" w:sz="8" w:color="auto"/>
              <w:right w:val="single" w:sz="8" w:color="auto"/>
            </w:tcBorders>
          </w:tcPr>
          <w:p>
            <w:pPr>
              <w:jc w:val="right"/>
              <w:ind w:right="48"/>
              <w:spacing w:after="0" w:line="150" w:lineRule="exact"/>
              <w:rPr>
                <w:sz w:val="20"/>
                <w:szCs w:val="20"/>
                <w:color w:val="auto"/>
              </w:rPr>
            </w:pPr>
            <w:r>
              <w:rPr>
                <w:rFonts w:ascii="Calibri" w:cs="Calibri" w:eastAsia="Calibri" w:hAnsi="Calibri"/>
                <w:sz w:val="14"/>
                <w:szCs w:val="14"/>
                <w:color w:val="auto"/>
              </w:rPr>
              <w:t>958,551</w:t>
            </w:r>
          </w:p>
        </w:tc>
        <w:tc>
          <w:tcPr>
            <w:tcW w:w="100" w:type="dxa"/>
            <w:vAlign w:val="bottom"/>
            <w:tcBorders>
              <w:top w:val="single" w:sz="8" w:color="auto"/>
            </w:tcBorders>
          </w:tcPr>
          <w:p>
            <w:pPr>
              <w:spacing w:after="0" w:line="150" w:lineRule="exact"/>
              <w:rPr>
                <w:sz w:val="20"/>
                <w:szCs w:val="20"/>
                <w:color w:val="auto"/>
              </w:rPr>
            </w:pPr>
            <w:r>
              <w:rPr>
                <w:rFonts w:ascii="Calibri" w:cs="Calibri" w:eastAsia="Calibri" w:hAnsi="Calibri"/>
                <w:sz w:val="14"/>
                <w:szCs w:val="14"/>
                <w:color w:val="auto"/>
              </w:rPr>
              <w:t>$</w:t>
            </w:r>
          </w:p>
        </w:tc>
        <w:tc>
          <w:tcPr>
            <w:tcW w:w="1500" w:type="dxa"/>
            <w:vAlign w:val="bottom"/>
            <w:tcBorders>
              <w:top w:val="single" w:sz="8" w:color="auto"/>
              <w:right w:val="single" w:sz="8" w:color="auto"/>
            </w:tcBorders>
          </w:tcPr>
          <w:p>
            <w:pPr>
              <w:jc w:val="right"/>
              <w:ind w:right="68"/>
              <w:spacing w:after="0" w:line="150" w:lineRule="exact"/>
              <w:rPr>
                <w:sz w:val="20"/>
                <w:szCs w:val="20"/>
                <w:color w:val="auto"/>
              </w:rPr>
            </w:pPr>
            <w:r>
              <w:rPr>
                <w:rFonts w:ascii="Calibri" w:cs="Calibri" w:eastAsia="Calibri" w:hAnsi="Calibri"/>
                <w:sz w:val="14"/>
                <w:szCs w:val="14"/>
                <w:color w:val="auto"/>
              </w:rPr>
              <w:t>132,906</w:t>
            </w:r>
          </w:p>
        </w:tc>
        <w:tc>
          <w:tcPr>
            <w:tcW w:w="140" w:type="dxa"/>
            <w:vAlign w:val="bottom"/>
            <w:tcBorders>
              <w:top w:val="single" w:sz="8" w:color="auto"/>
            </w:tcBorders>
          </w:tcPr>
          <w:p>
            <w:pPr>
              <w:jc w:val="right"/>
              <w:spacing w:after="0" w:line="150" w:lineRule="exact"/>
              <w:rPr>
                <w:sz w:val="20"/>
                <w:szCs w:val="20"/>
                <w:color w:val="auto"/>
              </w:rPr>
            </w:pPr>
            <w:r>
              <w:rPr>
                <w:rFonts w:ascii="Calibri" w:cs="Calibri" w:eastAsia="Calibri" w:hAnsi="Calibri"/>
                <w:sz w:val="14"/>
                <w:szCs w:val="14"/>
                <w:color w:val="auto"/>
                <w:w w:val="83"/>
              </w:rPr>
              <w:t>$</w:t>
            </w:r>
          </w:p>
        </w:tc>
        <w:tc>
          <w:tcPr>
            <w:tcW w:w="1440" w:type="dxa"/>
            <w:vAlign w:val="bottom"/>
            <w:tcBorders>
              <w:top w:val="single" w:sz="8" w:color="auto"/>
              <w:right w:val="single" w:sz="8" w:color="auto"/>
            </w:tcBorders>
          </w:tcPr>
          <w:p>
            <w:pPr>
              <w:jc w:val="right"/>
              <w:ind w:right="48"/>
              <w:spacing w:after="0" w:line="150" w:lineRule="exact"/>
              <w:rPr>
                <w:sz w:val="20"/>
                <w:szCs w:val="20"/>
                <w:color w:val="auto"/>
              </w:rPr>
            </w:pPr>
            <w:r>
              <w:rPr>
                <w:rFonts w:ascii="Calibri" w:cs="Calibri" w:eastAsia="Calibri" w:hAnsi="Calibri"/>
                <w:sz w:val="14"/>
                <w:szCs w:val="14"/>
                <w:color w:val="auto"/>
              </w:rPr>
              <w:t>1,091,457</w:t>
            </w:r>
          </w:p>
        </w:tc>
      </w:tr>
      <w:tr>
        <w:trPr>
          <w:trHeight w:val="29"/>
        </w:trPr>
        <w:tc>
          <w:tcPr>
            <w:tcW w:w="158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01"/>
        </w:trPr>
        <w:tc>
          <w:tcPr>
            <w:tcW w:w="1580" w:type="dxa"/>
            <w:vAlign w:val="bottom"/>
            <w:tcBorders>
              <w:left w:val="single" w:sz="8" w:color="auto"/>
              <w:bottom w:val="single" w:sz="8" w:color="E7E6E6"/>
              <w:right w:val="single" w:sz="8" w:color="auto"/>
            </w:tcBorders>
            <w:shd w:val="clear" w:color="auto" w:fill="E7E6E6"/>
          </w:tcPr>
          <w:p>
            <w:pPr>
              <w:ind w:left="40"/>
              <w:spacing w:after="0" w:line="164" w:lineRule="exact"/>
              <w:rPr>
                <w:sz w:val="20"/>
                <w:szCs w:val="20"/>
                <w:color w:val="auto"/>
              </w:rPr>
            </w:pPr>
            <w:r>
              <w:rPr>
                <w:rFonts w:ascii="Calibri" w:cs="Calibri" w:eastAsia="Calibri" w:hAnsi="Calibri"/>
                <w:sz w:val="14"/>
                <w:szCs w:val="14"/>
                <w:color w:val="auto"/>
              </w:rPr>
              <w:t>W. Sultemeier</w:t>
            </w:r>
          </w:p>
        </w:tc>
        <w:tc>
          <w:tcPr>
            <w:tcW w:w="1240" w:type="dxa"/>
            <w:vAlign w:val="bottom"/>
            <w:tcBorders>
              <w:bottom w:val="single" w:sz="8" w:color="E7E6E6"/>
            </w:tcBorders>
            <w:shd w:val="clear" w:color="auto" w:fill="E7E6E6"/>
          </w:tcPr>
          <w:p>
            <w:pPr>
              <w:spacing w:after="0"/>
              <w:rPr>
                <w:sz w:val="17"/>
                <w:szCs w:val="17"/>
                <w:color w:val="auto"/>
              </w:rPr>
            </w:pPr>
          </w:p>
        </w:tc>
        <w:tc>
          <w:tcPr>
            <w:tcW w:w="440" w:type="dxa"/>
            <w:vAlign w:val="bottom"/>
            <w:tcBorders>
              <w:bottom w:val="single" w:sz="8" w:color="E7E6E6"/>
              <w:right w:val="single" w:sz="8" w:color="auto"/>
            </w:tcBorders>
            <w:shd w:val="clear" w:color="auto" w:fill="E7E6E6"/>
          </w:tcPr>
          <w:p>
            <w:pPr>
              <w:ind w:left="160"/>
              <w:spacing w:after="0" w:line="164" w:lineRule="exact"/>
              <w:rPr>
                <w:sz w:val="20"/>
                <w:szCs w:val="20"/>
                <w:color w:val="auto"/>
              </w:rPr>
            </w:pPr>
            <w:r>
              <w:rPr>
                <w:rFonts w:ascii="Calibri" w:cs="Calibri" w:eastAsia="Calibri" w:hAnsi="Calibri"/>
                <w:sz w:val="14"/>
                <w:szCs w:val="14"/>
                <w:color w:val="auto"/>
              </w:rPr>
              <w:t>—</w:t>
            </w:r>
          </w:p>
        </w:tc>
        <w:tc>
          <w:tcPr>
            <w:tcW w:w="1220" w:type="dxa"/>
            <w:vAlign w:val="bottom"/>
            <w:tcBorders>
              <w:bottom w:val="single" w:sz="8" w:color="E7E6E6"/>
            </w:tcBorders>
            <w:shd w:val="clear" w:color="auto" w:fill="E7E6E6"/>
          </w:tcPr>
          <w:p>
            <w:pPr>
              <w:jc w:val="right"/>
              <w:ind w:right="1068"/>
              <w:spacing w:after="0" w:line="164" w:lineRule="exact"/>
              <w:rPr>
                <w:sz w:val="20"/>
                <w:szCs w:val="20"/>
                <w:color w:val="auto"/>
              </w:rPr>
            </w:pPr>
            <w:r>
              <w:rPr>
                <w:rFonts w:ascii="Calibri" w:cs="Calibri" w:eastAsia="Calibri" w:hAnsi="Calibri"/>
                <w:sz w:val="14"/>
                <w:szCs w:val="14"/>
                <w:color w:val="auto"/>
                <w:w w:val="83"/>
              </w:rPr>
              <w:t>$</w:t>
            </w:r>
          </w:p>
        </w:tc>
        <w:tc>
          <w:tcPr>
            <w:tcW w:w="340" w:type="dxa"/>
            <w:vAlign w:val="bottom"/>
            <w:tcBorders>
              <w:bottom w:val="single" w:sz="8" w:color="E7E6E6"/>
              <w:right w:val="single" w:sz="8" w:color="auto"/>
            </w:tcBorders>
            <w:shd w:val="clear" w:color="auto" w:fill="E7E6E6"/>
          </w:tcPr>
          <w:p>
            <w:pPr>
              <w:ind w:left="80"/>
              <w:spacing w:after="0" w:line="164" w:lineRule="exact"/>
              <w:rPr>
                <w:sz w:val="20"/>
                <w:szCs w:val="20"/>
                <w:color w:val="auto"/>
              </w:rPr>
            </w:pPr>
            <w:r>
              <w:rPr>
                <w:rFonts w:ascii="Calibri" w:cs="Calibri" w:eastAsia="Calibri" w:hAnsi="Calibri"/>
                <w:sz w:val="14"/>
                <w:szCs w:val="14"/>
                <w:color w:val="auto"/>
              </w:rPr>
              <w:t>—</w:t>
            </w:r>
          </w:p>
        </w:tc>
        <w:tc>
          <w:tcPr>
            <w:tcW w:w="1640" w:type="dxa"/>
            <w:vAlign w:val="bottom"/>
            <w:tcBorders>
              <w:bottom w:val="single" w:sz="8" w:color="E7E6E6"/>
              <w:right w:val="single" w:sz="8" w:color="auto"/>
            </w:tcBorders>
            <w:shd w:val="clear" w:color="auto" w:fill="E7E6E6"/>
          </w:tcPr>
          <w:p>
            <w:pPr>
              <w:jc w:val="right"/>
              <w:ind w:right="48"/>
              <w:spacing w:after="0" w:line="164" w:lineRule="exact"/>
              <w:rPr>
                <w:sz w:val="20"/>
                <w:szCs w:val="20"/>
                <w:color w:val="auto"/>
              </w:rPr>
            </w:pPr>
            <w:r>
              <w:rPr>
                <w:rFonts w:ascii="Calibri" w:cs="Calibri" w:eastAsia="Calibri" w:hAnsi="Calibri"/>
                <w:sz w:val="14"/>
                <w:szCs w:val="14"/>
                <w:color w:val="auto"/>
              </w:rPr>
              <w:t>26,921</w:t>
            </w:r>
          </w:p>
        </w:tc>
        <w:tc>
          <w:tcPr>
            <w:tcW w:w="120" w:type="dxa"/>
            <w:vAlign w:val="bottom"/>
            <w:tcBorders>
              <w:bottom w:val="single" w:sz="8" w:color="E7E6E6"/>
            </w:tcBorders>
            <w:shd w:val="clear" w:color="auto" w:fill="E7E6E6"/>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1480" w:type="dxa"/>
            <w:vAlign w:val="bottom"/>
            <w:tcBorders>
              <w:bottom w:val="single" w:sz="8" w:color="E7E6E6"/>
              <w:right w:val="single" w:sz="8" w:color="auto"/>
            </w:tcBorders>
            <w:shd w:val="clear" w:color="auto" w:fill="E7E6E6"/>
          </w:tcPr>
          <w:p>
            <w:pPr>
              <w:jc w:val="right"/>
              <w:ind w:right="48"/>
              <w:spacing w:after="0" w:line="164" w:lineRule="exact"/>
              <w:rPr>
                <w:sz w:val="20"/>
                <w:szCs w:val="20"/>
                <w:color w:val="auto"/>
              </w:rPr>
            </w:pPr>
            <w:r>
              <w:rPr>
                <w:rFonts w:ascii="Calibri" w:cs="Calibri" w:eastAsia="Calibri" w:hAnsi="Calibri"/>
                <w:sz w:val="14"/>
                <w:szCs w:val="14"/>
                <w:color w:val="auto"/>
              </w:rPr>
              <w:t>940,351</w:t>
            </w:r>
          </w:p>
        </w:tc>
        <w:tc>
          <w:tcPr>
            <w:tcW w:w="100" w:type="dxa"/>
            <w:vAlign w:val="bottom"/>
            <w:tcBorders>
              <w:bottom w:val="single" w:sz="8" w:color="E7E6E6"/>
            </w:tcBorders>
            <w:shd w:val="clear" w:color="auto" w:fill="E7E6E6"/>
          </w:tcPr>
          <w:p>
            <w:pPr>
              <w:spacing w:after="0" w:line="164" w:lineRule="exact"/>
              <w:rPr>
                <w:sz w:val="20"/>
                <w:szCs w:val="20"/>
                <w:color w:val="auto"/>
              </w:rPr>
            </w:pPr>
            <w:r>
              <w:rPr>
                <w:rFonts w:ascii="Calibri" w:cs="Calibri" w:eastAsia="Calibri" w:hAnsi="Calibri"/>
                <w:sz w:val="14"/>
                <w:szCs w:val="14"/>
                <w:color w:val="auto"/>
              </w:rPr>
              <w:t>$</w:t>
            </w:r>
          </w:p>
        </w:tc>
        <w:tc>
          <w:tcPr>
            <w:tcW w:w="1500" w:type="dxa"/>
            <w:vAlign w:val="bottom"/>
            <w:tcBorders>
              <w:bottom w:val="single" w:sz="8" w:color="E7E6E6"/>
              <w:right w:val="single" w:sz="8" w:color="auto"/>
            </w:tcBorders>
            <w:shd w:val="clear" w:color="auto" w:fill="E7E6E6"/>
          </w:tcPr>
          <w:p>
            <w:pPr>
              <w:jc w:val="right"/>
              <w:ind w:right="68"/>
              <w:spacing w:after="0" w:line="164" w:lineRule="exact"/>
              <w:rPr>
                <w:sz w:val="20"/>
                <w:szCs w:val="20"/>
                <w:color w:val="auto"/>
              </w:rPr>
            </w:pPr>
            <w:r>
              <w:rPr>
                <w:rFonts w:ascii="Calibri" w:cs="Calibri" w:eastAsia="Calibri" w:hAnsi="Calibri"/>
                <w:sz w:val="14"/>
                <w:szCs w:val="14"/>
                <w:color w:val="auto"/>
              </w:rPr>
              <w:t>130,932</w:t>
            </w:r>
          </w:p>
        </w:tc>
        <w:tc>
          <w:tcPr>
            <w:tcW w:w="140" w:type="dxa"/>
            <w:vAlign w:val="bottom"/>
            <w:tcBorders>
              <w:bottom w:val="single" w:sz="8" w:color="E7E6E6"/>
            </w:tcBorders>
            <w:shd w:val="clear" w:color="auto" w:fill="E7E6E6"/>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1440" w:type="dxa"/>
            <w:vAlign w:val="bottom"/>
            <w:tcBorders>
              <w:bottom w:val="single" w:sz="8" w:color="E7E6E6"/>
              <w:right w:val="single" w:sz="8" w:color="auto"/>
            </w:tcBorders>
            <w:shd w:val="clear" w:color="auto" w:fill="E7E6E6"/>
          </w:tcPr>
          <w:p>
            <w:pPr>
              <w:jc w:val="right"/>
              <w:ind w:right="48"/>
              <w:spacing w:after="0" w:line="164" w:lineRule="exact"/>
              <w:rPr>
                <w:sz w:val="20"/>
                <w:szCs w:val="20"/>
                <w:color w:val="auto"/>
              </w:rPr>
            </w:pPr>
            <w:r>
              <w:rPr>
                <w:rFonts w:ascii="Calibri" w:cs="Calibri" w:eastAsia="Calibri" w:hAnsi="Calibri"/>
                <w:sz w:val="14"/>
                <w:szCs w:val="14"/>
                <w:color w:val="auto"/>
              </w:rPr>
              <w:t>1,071,283</w:t>
            </w:r>
          </w:p>
        </w:tc>
      </w:tr>
      <w:tr>
        <w:trPr>
          <w:trHeight w:val="163"/>
        </w:trPr>
        <w:tc>
          <w:tcPr>
            <w:tcW w:w="1580" w:type="dxa"/>
            <w:vAlign w:val="bottom"/>
            <w:tcBorders>
              <w:top w:val="single" w:sz="8" w:color="auto"/>
              <w:left w:val="single" w:sz="8" w:color="auto"/>
              <w:right w:val="single" w:sz="8" w:color="auto"/>
            </w:tcBorders>
          </w:tcPr>
          <w:p>
            <w:pPr>
              <w:ind w:left="40"/>
              <w:spacing w:after="0" w:line="164" w:lineRule="exact"/>
              <w:rPr>
                <w:sz w:val="20"/>
                <w:szCs w:val="20"/>
                <w:color w:val="auto"/>
              </w:rPr>
            </w:pPr>
            <w:r>
              <w:rPr>
                <w:rFonts w:ascii="Calibri" w:cs="Calibri" w:eastAsia="Calibri" w:hAnsi="Calibri"/>
                <w:sz w:val="14"/>
                <w:szCs w:val="14"/>
                <w:color w:val="auto"/>
              </w:rPr>
              <w:t>D. Jones</w:t>
            </w:r>
          </w:p>
        </w:tc>
        <w:tc>
          <w:tcPr>
            <w:tcW w:w="1240" w:type="dxa"/>
            <w:vAlign w:val="bottom"/>
            <w:tcBorders>
              <w:top w:val="single" w:sz="8" w:color="auto"/>
            </w:tcBorders>
          </w:tcPr>
          <w:p>
            <w:pPr>
              <w:spacing w:after="0"/>
              <w:rPr>
                <w:sz w:val="14"/>
                <w:szCs w:val="14"/>
                <w:color w:val="auto"/>
              </w:rPr>
            </w:pPr>
          </w:p>
        </w:tc>
        <w:tc>
          <w:tcPr>
            <w:tcW w:w="440" w:type="dxa"/>
            <w:vAlign w:val="bottom"/>
            <w:tcBorders>
              <w:top w:val="single" w:sz="8" w:color="auto"/>
              <w:right w:val="single" w:sz="8" w:color="auto"/>
            </w:tcBorders>
          </w:tcPr>
          <w:p>
            <w:pPr>
              <w:ind w:left="160"/>
              <w:spacing w:after="0" w:line="164" w:lineRule="exact"/>
              <w:rPr>
                <w:sz w:val="20"/>
                <w:szCs w:val="20"/>
                <w:color w:val="auto"/>
              </w:rPr>
            </w:pPr>
            <w:r>
              <w:rPr>
                <w:rFonts w:ascii="Calibri" w:cs="Calibri" w:eastAsia="Calibri" w:hAnsi="Calibri"/>
                <w:sz w:val="14"/>
                <w:szCs w:val="14"/>
                <w:color w:val="auto"/>
              </w:rPr>
              <w:t>—</w:t>
            </w:r>
          </w:p>
        </w:tc>
        <w:tc>
          <w:tcPr>
            <w:tcW w:w="1220" w:type="dxa"/>
            <w:vAlign w:val="bottom"/>
            <w:tcBorders>
              <w:top w:val="single" w:sz="8" w:color="auto"/>
            </w:tcBorders>
          </w:tcPr>
          <w:p>
            <w:pPr>
              <w:jc w:val="right"/>
              <w:ind w:right="1068"/>
              <w:spacing w:after="0" w:line="164" w:lineRule="exact"/>
              <w:rPr>
                <w:sz w:val="20"/>
                <w:szCs w:val="20"/>
                <w:color w:val="auto"/>
              </w:rPr>
            </w:pPr>
            <w:r>
              <w:rPr>
                <w:rFonts w:ascii="Calibri" w:cs="Calibri" w:eastAsia="Calibri" w:hAnsi="Calibri"/>
                <w:sz w:val="14"/>
                <w:szCs w:val="14"/>
                <w:color w:val="auto"/>
                <w:w w:val="83"/>
              </w:rPr>
              <w:t>$</w:t>
            </w:r>
          </w:p>
        </w:tc>
        <w:tc>
          <w:tcPr>
            <w:tcW w:w="340" w:type="dxa"/>
            <w:vAlign w:val="bottom"/>
            <w:tcBorders>
              <w:top w:val="single" w:sz="8" w:color="auto"/>
              <w:right w:val="single" w:sz="8" w:color="auto"/>
            </w:tcBorders>
          </w:tcPr>
          <w:p>
            <w:pPr>
              <w:ind w:left="80"/>
              <w:spacing w:after="0" w:line="164" w:lineRule="exact"/>
              <w:rPr>
                <w:sz w:val="20"/>
                <w:szCs w:val="20"/>
                <w:color w:val="auto"/>
              </w:rPr>
            </w:pPr>
            <w:r>
              <w:rPr>
                <w:rFonts w:ascii="Calibri" w:cs="Calibri" w:eastAsia="Calibri" w:hAnsi="Calibri"/>
                <w:sz w:val="14"/>
                <w:szCs w:val="14"/>
                <w:color w:val="auto"/>
              </w:rPr>
              <w:t>—</w:t>
            </w:r>
          </w:p>
        </w:tc>
        <w:tc>
          <w:tcPr>
            <w:tcW w:w="1640" w:type="dxa"/>
            <w:vAlign w:val="bottom"/>
            <w:tcBorders>
              <w:top w:val="single" w:sz="8" w:color="auto"/>
              <w:right w:val="single" w:sz="8" w:color="auto"/>
            </w:tcBorders>
          </w:tcPr>
          <w:p>
            <w:pPr>
              <w:jc w:val="right"/>
              <w:ind w:right="48"/>
              <w:spacing w:after="0" w:line="164" w:lineRule="exact"/>
              <w:rPr>
                <w:sz w:val="20"/>
                <w:szCs w:val="20"/>
                <w:color w:val="auto"/>
              </w:rPr>
            </w:pPr>
            <w:r>
              <w:rPr>
                <w:rFonts w:ascii="Calibri" w:cs="Calibri" w:eastAsia="Calibri" w:hAnsi="Calibri"/>
                <w:sz w:val="14"/>
                <w:szCs w:val="14"/>
                <w:color w:val="auto"/>
              </w:rPr>
              <w:t>15,994</w:t>
            </w:r>
          </w:p>
        </w:tc>
        <w:tc>
          <w:tcPr>
            <w:tcW w:w="12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1480" w:type="dxa"/>
            <w:vAlign w:val="bottom"/>
            <w:tcBorders>
              <w:top w:val="single" w:sz="8" w:color="auto"/>
              <w:right w:val="single" w:sz="8" w:color="auto"/>
            </w:tcBorders>
          </w:tcPr>
          <w:p>
            <w:pPr>
              <w:jc w:val="right"/>
              <w:ind w:right="48"/>
              <w:spacing w:after="0" w:line="164" w:lineRule="exact"/>
              <w:rPr>
                <w:sz w:val="20"/>
                <w:szCs w:val="20"/>
                <w:color w:val="auto"/>
              </w:rPr>
            </w:pPr>
            <w:r>
              <w:rPr>
                <w:rFonts w:ascii="Calibri" w:cs="Calibri" w:eastAsia="Calibri" w:hAnsi="Calibri"/>
                <w:sz w:val="14"/>
                <w:szCs w:val="14"/>
                <w:color w:val="auto"/>
              </w:rPr>
              <w:t>558,670</w:t>
            </w:r>
          </w:p>
        </w:tc>
        <w:tc>
          <w:tcPr>
            <w:tcW w:w="100" w:type="dxa"/>
            <w:vAlign w:val="bottom"/>
            <w:tcBorders>
              <w:top w:val="single" w:sz="8" w:color="auto"/>
            </w:tcBorders>
          </w:tcPr>
          <w:p>
            <w:pPr>
              <w:spacing w:after="0" w:line="164" w:lineRule="exact"/>
              <w:rPr>
                <w:sz w:val="20"/>
                <w:szCs w:val="20"/>
                <w:color w:val="auto"/>
              </w:rPr>
            </w:pPr>
            <w:r>
              <w:rPr>
                <w:rFonts w:ascii="Calibri" w:cs="Calibri" w:eastAsia="Calibri" w:hAnsi="Calibri"/>
                <w:sz w:val="14"/>
                <w:szCs w:val="14"/>
                <w:color w:val="auto"/>
              </w:rPr>
              <w:t>$</w:t>
            </w:r>
          </w:p>
        </w:tc>
        <w:tc>
          <w:tcPr>
            <w:tcW w:w="1500" w:type="dxa"/>
            <w:vAlign w:val="bottom"/>
            <w:tcBorders>
              <w:top w:val="single" w:sz="8" w:color="auto"/>
              <w:right w:val="single" w:sz="8" w:color="auto"/>
            </w:tcBorders>
          </w:tcPr>
          <w:p>
            <w:pPr>
              <w:jc w:val="right"/>
              <w:ind w:right="68"/>
              <w:spacing w:after="0" w:line="164" w:lineRule="exact"/>
              <w:rPr>
                <w:sz w:val="20"/>
                <w:szCs w:val="20"/>
                <w:color w:val="auto"/>
              </w:rPr>
            </w:pPr>
            <w:r>
              <w:rPr>
                <w:rFonts w:ascii="Calibri" w:cs="Calibri" w:eastAsia="Calibri" w:hAnsi="Calibri"/>
                <w:sz w:val="14"/>
                <w:szCs w:val="14"/>
                <w:color w:val="auto"/>
              </w:rPr>
              <w:t>77,788</w:t>
            </w:r>
          </w:p>
        </w:tc>
        <w:tc>
          <w:tcPr>
            <w:tcW w:w="14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1440" w:type="dxa"/>
            <w:vAlign w:val="bottom"/>
            <w:tcBorders>
              <w:top w:val="single" w:sz="8" w:color="auto"/>
              <w:right w:val="single" w:sz="8" w:color="auto"/>
            </w:tcBorders>
          </w:tcPr>
          <w:p>
            <w:pPr>
              <w:jc w:val="right"/>
              <w:ind w:right="48"/>
              <w:spacing w:after="0" w:line="164" w:lineRule="exact"/>
              <w:rPr>
                <w:sz w:val="20"/>
                <w:szCs w:val="20"/>
                <w:color w:val="auto"/>
              </w:rPr>
            </w:pPr>
            <w:r>
              <w:rPr>
                <w:rFonts w:ascii="Calibri" w:cs="Calibri" w:eastAsia="Calibri" w:hAnsi="Calibri"/>
                <w:sz w:val="14"/>
                <w:szCs w:val="14"/>
                <w:color w:val="auto"/>
              </w:rPr>
              <w:t>636,458</w:t>
            </w:r>
          </w:p>
        </w:tc>
      </w:tr>
      <w:tr>
        <w:trPr>
          <w:trHeight w:val="33"/>
        </w:trPr>
        <w:tc>
          <w:tcPr>
            <w:tcW w:w="158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176"/>
        </w:trPr>
        <w:tc>
          <w:tcPr>
            <w:tcW w:w="1580" w:type="dxa"/>
            <w:vAlign w:val="bottom"/>
            <w:tcBorders>
              <w:left w:val="single" w:sz="8" w:color="auto"/>
              <w:bottom w:val="single" w:sz="8" w:color="E7E6E6"/>
              <w:right w:val="single" w:sz="8" w:color="auto"/>
            </w:tcBorders>
            <w:shd w:val="clear" w:color="auto" w:fill="E7E6E6"/>
          </w:tcPr>
          <w:p>
            <w:pPr>
              <w:ind w:left="40"/>
              <w:spacing w:after="0" w:line="164" w:lineRule="exact"/>
              <w:rPr>
                <w:sz w:val="20"/>
                <w:szCs w:val="20"/>
                <w:color w:val="auto"/>
              </w:rPr>
            </w:pPr>
            <w:r>
              <w:rPr>
                <w:rFonts w:ascii="Calibri" w:cs="Calibri" w:eastAsia="Calibri" w:hAnsi="Calibri"/>
                <w:sz w:val="14"/>
                <w:szCs w:val="14"/>
                <w:color w:val="auto"/>
              </w:rPr>
              <w:t>C. McQuiston</w:t>
            </w:r>
          </w:p>
        </w:tc>
        <w:tc>
          <w:tcPr>
            <w:tcW w:w="1240" w:type="dxa"/>
            <w:vAlign w:val="bottom"/>
            <w:tcBorders>
              <w:bottom w:val="single" w:sz="8" w:color="E7E6E6"/>
            </w:tcBorders>
            <w:shd w:val="clear" w:color="auto" w:fill="E7E6E6"/>
          </w:tcPr>
          <w:p>
            <w:pPr>
              <w:spacing w:after="0"/>
              <w:rPr>
                <w:sz w:val="15"/>
                <w:szCs w:val="15"/>
                <w:color w:val="auto"/>
              </w:rPr>
            </w:pPr>
          </w:p>
        </w:tc>
        <w:tc>
          <w:tcPr>
            <w:tcW w:w="440" w:type="dxa"/>
            <w:vAlign w:val="bottom"/>
            <w:tcBorders>
              <w:bottom w:val="single" w:sz="8" w:color="E7E6E6"/>
              <w:right w:val="single" w:sz="8" w:color="auto"/>
            </w:tcBorders>
            <w:shd w:val="clear" w:color="auto" w:fill="E7E6E6"/>
          </w:tcPr>
          <w:p>
            <w:pPr>
              <w:ind w:left="160"/>
              <w:spacing w:after="0" w:line="164" w:lineRule="exact"/>
              <w:rPr>
                <w:sz w:val="20"/>
                <w:szCs w:val="20"/>
                <w:color w:val="auto"/>
              </w:rPr>
            </w:pPr>
            <w:r>
              <w:rPr>
                <w:rFonts w:ascii="Calibri" w:cs="Calibri" w:eastAsia="Calibri" w:hAnsi="Calibri"/>
                <w:sz w:val="14"/>
                <w:szCs w:val="14"/>
                <w:color w:val="auto"/>
              </w:rPr>
              <w:t>—</w:t>
            </w:r>
          </w:p>
        </w:tc>
        <w:tc>
          <w:tcPr>
            <w:tcW w:w="1220" w:type="dxa"/>
            <w:vAlign w:val="bottom"/>
            <w:tcBorders>
              <w:bottom w:val="single" w:sz="8" w:color="E7E6E6"/>
            </w:tcBorders>
            <w:shd w:val="clear" w:color="auto" w:fill="E7E6E6"/>
          </w:tcPr>
          <w:p>
            <w:pPr>
              <w:jc w:val="right"/>
              <w:ind w:right="1068"/>
              <w:spacing w:after="0" w:line="164" w:lineRule="exact"/>
              <w:rPr>
                <w:sz w:val="20"/>
                <w:szCs w:val="20"/>
                <w:color w:val="auto"/>
              </w:rPr>
            </w:pPr>
            <w:r>
              <w:rPr>
                <w:rFonts w:ascii="Calibri" w:cs="Calibri" w:eastAsia="Calibri" w:hAnsi="Calibri"/>
                <w:sz w:val="14"/>
                <w:szCs w:val="14"/>
                <w:color w:val="auto"/>
                <w:w w:val="83"/>
              </w:rPr>
              <w:t>$</w:t>
            </w:r>
          </w:p>
        </w:tc>
        <w:tc>
          <w:tcPr>
            <w:tcW w:w="340" w:type="dxa"/>
            <w:vAlign w:val="bottom"/>
            <w:tcBorders>
              <w:bottom w:val="single" w:sz="8" w:color="E7E6E6"/>
              <w:right w:val="single" w:sz="8" w:color="auto"/>
            </w:tcBorders>
            <w:shd w:val="clear" w:color="auto" w:fill="E7E6E6"/>
          </w:tcPr>
          <w:p>
            <w:pPr>
              <w:ind w:left="80"/>
              <w:spacing w:after="0" w:line="164" w:lineRule="exact"/>
              <w:rPr>
                <w:sz w:val="20"/>
                <w:szCs w:val="20"/>
                <w:color w:val="auto"/>
              </w:rPr>
            </w:pPr>
            <w:r>
              <w:rPr>
                <w:rFonts w:ascii="Calibri" w:cs="Calibri" w:eastAsia="Calibri" w:hAnsi="Calibri"/>
                <w:sz w:val="14"/>
                <w:szCs w:val="14"/>
                <w:color w:val="auto"/>
              </w:rPr>
              <w:t>—</w:t>
            </w:r>
          </w:p>
        </w:tc>
        <w:tc>
          <w:tcPr>
            <w:tcW w:w="1640" w:type="dxa"/>
            <w:vAlign w:val="bottom"/>
            <w:tcBorders>
              <w:bottom w:val="single" w:sz="8" w:color="E7E6E6"/>
              <w:right w:val="single" w:sz="8" w:color="auto"/>
            </w:tcBorders>
            <w:shd w:val="clear" w:color="auto" w:fill="E7E6E6"/>
          </w:tcPr>
          <w:p>
            <w:pPr>
              <w:jc w:val="right"/>
              <w:ind w:right="48"/>
              <w:spacing w:after="0" w:line="164" w:lineRule="exact"/>
              <w:rPr>
                <w:sz w:val="20"/>
                <w:szCs w:val="20"/>
                <w:color w:val="auto"/>
              </w:rPr>
            </w:pPr>
            <w:r>
              <w:rPr>
                <w:rFonts w:ascii="Calibri" w:cs="Calibri" w:eastAsia="Calibri" w:hAnsi="Calibri"/>
                <w:sz w:val="14"/>
                <w:szCs w:val="14"/>
                <w:color w:val="auto"/>
              </w:rPr>
              <w:t>10,974</w:t>
            </w:r>
          </w:p>
        </w:tc>
        <w:tc>
          <w:tcPr>
            <w:tcW w:w="120" w:type="dxa"/>
            <w:vAlign w:val="bottom"/>
            <w:tcBorders>
              <w:bottom w:val="single" w:sz="8" w:color="E7E6E6"/>
            </w:tcBorders>
            <w:shd w:val="clear" w:color="auto" w:fill="E7E6E6"/>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1480" w:type="dxa"/>
            <w:vAlign w:val="bottom"/>
            <w:tcBorders>
              <w:bottom w:val="single" w:sz="8" w:color="E7E6E6"/>
              <w:right w:val="single" w:sz="8" w:color="auto"/>
            </w:tcBorders>
            <w:shd w:val="clear" w:color="auto" w:fill="E7E6E6"/>
          </w:tcPr>
          <w:p>
            <w:pPr>
              <w:jc w:val="right"/>
              <w:ind w:right="48"/>
              <w:spacing w:after="0" w:line="164" w:lineRule="exact"/>
              <w:rPr>
                <w:sz w:val="20"/>
                <w:szCs w:val="20"/>
                <w:color w:val="auto"/>
              </w:rPr>
            </w:pPr>
            <w:r>
              <w:rPr>
                <w:rFonts w:ascii="Calibri" w:cs="Calibri" w:eastAsia="Calibri" w:hAnsi="Calibri"/>
                <w:sz w:val="14"/>
                <w:szCs w:val="14"/>
                <w:color w:val="auto"/>
              </w:rPr>
              <w:t>383,322</w:t>
            </w:r>
          </w:p>
        </w:tc>
        <w:tc>
          <w:tcPr>
            <w:tcW w:w="100" w:type="dxa"/>
            <w:vAlign w:val="bottom"/>
            <w:tcBorders>
              <w:bottom w:val="single" w:sz="8" w:color="E7E6E6"/>
            </w:tcBorders>
            <w:shd w:val="clear" w:color="auto" w:fill="E7E6E6"/>
          </w:tcPr>
          <w:p>
            <w:pPr>
              <w:spacing w:after="0" w:line="164" w:lineRule="exact"/>
              <w:rPr>
                <w:sz w:val="20"/>
                <w:szCs w:val="20"/>
                <w:color w:val="auto"/>
              </w:rPr>
            </w:pPr>
            <w:r>
              <w:rPr>
                <w:rFonts w:ascii="Calibri" w:cs="Calibri" w:eastAsia="Calibri" w:hAnsi="Calibri"/>
                <w:sz w:val="14"/>
                <w:szCs w:val="14"/>
                <w:color w:val="auto"/>
              </w:rPr>
              <w:t>$</w:t>
            </w:r>
          </w:p>
        </w:tc>
        <w:tc>
          <w:tcPr>
            <w:tcW w:w="1500" w:type="dxa"/>
            <w:vAlign w:val="bottom"/>
            <w:tcBorders>
              <w:bottom w:val="single" w:sz="8" w:color="E7E6E6"/>
              <w:right w:val="single" w:sz="8" w:color="auto"/>
            </w:tcBorders>
            <w:shd w:val="clear" w:color="auto" w:fill="E7E6E6"/>
          </w:tcPr>
          <w:p>
            <w:pPr>
              <w:jc w:val="right"/>
              <w:ind w:right="68"/>
              <w:spacing w:after="0" w:line="164" w:lineRule="exact"/>
              <w:rPr>
                <w:sz w:val="20"/>
                <w:szCs w:val="20"/>
                <w:color w:val="auto"/>
              </w:rPr>
            </w:pPr>
            <w:r>
              <w:rPr>
                <w:rFonts w:ascii="Calibri" w:cs="Calibri" w:eastAsia="Calibri" w:hAnsi="Calibri"/>
                <w:sz w:val="14"/>
                <w:szCs w:val="14"/>
                <w:color w:val="auto"/>
              </w:rPr>
              <w:t>53,373</w:t>
            </w:r>
          </w:p>
        </w:tc>
        <w:tc>
          <w:tcPr>
            <w:tcW w:w="140" w:type="dxa"/>
            <w:vAlign w:val="bottom"/>
            <w:tcBorders>
              <w:bottom w:val="single" w:sz="8" w:color="E7E6E6"/>
            </w:tcBorders>
            <w:shd w:val="clear" w:color="auto" w:fill="E7E6E6"/>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1440" w:type="dxa"/>
            <w:vAlign w:val="bottom"/>
            <w:tcBorders>
              <w:bottom w:val="single" w:sz="8" w:color="E7E6E6"/>
              <w:right w:val="single" w:sz="8" w:color="auto"/>
            </w:tcBorders>
            <w:shd w:val="clear" w:color="auto" w:fill="E7E6E6"/>
          </w:tcPr>
          <w:p>
            <w:pPr>
              <w:jc w:val="right"/>
              <w:ind w:right="48"/>
              <w:spacing w:after="0" w:line="164" w:lineRule="exact"/>
              <w:rPr>
                <w:sz w:val="20"/>
                <w:szCs w:val="20"/>
                <w:color w:val="auto"/>
              </w:rPr>
            </w:pPr>
            <w:r>
              <w:rPr>
                <w:rFonts w:ascii="Calibri" w:cs="Calibri" w:eastAsia="Calibri" w:hAnsi="Calibri"/>
                <w:sz w:val="14"/>
                <w:szCs w:val="14"/>
                <w:color w:val="auto"/>
              </w:rPr>
              <w:t>436,695</w:t>
            </w:r>
          </w:p>
        </w:tc>
      </w:tr>
      <w:tr>
        <w:trPr>
          <w:trHeight w:val="20"/>
        </w:trPr>
        <w:tc>
          <w:tcPr>
            <w:tcW w:w="15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6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tcBorders>
              <w:right w:val="single" w:sz="8" w:color="auto"/>
            </w:tcBorders>
            <w:shd w:val="clear" w:color="auto" w:fill="000000"/>
          </w:tcPr>
          <w:p>
            <w:pPr>
              <w:spacing w:after="0" w:line="20" w:lineRule="exact"/>
              <w:rPr>
                <w:sz w:val="1"/>
                <w:szCs w:val="1"/>
                <w:color w:val="auto"/>
              </w:rPr>
            </w:pPr>
          </w:p>
        </w:tc>
      </w:tr>
    </w:tbl>
    <w:p>
      <w:pPr>
        <w:ind w:left="380" w:hanging="372"/>
        <w:spacing w:after="0" w:line="210" w:lineRule="auto"/>
        <w:tabs>
          <w:tab w:leader="none" w:pos="380" w:val="left"/>
        </w:tabs>
        <w:numPr>
          <w:ilvl w:val="0"/>
          <w:numId w:val="49"/>
        </w:numPr>
        <w:rPr>
          <w:rFonts w:ascii="Calibri" w:cs="Calibri" w:eastAsia="Calibri" w:hAnsi="Calibri"/>
          <w:sz w:val="18"/>
          <w:szCs w:val="18"/>
          <w:color w:val="auto"/>
        </w:rPr>
      </w:pPr>
      <w:r>
        <w:rPr>
          <w:rFonts w:ascii="Calibri" w:cs="Calibri" w:eastAsia="Calibri" w:hAnsi="Calibri"/>
          <w:sz w:val="18"/>
          <w:szCs w:val="18"/>
          <w:color w:val="auto"/>
        </w:rPr>
        <w:t>There are no stock optons outstanding.</w:t>
      </w:r>
    </w:p>
    <w:p>
      <w:pPr>
        <w:spacing w:after="0" w:line="1" w:lineRule="exact"/>
        <w:rPr>
          <w:rFonts w:ascii="Calibri" w:cs="Calibri" w:eastAsia="Calibri" w:hAnsi="Calibri"/>
          <w:sz w:val="18"/>
          <w:szCs w:val="18"/>
          <w:color w:val="auto"/>
        </w:rPr>
      </w:pPr>
    </w:p>
    <w:p>
      <w:pPr>
        <w:jc w:val="both"/>
        <w:ind w:left="380" w:hanging="372"/>
        <w:spacing w:after="0" w:line="235" w:lineRule="auto"/>
        <w:tabs>
          <w:tab w:leader="none" w:pos="380" w:val="left"/>
        </w:tabs>
        <w:numPr>
          <w:ilvl w:val="0"/>
          <w:numId w:val="49"/>
        </w:numPr>
        <w:rPr>
          <w:rFonts w:ascii="Calibri" w:cs="Calibri" w:eastAsia="Calibri" w:hAnsi="Calibri"/>
          <w:sz w:val="18"/>
          <w:szCs w:val="18"/>
          <w:color w:val="auto"/>
        </w:rPr>
      </w:pPr>
      <w:r>
        <w:rPr>
          <w:rFonts w:ascii="Calibri" w:cs="Calibri" w:eastAsia="Calibri" w:hAnsi="Calibri"/>
          <w:sz w:val="18"/>
          <w:szCs w:val="18"/>
          <w:color w:val="auto"/>
        </w:rPr>
        <w:t>Amounts represent payouts of the 2021 performance units based on TSR and 2021 tme-based restricted stock units. As explained above, the Company's performance for the three-year performance period ended December 31, 2023 was above the target level of performance for the TSR, resultng in a payout of approximately 154 percent of the 2021 performance units. For Mr. Buckler, in additon to the payouts of 2021 performance units based on TSR and 2021 tme-based restricted stock units, the amounts include the nine percent of his restricted stock units awarded on January 4, 2021 which vested on February 28, 2023. Number of shares acquired on vestng indicates gross shares and does not contemplate shares withheld for the payment of income taxes.</w:t>
      </w:r>
    </w:p>
    <w:p>
      <w:pPr>
        <w:spacing w:after="0" w:line="5" w:lineRule="exact"/>
        <w:rPr>
          <w:rFonts w:ascii="Calibri" w:cs="Calibri" w:eastAsia="Calibri" w:hAnsi="Calibri"/>
          <w:sz w:val="18"/>
          <w:szCs w:val="18"/>
          <w:color w:val="auto"/>
        </w:rPr>
      </w:pPr>
    </w:p>
    <w:p>
      <w:pPr>
        <w:jc w:val="both"/>
        <w:ind w:left="380" w:hanging="372"/>
        <w:spacing w:after="0" w:line="254" w:lineRule="auto"/>
        <w:tabs>
          <w:tab w:leader="none" w:pos="380" w:val="left"/>
        </w:tabs>
        <w:numPr>
          <w:ilvl w:val="0"/>
          <w:numId w:val="49"/>
        </w:numPr>
        <w:rPr>
          <w:rFonts w:ascii="Calibri" w:cs="Calibri" w:eastAsia="Calibri" w:hAnsi="Calibri"/>
          <w:sz w:val="17"/>
          <w:szCs w:val="17"/>
          <w:color w:val="auto"/>
        </w:rPr>
      </w:pPr>
      <w:r>
        <w:rPr>
          <w:rFonts w:ascii="Calibri" w:cs="Calibri" w:eastAsia="Calibri" w:hAnsi="Calibri"/>
          <w:sz w:val="17"/>
          <w:szCs w:val="17"/>
          <w:color w:val="auto"/>
        </w:rPr>
        <w:t>Values were calculated based on a $34.93 closing price of the Company's Common Stock, as reported on the NYSE at December 29, 2023 (as the market was closed on December 31, 2023). For Mr. Buckler’s restricted stock units that vested on February 28, 2023, the value was calculated using $36.02 per share, which was the average of the high and low price of a share of the Company's Common Stock as reported on the NYSE on such date.</w:t>
      </w:r>
    </w:p>
    <w:p>
      <w:pPr>
        <w:spacing w:after="0" w:line="216"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2023 Pension Benefts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8" w:lineRule="exact"/>
        <w:rPr>
          <w:sz w:val="20"/>
          <w:szCs w:val="20"/>
          <w:color w:val="auto"/>
        </w:rPr>
      </w:pPr>
    </w:p>
    <w:tbl>
      <w:tblPr>
        <w:tblLayout w:type="fixed"/>
        <w:tblInd w:w="10" w:type="dxa"/>
        <w:tblCellMar>
          <w:top w:w="0" w:type="dxa"/>
          <w:left w:w="0" w:type="dxa"/>
          <w:bottom w:w="0" w:type="dxa"/>
          <w:right w:w="0" w:type="dxa"/>
        </w:tblCellMar>
      </w:tblPr>
      <w:tr>
        <w:trPr>
          <w:trHeight w:val="183"/>
        </w:trPr>
        <w:tc>
          <w:tcPr>
            <w:tcW w:w="2560" w:type="dxa"/>
            <w:vAlign w:val="bottom"/>
            <w:tcBorders>
              <w:top w:val="single" w:sz="8" w:color="auto"/>
              <w:left w:val="single" w:sz="8" w:color="auto"/>
              <w:right w:val="single" w:sz="8" w:color="auto"/>
            </w:tcBorders>
          </w:tcPr>
          <w:p>
            <w:pPr>
              <w:ind w:left="1100"/>
              <w:spacing w:after="0"/>
              <w:rPr>
                <w:sz w:val="20"/>
                <w:szCs w:val="20"/>
                <w:color w:val="auto"/>
              </w:rPr>
            </w:pPr>
            <w:r>
              <w:rPr>
                <w:rFonts w:ascii="Calibri" w:cs="Calibri" w:eastAsia="Calibri" w:hAnsi="Calibri"/>
                <w:sz w:val="14"/>
                <w:szCs w:val="14"/>
                <w:color w:val="auto"/>
              </w:rPr>
              <w:t>Name</w:t>
            </w:r>
          </w:p>
        </w:tc>
        <w:tc>
          <w:tcPr>
            <w:tcW w:w="224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4"/>
                <w:szCs w:val="14"/>
                <w:color w:val="auto"/>
              </w:rPr>
              <w:t>Plan Name</w:t>
            </w:r>
          </w:p>
        </w:tc>
        <w:tc>
          <w:tcPr>
            <w:tcW w:w="1820" w:type="dxa"/>
            <w:vAlign w:val="bottom"/>
            <w:tcBorders>
              <w:top w:val="single" w:sz="8" w:color="auto"/>
            </w:tcBorders>
          </w:tcPr>
          <w:p>
            <w:pPr>
              <w:jc w:val="center"/>
              <w:ind w:left="408"/>
              <w:spacing w:after="0"/>
              <w:rPr>
                <w:sz w:val="20"/>
                <w:szCs w:val="20"/>
                <w:color w:val="auto"/>
              </w:rPr>
            </w:pPr>
            <w:r>
              <w:rPr>
                <w:rFonts w:ascii="Calibri" w:cs="Calibri" w:eastAsia="Calibri" w:hAnsi="Calibri"/>
                <w:sz w:val="14"/>
                <w:szCs w:val="14"/>
                <w:color w:val="auto"/>
              </w:rPr>
              <w:t>Number of Years</w:t>
            </w:r>
          </w:p>
        </w:tc>
        <w:tc>
          <w:tcPr>
            <w:tcW w:w="620" w:type="dxa"/>
            <w:vAlign w:val="bottom"/>
            <w:tcBorders>
              <w:top w:val="single" w:sz="8" w:color="auto"/>
              <w:right w:val="single" w:sz="8" w:color="auto"/>
            </w:tcBorders>
          </w:tcPr>
          <w:p>
            <w:pPr>
              <w:spacing w:after="0"/>
              <w:rPr>
                <w:sz w:val="15"/>
                <w:szCs w:val="15"/>
                <w:color w:val="auto"/>
              </w:rPr>
            </w:pPr>
          </w:p>
        </w:tc>
        <w:tc>
          <w:tcPr>
            <w:tcW w:w="1400" w:type="dxa"/>
            <w:vAlign w:val="bottom"/>
            <w:tcBorders>
              <w:top w:val="single" w:sz="8" w:color="auto"/>
            </w:tcBorders>
          </w:tcPr>
          <w:p>
            <w:pPr>
              <w:jc w:val="center"/>
              <w:ind w:left="528"/>
              <w:spacing w:after="0"/>
              <w:rPr>
                <w:sz w:val="20"/>
                <w:szCs w:val="20"/>
                <w:color w:val="auto"/>
              </w:rPr>
            </w:pPr>
            <w:r>
              <w:rPr>
                <w:rFonts w:ascii="Calibri" w:cs="Calibri" w:eastAsia="Calibri" w:hAnsi="Calibri"/>
                <w:sz w:val="14"/>
                <w:szCs w:val="14"/>
                <w:color w:val="auto"/>
              </w:rPr>
              <w:t>Present</w:t>
            </w:r>
          </w:p>
        </w:tc>
        <w:tc>
          <w:tcPr>
            <w:tcW w:w="720" w:type="dxa"/>
            <w:vAlign w:val="bottom"/>
            <w:tcBorders>
              <w:top w:val="single" w:sz="8" w:color="auto"/>
              <w:right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560" w:type="dxa"/>
            <w:vAlign w:val="bottom"/>
            <w:tcBorders>
              <w:top w:val="single" w:sz="8" w:color="auto"/>
              <w:right w:val="single" w:sz="8" w:color="auto"/>
            </w:tcBorders>
          </w:tcPr>
          <w:p>
            <w:pPr>
              <w:jc w:val="center"/>
              <w:ind w:right="348"/>
              <w:spacing w:after="0"/>
              <w:rPr>
                <w:sz w:val="20"/>
                <w:szCs w:val="20"/>
                <w:color w:val="auto"/>
              </w:rPr>
            </w:pPr>
            <w:r>
              <w:rPr>
                <w:rFonts w:ascii="Calibri" w:cs="Calibri" w:eastAsia="Calibri" w:hAnsi="Calibri"/>
                <w:sz w:val="14"/>
                <w:szCs w:val="14"/>
                <w:color w:val="auto"/>
              </w:rPr>
              <w:t>Payments</w:t>
            </w:r>
          </w:p>
        </w:tc>
      </w:tr>
      <w:tr>
        <w:trPr>
          <w:trHeight w:val="175"/>
        </w:trPr>
        <w:tc>
          <w:tcPr>
            <w:tcW w:w="2560" w:type="dxa"/>
            <w:vAlign w:val="bottom"/>
            <w:tcBorders>
              <w:left w:val="single" w:sz="8" w:color="auto"/>
              <w:right w:val="single" w:sz="8" w:color="auto"/>
            </w:tcBorders>
          </w:tcPr>
          <w:p>
            <w:pPr>
              <w:spacing w:after="0"/>
              <w:rPr>
                <w:sz w:val="15"/>
                <w:szCs w:val="15"/>
                <w:color w:val="auto"/>
              </w:rPr>
            </w:pPr>
          </w:p>
        </w:tc>
        <w:tc>
          <w:tcPr>
            <w:tcW w:w="2240" w:type="dxa"/>
            <w:vAlign w:val="bottom"/>
            <w:tcBorders>
              <w:right w:val="single" w:sz="8" w:color="auto"/>
            </w:tcBorders>
          </w:tcPr>
          <w:p>
            <w:pPr>
              <w:spacing w:after="0"/>
              <w:rPr>
                <w:sz w:val="15"/>
                <w:szCs w:val="15"/>
                <w:color w:val="auto"/>
              </w:rPr>
            </w:pPr>
          </w:p>
        </w:tc>
        <w:tc>
          <w:tcPr>
            <w:tcW w:w="1820" w:type="dxa"/>
            <w:vAlign w:val="bottom"/>
          </w:tcPr>
          <w:p>
            <w:pPr>
              <w:jc w:val="center"/>
              <w:ind w:left="428"/>
              <w:spacing w:after="0"/>
              <w:rPr>
                <w:sz w:val="20"/>
                <w:szCs w:val="20"/>
                <w:color w:val="auto"/>
              </w:rPr>
            </w:pPr>
            <w:r>
              <w:rPr>
                <w:rFonts w:ascii="Calibri" w:cs="Calibri" w:eastAsia="Calibri" w:hAnsi="Calibri"/>
                <w:sz w:val="14"/>
                <w:szCs w:val="14"/>
                <w:color w:val="auto"/>
              </w:rPr>
              <w:t>Credited Service</w:t>
            </w:r>
          </w:p>
        </w:tc>
        <w:tc>
          <w:tcPr>
            <w:tcW w:w="620" w:type="dxa"/>
            <w:vAlign w:val="bottom"/>
            <w:tcBorders>
              <w:right w:val="single" w:sz="8" w:color="auto"/>
            </w:tcBorders>
          </w:tcPr>
          <w:p>
            <w:pPr>
              <w:spacing w:after="0"/>
              <w:rPr>
                <w:sz w:val="15"/>
                <w:szCs w:val="15"/>
                <w:color w:val="auto"/>
              </w:rPr>
            </w:pPr>
          </w:p>
        </w:tc>
        <w:tc>
          <w:tcPr>
            <w:tcW w:w="1400" w:type="dxa"/>
            <w:vAlign w:val="bottom"/>
          </w:tcPr>
          <w:p>
            <w:pPr>
              <w:jc w:val="center"/>
              <w:ind w:left="488"/>
              <w:spacing w:after="0"/>
              <w:rPr>
                <w:sz w:val="20"/>
                <w:szCs w:val="20"/>
                <w:color w:val="auto"/>
              </w:rPr>
            </w:pPr>
            <w:r>
              <w:rPr>
                <w:rFonts w:ascii="Calibri" w:cs="Calibri" w:eastAsia="Calibri" w:hAnsi="Calibri"/>
                <w:sz w:val="14"/>
                <w:szCs w:val="14"/>
                <w:color w:val="auto"/>
              </w:rPr>
              <w:t>Value of</w:t>
            </w:r>
          </w:p>
        </w:tc>
        <w:tc>
          <w:tcPr>
            <w:tcW w:w="720" w:type="dxa"/>
            <w:vAlign w:val="bottom"/>
            <w:tcBorders>
              <w:right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tcBorders>
              <w:right w:val="single" w:sz="8" w:color="auto"/>
            </w:tcBorders>
          </w:tcPr>
          <w:p>
            <w:pPr>
              <w:jc w:val="center"/>
              <w:ind w:right="348"/>
              <w:spacing w:after="0"/>
              <w:rPr>
                <w:sz w:val="20"/>
                <w:szCs w:val="20"/>
                <w:color w:val="auto"/>
              </w:rPr>
            </w:pPr>
            <w:r>
              <w:rPr>
                <w:rFonts w:ascii="Calibri" w:cs="Calibri" w:eastAsia="Calibri" w:hAnsi="Calibri"/>
                <w:sz w:val="14"/>
                <w:szCs w:val="14"/>
                <w:color w:val="auto"/>
              </w:rPr>
              <w:t>During Last</w:t>
            </w:r>
          </w:p>
        </w:tc>
      </w:tr>
      <w:tr>
        <w:trPr>
          <w:trHeight w:val="175"/>
        </w:trPr>
        <w:tc>
          <w:tcPr>
            <w:tcW w:w="2560" w:type="dxa"/>
            <w:vAlign w:val="bottom"/>
            <w:tcBorders>
              <w:left w:val="single" w:sz="8" w:color="auto"/>
              <w:right w:val="single" w:sz="8" w:color="auto"/>
            </w:tcBorders>
          </w:tcPr>
          <w:p>
            <w:pPr>
              <w:spacing w:after="0"/>
              <w:rPr>
                <w:sz w:val="15"/>
                <w:szCs w:val="15"/>
                <w:color w:val="auto"/>
              </w:rPr>
            </w:pPr>
          </w:p>
        </w:tc>
        <w:tc>
          <w:tcPr>
            <w:tcW w:w="2240" w:type="dxa"/>
            <w:vAlign w:val="bottom"/>
            <w:tcBorders>
              <w:right w:val="single" w:sz="8" w:color="auto"/>
            </w:tcBorders>
          </w:tcPr>
          <w:p>
            <w:pPr>
              <w:spacing w:after="0"/>
              <w:rPr>
                <w:sz w:val="15"/>
                <w:szCs w:val="15"/>
                <w:color w:val="auto"/>
              </w:rPr>
            </w:pPr>
          </w:p>
        </w:tc>
        <w:tc>
          <w:tcPr>
            <w:tcW w:w="1820" w:type="dxa"/>
            <w:vAlign w:val="bottom"/>
          </w:tcPr>
          <w:p>
            <w:pPr>
              <w:jc w:val="center"/>
              <w:ind w:left="428"/>
              <w:spacing w:after="0"/>
              <w:rPr>
                <w:sz w:val="20"/>
                <w:szCs w:val="20"/>
                <w:color w:val="auto"/>
              </w:rPr>
            </w:pPr>
            <w:r>
              <w:rPr>
                <w:rFonts w:ascii="Calibri" w:cs="Calibri" w:eastAsia="Calibri" w:hAnsi="Calibri"/>
                <w:sz w:val="14"/>
                <w:szCs w:val="14"/>
                <w:color w:val="auto"/>
              </w:rPr>
              <w:t>(#)(1)</w:t>
            </w:r>
          </w:p>
        </w:tc>
        <w:tc>
          <w:tcPr>
            <w:tcW w:w="620" w:type="dxa"/>
            <w:vAlign w:val="bottom"/>
            <w:tcBorders>
              <w:right w:val="single" w:sz="8" w:color="auto"/>
            </w:tcBorders>
          </w:tcPr>
          <w:p>
            <w:pPr>
              <w:spacing w:after="0"/>
              <w:rPr>
                <w:sz w:val="15"/>
                <w:szCs w:val="15"/>
                <w:color w:val="auto"/>
              </w:rPr>
            </w:pPr>
          </w:p>
        </w:tc>
        <w:tc>
          <w:tcPr>
            <w:tcW w:w="1400" w:type="dxa"/>
            <w:vAlign w:val="bottom"/>
          </w:tcPr>
          <w:p>
            <w:pPr>
              <w:jc w:val="center"/>
              <w:ind w:left="488"/>
              <w:spacing w:after="0"/>
              <w:rPr>
                <w:sz w:val="20"/>
                <w:szCs w:val="20"/>
                <w:color w:val="auto"/>
              </w:rPr>
            </w:pPr>
            <w:r>
              <w:rPr>
                <w:rFonts w:ascii="Calibri" w:cs="Calibri" w:eastAsia="Calibri" w:hAnsi="Calibri"/>
                <w:sz w:val="14"/>
                <w:szCs w:val="14"/>
                <w:color w:val="auto"/>
              </w:rPr>
              <w:t>Accumulated</w:t>
            </w:r>
          </w:p>
        </w:tc>
        <w:tc>
          <w:tcPr>
            <w:tcW w:w="720" w:type="dxa"/>
            <w:vAlign w:val="bottom"/>
            <w:tcBorders>
              <w:right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tcBorders>
              <w:right w:val="single" w:sz="8" w:color="auto"/>
            </w:tcBorders>
          </w:tcPr>
          <w:p>
            <w:pPr>
              <w:jc w:val="center"/>
              <w:ind w:right="368"/>
              <w:spacing w:after="0"/>
              <w:rPr>
                <w:sz w:val="20"/>
                <w:szCs w:val="20"/>
                <w:color w:val="auto"/>
              </w:rPr>
            </w:pPr>
            <w:r>
              <w:rPr>
                <w:rFonts w:ascii="Calibri" w:cs="Calibri" w:eastAsia="Calibri" w:hAnsi="Calibri"/>
                <w:sz w:val="14"/>
                <w:szCs w:val="14"/>
                <w:color w:val="auto"/>
              </w:rPr>
              <w:t>Fiscal Year</w:t>
            </w:r>
          </w:p>
        </w:tc>
      </w:tr>
      <w:tr>
        <w:trPr>
          <w:trHeight w:val="175"/>
        </w:trPr>
        <w:tc>
          <w:tcPr>
            <w:tcW w:w="2560" w:type="dxa"/>
            <w:vAlign w:val="bottom"/>
            <w:tcBorders>
              <w:left w:val="single" w:sz="8" w:color="auto"/>
              <w:right w:val="single" w:sz="8" w:color="auto"/>
            </w:tcBorders>
          </w:tcPr>
          <w:p>
            <w:pPr>
              <w:spacing w:after="0"/>
              <w:rPr>
                <w:sz w:val="15"/>
                <w:szCs w:val="15"/>
                <w:color w:val="auto"/>
              </w:rPr>
            </w:pPr>
          </w:p>
        </w:tc>
        <w:tc>
          <w:tcPr>
            <w:tcW w:w="2240" w:type="dxa"/>
            <w:vAlign w:val="bottom"/>
            <w:tcBorders>
              <w:right w:val="single" w:sz="8" w:color="auto"/>
            </w:tcBorders>
          </w:tcPr>
          <w:p>
            <w:pPr>
              <w:spacing w:after="0"/>
              <w:rPr>
                <w:sz w:val="15"/>
                <w:szCs w:val="15"/>
                <w:color w:val="auto"/>
              </w:rPr>
            </w:pPr>
          </w:p>
        </w:tc>
        <w:tc>
          <w:tcPr>
            <w:tcW w:w="1820" w:type="dxa"/>
            <w:vAlign w:val="bottom"/>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1400" w:type="dxa"/>
            <w:vAlign w:val="bottom"/>
          </w:tcPr>
          <w:p>
            <w:pPr>
              <w:jc w:val="center"/>
              <w:ind w:left="548"/>
              <w:spacing w:after="0"/>
              <w:rPr>
                <w:sz w:val="20"/>
                <w:szCs w:val="20"/>
                <w:color w:val="auto"/>
              </w:rPr>
            </w:pPr>
            <w:r>
              <w:rPr>
                <w:rFonts w:ascii="Calibri" w:cs="Calibri" w:eastAsia="Calibri" w:hAnsi="Calibri"/>
                <w:sz w:val="14"/>
                <w:szCs w:val="14"/>
                <w:color w:val="auto"/>
              </w:rPr>
              <w:t>Beneft</w:t>
            </w:r>
          </w:p>
        </w:tc>
        <w:tc>
          <w:tcPr>
            <w:tcW w:w="720" w:type="dxa"/>
            <w:vAlign w:val="bottom"/>
            <w:tcBorders>
              <w:right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tcBorders>
              <w:right w:val="single" w:sz="8" w:color="auto"/>
            </w:tcBorders>
          </w:tcPr>
          <w:p>
            <w:pPr>
              <w:jc w:val="center"/>
              <w:ind w:right="368"/>
              <w:spacing w:after="0"/>
              <w:rPr>
                <w:sz w:val="20"/>
                <w:szCs w:val="20"/>
                <w:color w:val="auto"/>
              </w:rPr>
            </w:pPr>
            <w:r>
              <w:rPr>
                <w:rFonts w:ascii="Calibri" w:cs="Calibri" w:eastAsia="Calibri" w:hAnsi="Calibri"/>
                <w:sz w:val="14"/>
                <w:szCs w:val="14"/>
                <w:color w:val="auto"/>
              </w:rPr>
              <w:t>($)</w:t>
            </w:r>
          </w:p>
        </w:tc>
      </w:tr>
      <w:tr>
        <w:trPr>
          <w:trHeight w:val="175"/>
        </w:trPr>
        <w:tc>
          <w:tcPr>
            <w:tcW w:w="2560" w:type="dxa"/>
            <w:vAlign w:val="bottom"/>
            <w:tcBorders>
              <w:left w:val="single" w:sz="8" w:color="auto"/>
              <w:right w:val="single" w:sz="8" w:color="auto"/>
            </w:tcBorders>
          </w:tcPr>
          <w:p>
            <w:pPr>
              <w:spacing w:after="0"/>
              <w:rPr>
                <w:sz w:val="15"/>
                <w:szCs w:val="15"/>
                <w:color w:val="auto"/>
              </w:rPr>
            </w:pPr>
          </w:p>
        </w:tc>
        <w:tc>
          <w:tcPr>
            <w:tcW w:w="2240" w:type="dxa"/>
            <w:vAlign w:val="bottom"/>
            <w:tcBorders>
              <w:right w:val="single" w:sz="8" w:color="auto"/>
            </w:tcBorders>
          </w:tcPr>
          <w:p>
            <w:pPr>
              <w:spacing w:after="0"/>
              <w:rPr>
                <w:sz w:val="15"/>
                <w:szCs w:val="15"/>
                <w:color w:val="auto"/>
              </w:rPr>
            </w:pPr>
          </w:p>
        </w:tc>
        <w:tc>
          <w:tcPr>
            <w:tcW w:w="1820" w:type="dxa"/>
            <w:vAlign w:val="bottom"/>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1400" w:type="dxa"/>
            <w:vAlign w:val="bottom"/>
          </w:tcPr>
          <w:p>
            <w:pPr>
              <w:jc w:val="center"/>
              <w:ind w:left="528"/>
              <w:spacing w:after="0"/>
              <w:rPr>
                <w:sz w:val="20"/>
                <w:szCs w:val="20"/>
                <w:color w:val="auto"/>
              </w:rPr>
            </w:pPr>
            <w:r>
              <w:rPr>
                <w:rFonts w:ascii="Calibri" w:cs="Calibri" w:eastAsia="Calibri" w:hAnsi="Calibri"/>
                <w:sz w:val="14"/>
                <w:szCs w:val="14"/>
                <w:color w:val="auto"/>
              </w:rPr>
              <w:t>($)(2)</w:t>
            </w:r>
          </w:p>
        </w:tc>
        <w:tc>
          <w:tcPr>
            <w:tcW w:w="720" w:type="dxa"/>
            <w:vAlign w:val="bottom"/>
            <w:tcBorders>
              <w:right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r>
      <w:tr>
        <w:trPr>
          <w:trHeight w:val="203"/>
        </w:trPr>
        <w:tc>
          <w:tcPr>
            <w:tcW w:w="2560" w:type="dxa"/>
            <w:vAlign w:val="bottom"/>
            <w:tcBorders>
              <w:left w:val="single" w:sz="8" w:color="auto"/>
              <w:right w:val="single" w:sz="8" w:color="auto"/>
            </w:tcBorders>
          </w:tcPr>
          <w:p>
            <w:pPr>
              <w:ind w:left="1200"/>
              <w:spacing w:after="0"/>
              <w:rPr>
                <w:sz w:val="20"/>
                <w:szCs w:val="20"/>
                <w:color w:val="auto"/>
              </w:rPr>
            </w:pPr>
            <w:r>
              <w:rPr>
                <w:rFonts w:ascii="Calibri" w:cs="Calibri" w:eastAsia="Calibri" w:hAnsi="Calibri"/>
                <w:sz w:val="14"/>
                <w:szCs w:val="14"/>
                <w:color w:val="auto"/>
              </w:rPr>
              <w:t>(a)</w:t>
            </w:r>
          </w:p>
        </w:tc>
        <w:tc>
          <w:tcPr>
            <w:tcW w:w="224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rPr>
              <w:t>(b)</w:t>
            </w:r>
          </w:p>
        </w:tc>
        <w:tc>
          <w:tcPr>
            <w:tcW w:w="1820" w:type="dxa"/>
            <w:vAlign w:val="bottom"/>
          </w:tcPr>
          <w:p>
            <w:pPr>
              <w:jc w:val="center"/>
              <w:ind w:left="408"/>
              <w:spacing w:after="0"/>
              <w:rPr>
                <w:sz w:val="20"/>
                <w:szCs w:val="20"/>
                <w:color w:val="auto"/>
              </w:rPr>
            </w:pPr>
            <w:r>
              <w:rPr>
                <w:rFonts w:ascii="Calibri" w:cs="Calibri" w:eastAsia="Calibri" w:hAnsi="Calibri"/>
                <w:sz w:val="14"/>
                <w:szCs w:val="14"/>
                <w:color w:val="auto"/>
                <w:w w:val="96"/>
              </w:rPr>
              <w:t>(c)</w:t>
            </w:r>
          </w:p>
        </w:tc>
        <w:tc>
          <w:tcPr>
            <w:tcW w:w="620" w:type="dxa"/>
            <w:vAlign w:val="bottom"/>
            <w:tcBorders>
              <w:right w:val="single" w:sz="8" w:color="auto"/>
            </w:tcBorders>
          </w:tcPr>
          <w:p>
            <w:pPr>
              <w:spacing w:after="0"/>
              <w:rPr>
                <w:sz w:val="17"/>
                <w:szCs w:val="17"/>
                <w:color w:val="auto"/>
              </w:rPr>
            </w:pPr>
          </w:p>
        </w:tc>
        <w:tc>
          <w:tcPr>
            <w:tcW w:w="1400" w:type="dxa"/>
            <w:vAlign w:val="bottom"/>
          </w:tcPr>
          <w:p>
            <w:pPr>
              <w:jc w:val="center"/>
              <w:ind w:left="528"/>
              <w:spacing w:after="0"/>
              <w:rPr>
                <w:sz w:val="20"/>
                <w:szCs w:val="20"/>
                <w:color w:val="auto"/>
              </w:rPr>
            </w:pPr>
            <w:r>
              <w:rPr>
                <w:rFonts w:ascii="Calibri" w:cs="Calibri" w:eastAsia="Calibri" w:hAnsi="Calibri"/>
                <w:sz w:val="14"/>
                <w:szCs w:val="14"/>
                <w:color w:val="auto"/>
              </w:rPr>
              <w:t>(d)</w:t>
            </w:r>
          </w:p>
        </w:tc>
        <w:tc>
          <w:tcPr>
            <w:tcW w:w="72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tcBorders>
              <w:right w:val="single" w:sz="8" w:color="auto"/>
            </w:tcBorders>
          </w:tcPr>
          <w:p>
            <w:pPr>
              <w:jc w:val="center"/>
              <w:ind w:right="368"/>
              <w:spacing w:after="0"/>
              <w:rPr>
                <w:sz w:val="20"/>
                <w:szCs w:val="20"/>
                <w:color w:val="auto"/>
              </w:rPr>
            </w:pPr>
            <w:r>
              <w:rPr>
                <w:rFonts w:ascii="Calibri" w:cs="Calibri" w:eastAsia="Calibri" w:hAnsi="Calibri"/>
                <w:sz w:val="14"/>
                <w:szCs w:val="14"/>
                <w:color w:val="auto"/>
              </w:rPr>
              <w:t>(e)</w:t>
            </w:r>
          </w:p>
        </w:tc>
      </w:tr>
      <w:tr>
        <w:trPr>
          <w:trHeight w:val="33"/>
        </w:trPr>
        <w:tc>
          <w:tcPr>
            <w:tcW w:w="25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r>
      <w:tr>
        <w:trPr>
          <w:trHeight w:val="190"/>
        </w:trPr>
        <w:tc>
          <w:tcPr>
            <w:tcW w:w="2560" w:type="dxa"/>
            <w:vAlign w:val="bottom"/>
            <w:tcBorders>
              <w:left w:val="single" w:sz="8" w:color="auto"/>
              <w:bottom w:val="single" w:sz="8" w:color="E7E6E6"/>
              <w:right w:val="single" w:sz="8" w:color="auto"/>
            </w:tcBorders>
            <w:shd w:val="clear" w:color="auto" w:fill="E7E6E6"/>
          </w:tcPr>
          <w:p>
            <w:pPr>
              <w:ind w:left="40"/>
              <w:spacing w:after="0"/>
              <w:rPr>
                <w:sz w:val="20"/>
                <w:szCs w:val="20"/>
                <w:color w:val="auto"/>
              </w:rPr>
            </w:pPr>
            <w:r>
              <w:rPr>
                <w:rFonts w:ascii="Calibri" w:cs="Calibri" w:eastAsia="Calibri" w:hAnsi="Calibri"/>
                <w:sz w:val="14"/>
                <w:szCs w:val="14"/>
                <w:color w:val="auto"/>
              </w:rPr>
              <w:t>S. Trauschke</w:t>
            </w:r>
          </w:p>
        </w:tc>
        <w:tc>
          <w:tcPr>
            <w:tcW w:w="2240" w:type="dxa"/>
            <w:vAlign w:val="bottom"/>
            <w:tcBorders>
              <w:bottom w:val="single" w:sz="8" w:color="auto"/>
              <w:right w:val="single" w:sz="8" w:color="auto"/>
            </w:tcBorders>
            <w:shd w:val="clear" w:color="auto" w:fill="E7E6E6"/>
          </w:tcPr>
          <w:p>
            <w:pPr>
              <w:spacing w:after="0"/>
              <w:rPr>
                <w:sz w:val="20"/>
                <w:szCs w:val="20"/>
                <w:color w:val="auto"/>
              </w:rPr>
            </w:pPr>
            <w:r>
              <w:rPr>
                <w:rFonts w:ascii="Calibri" w:cs="Calibri" w:eastAsia="Calibri" w:hAnsi="Calibri"/>
                <w:sz w:val="14"/>
                <w:szCs w:val="14"/>
                <w:color w:val="auto"/>
              </w:rPr>
              <w:t>Qualifed Plan</w:t>
            </w:r>
          </w:p>
        </w:tc>
        <w:tc>
          <w:tcPr>
            <w:tcW w:w="1820" w:type="dxa"/>
            <w:vAlign w:val="bottom"/>
            <w:tcBorders>
              <w:bottom w:val="single" w:sz="8" w:color="auto"/>
            </w:tcBorders>
            <w:shd w:val="clear" w:color="auto" w:fill="E7E6E6"/>
          </w:tcPr>
          <w:p>
            <w:pPr>
              <w:spacing w:after="0"/>
              <w:rPr>
                <w:sz w:val="16"/>
                <w:szCs w:val="16"/>
                <w:color w:val="auto"/>
              </w:rPr>
            </w:pPr>
          </w:p>
        </w:tc>
        <w:tc>
          <w:tcPr>
            <w:tcW w:w="620" w:type="dxa"/>
            <w:vAlign w:val="bottom"/>
            <w:tcBorders>
              <w:bottom w:val="single" w:sz="8" w:color="auto"/>
              <w:right w:val="single" w:sz="8" w:color="auto"/>
            </w:tcBorders>
            <w:shd w:val="clear" w:color="auto" w:fill="E7E6E6"/>
          </w:tcPr>
          <w:p>
            <w:pPr>
              <w:jc w:val="right"/>
              <w:ind w:right="68"/>
              <w:spacing w:after="0"/>
              <w:rPr>
                <w:sz w:val="20"/>
                <w:szCs w:val="20"/>
                <w:color w:val="auto"/>
              </w:rPr>
            </w:pPr>
            <w:r>
              <w:rPr>
                <w:rFonts w:ascii="Calibri" w:cs="Calibri" w:eastAsia="Calibri" w:hAnsi="Calibri"/>
                <w:sz w:val="14"/>
                <w:szCs w:val="14"/>
                <w:color w:val="auto"/>
              </w:rPr>
              <w:t>14.67</w:t>
            </w:r>
          </w:p>
        </w:tc>
        <w:tc>
          <w:tcPr>
            <w:tcW w:w="1400" w:type="dxa"/>
            <w:vAlign w:val="bottom"/>
            <w:tcBorders>
              <w:bottom w:val="single" w:sz="8" w:color="auto"/>
            </w:tcBorders>
            <w:shd w:val="clear" w:color="auto" w:fill="E7E6E6"/>
          </w:tcPr>
          <w:p>
            <w:pPr>
              <w:jc w:val="right"/>
              <w:ind w:right="1248"/>
              <w:spacing w:after="0"/>
              <w:rPr>
                <w:sz w:val="20"/>
                <w:szCs w:val="20"/>
                <w:color w:val="auto"/>
              </w:rPr>
            </w:pPr>
            <w:r>
              <w:rPr>
                <w:rFonts w:ascii="Calibri" w:cs="Calibri" w:eastAsia="Calibri" w:hAnsi="Calibri"/>
                <w:sz w:val="14"/>
                <w:szCs w:val="14"/>
                <w:color w:val="auto"/>
                <w:w w:val="83"/>
              </w:rPr>
              <w:t>$</w:t>
            </w:r>
          </w:p>
        </w:tc>
        <w:tc>
          <w:tcPr>
            <w:tcW w:w="720" w:type="dxa"/>
            <w:vAlign w:val="bottom"/>
            <w:tcBorders>
              <w:bottom w:val="single" w:sz="8" w:color="auto"/>
              <w:right w:val="single" w:sz="8" w:color="auto"/>
            </w:tcBorders>
            <w:shd w:val="clear" w:color="auto" w:fill="E7E6E6"/>
          </w:tcPr>
          <w:p>
            <w:pPr>
              <w:jc w:val="right"/>
              <w:ind w:right="48"/>
              <w:spacing w:after="0"/>
              <w:rPr>
                <w:sz w:val="20"/>
                <w:szCs w:val="20"/>
                <w:color w:val="auto"/>
              </w:rPr>
            </w:pPr>
            <w:r>
              <w:rPr>
                <w:rFonts w:ascii="Calibri" w:cs="Calibri" w:eastAsia="Calibri" w:hAnsi="Calibri"/>
                <w:sz w:val="14"/>
                <w:szCs w:val="14"/>
                <w:color w:val="auto"/>
              </w:rPr>
              <w:t>214,451</w:t>
            </w:r>
          </w:p>
        </w:tc>
        <w:tc>
          <w:tcPr>
            <w:tcW w:w="320" w:type="dxa"/>
            <w:vAlign w:val="bottom"/>
            <w:tcBorders>
              <w:bottom w:val="single" w:sz="8" w:color="auto"/>
            </w:tcBorders>
            <w:shd w:val="clear" w:color="auto" w:fill="E7E6E6"/>
          </w:tcPr>
          <w:p>
            <w:pPr>
              <w:jc w:val="right"/>
              <w:ind w:right="148"/>
              <w:spacing w:after="0"/>
              <w:rPr>
                <w:sz w:val="20"/>
                <w:szCs w:val="20"/>
                <w:color w:val="auto"/>
              </w:rPr>
            </w:pPr>
            <w:r>
              <w:rPr>
                <w:rFonts w:ascii="Calibri" w:cs="Calibri" w:eastAsia="Calibri" w:hAnsi="Calibri"/>
                <w:sz w:val="14"/>
                <w:szCs w:val="14"/>
                <w:color w:val="auto"/>
              </w:rPr>
              <w:t>$</w:t>
            </w:r>
          </w:p>
        </w:tc>
        <w:tc>
          <w:tcPr>
            <w:tcW w:w="1560" w:type="dxa"/>
            <w:vAlign w:val="bottom"/>
            <w:tcBorders>
              <w:bottom w:val="single" w:sz="8" w:color="auto"/>
              <w:right w:val="single" w:sz="8" w:color="auto"/>
            </w:tcBorders>
            <w:shd w:val="clear" w:color="auto" w:fill="E7E6E6"/>
          </w:tcPr>
          <w:p>
            <w:pPr>
              <w:ind w:left="1300"/>
              <w:spacing w:after="0"/>
              <w:rPr>
                <w:sz w:val="20"/>
                <w:szCs w:val="20"/>
                <w:color w:val="auto"/>
              </w:rPr>
            </w:pPr>
            <w:r>
              <w:rPr>
                <w:rFonts w:ascii="Calibri" w:cs="Calibri" w:eastAsia="Calibri" w:hAnsi="Calibri"/>
                <w:sz w:val="14"/>
                <w:szCs w:val="14"/>
                <w:color w:val="auto"/>
              </w:rPr>
              <w:t>—</w:t>
            </w:r>
          </w:p>
        </w:tc>
      </w:tr>
      <w:tr>
        <w:trPr>
          <w:trHeight w:val="170"/>
        </w:trPr>
        <w:tc>
          <w:tcPr>
            <w:tcW w:w="2560" w:type="dxa"/>
            <w:vAlign w:val="bottom"/>
            <w:tcBorders>
              <w:left w:val="single" w:sz="8" w:color="auto"/>
              <w:right w:val="single" w:sz="8" w:color="auto"/>
            </w:tcBorders>
          </w:tcPr>
          <w:p>
            <w:pPr>
              <w:spacing w:after="0"/>
              <w:rPr>
                <w:sz w:val="14"/>
                <w:szCs w:val="14"/>
                <w:color w:val="auto"/>
              </w:rPr>
            </w:pPr>
          </w:p>
        </w:tc>
        <w:tc>
          <w:tcPr>
            <w:tcW w:w="2240" w:type="dxa"/>
            <w:vAlign w:val="bottom"/>
            <w:tcBorders>
              <w:right w:val="single" w:sz="8" w:color="auto"/>
            </w:tcBorders>
          </w:tcPr>
          <w:p>
            <w:pPr>
              <w:spacing w:after="0"/>
              <w:rPr>
                <w:sz w:val="20"/>
                <w:szCs w:val="20"/>
                <w:color w:val="auto"/>
              </w:rPr>
            </w:pPr>
            <w:r>
              <w:rPr>
                <w:rFonts w:ascii="Calibri" w:cs="Calibri" w:eastAsia="Calibri" w:hAnsi="Calibri"/>
                <w:sz w:val="14"/>
                <w:szCs w:val="14"/>
                <w:color w:val="auto"/>
              </w:rPr>
              <w:t>Restoraton Plan</w:t>
            </w:r>
          </w:p>
        </w:tc>
        <w:tc>
          <w:tcPr>
            <w:tcW w:w="1820" w:type="dxa"/>
            <w:vAlign w:val="bottom"/>
          </w:tcPr>
          <w:p>
            <w:pPr>
              <w:spacing w:after="0"/>
              <w:rPr>
                <w:sz w:val="14"/>
                <w:szCs w:val="14"/>
                <w:color w:val="auto"/>
              </w:rPr>
            </w:pPr>
          </w:p>
        </w:tc>
        <w:tc>
          <w:tcPr>
            <w:tcW w:w="620" w:type="dxa"/>
            <w:vAlign w:val="bottom"/>
            <w:tcBorders>
              <w:right w:val="single" w:sz="8" w:color="auto"/>
            </w:tcBorders>
          </w:tcPr>
          <w:p>
            <w:pPr>
              <w:jc w:val="right"/>
              <w:ind w:right="68"/>
              <w:spacing w:after="0"/>
              <w:rPr>
                <w:sz w:val="20"/>
                <w:szCs w:val="20"/>
                <w:color w:val="auto"/>
              </w:rPr>
            </w:pPr>
            <w:r>
              <w:rPr>
                <w:rFonts w:ascii="Calibri" w:cs="Calibri" w:eastAsia="Calibri" w:hAnsi="Calibri"/>
                <w:sz w:val="14"/>
                <w:szCs w:val="14"/>
                <w:color w:val="auto"/>
              </w:rPr>
              <w:t>14.67</w:t>
            </w:r>
          </w:p>
        </w:tc>
        <w:tc>
          <w:tcPr>
            <w:tcW w:w="1400" w:type="dxa"/>
            <w:vAlign w:val="bottom"/>
          </w:tcPr>
          <w:p>
            <w:pPr>
              <w:jc w:val="right"/>
              <w:ind w:right="1248"/>
              <w:spacing w:after="0"/>
              <w:rPr>
                <w:sz w:val="20"/>
                <w:szCs w:val="20"/>
                <w:color w:val="auto"/>
              </w:rPr>
            </w:pPr>
            <w:r>
              <w:rPr>
                <w:rFonts w:ascii="Calibri" w:cs="Calibri" w:eastAsia="Calibri" w:hAnsi="Calibri"/>
                <w:sz w:val="14"/>
                <w:szCs w:val="14"/>
                <w:color w:val="auto"/>
                <w:w w:val="83"/>
              </w:rPr>
              <w:t>$</w:t>
            </w:r>
          </w:p>
        </w:tc>
        <w:tc>
          <w:tcPr>
            <w:tcW w:w="720" w:type="dxa"/>
            <w:vAlign w:val="bottom"/>
            <w:tcBorders>
              <w:right w:val="single" w:sz="8" w:color="auto"/>
            </w:tcBorders>
          </w:tcPr>
          <w:p>
            <w:pPr>
              <w:jc w:val="right"/>
              <w:ind w:right="48"/>
              <w:spacing w:after="0"/>
              <w:rPr>
                <w:sz w:val="20"/>
                <w:szCs w:val="20"/>
                <w:color w:val="auto"/>
              </w:rPr>
            </w:pPr>
            <w:r>
              <w:rPr>
                <w:rFonts w:ascii="Calibri" w:cs="Calibri" w:eastAsia="Calibri" w:hAnsi="Calibri"/>
                <w:sz w:val="14"/>
                <w:szCs w:val="14"/>
                <w:color w:val="auto"/>
              </w:rPr>
              <w:t>814,593</w:t>
            </w:r>
          </w:p>
        </w:tc>
        <w:tc>
          <w:tcPr>
            <w:tcW w:w="320" w:type="dxa"/>
            <w:vAlign w:val="bottom"/>
          </w:tcPr>
          <w:p>
            <w:pPr>
              <w:jc w:val="right"/>
              <w:ind w:right="148"/>
              <w:spacing w:after="0"/>
              <w:rPr>
                <w:sz w:val="20"/>
                <w:szCs w:val="20"/>
                <w:color w:val="auto"/>
              </w:rPr>
            </w:pPr>
            <w:r>
              <w:rPr>
                <w:rFonts w:ascii="Calibri" w:cs="Calibri" w:eastAsia="Calibri" w:hAnsi="Calibri"/>
                <w:sz w:val="14"/>
                <w:szCs w:val="14"/>
                <w:color w:val="auto"/>
              </w:rPr>
              <w:t>$</w:t>
            </w:r>
          </w:p>
        </w:tc>
        <w:tc>
          <w:tcPr>
            <w:tcW w:w="1560" w:type="dxa"/>
            <w:vAlign w:val="bottom"/>
            <w:tcBorders>
              <w:right w:val="single" w:sz="8" w:color="auto"/>
            </w:tcBorders>
          </w:tcPr>
          <w:p>
            <w:pPr>
              <w:ind w:left="1300"/>
              <w:spacing w:after="0"/>
              <w:rPr>
                <w:sz w:val="20"/>
                <w:szCs w:val="20"/>
                <w:color w:val="auto"/>
              </w:rPr>
            </w:pPr>
            <w:r>
              <w:rPr>
                <w:rFonts w:ascii="Calibri" w:cs="Calibri" w:eastAsia="Calibri" w:hAnsi="Calibri"/>
                <w:sz w:val="14"/>
                <w:szCs w:val="14"/>
                <w:color w:val="auto"/>
              </w:rPr>
              <w:t>—</w:t>
            </w:r>
          </w:p>
        </w:tc>
      </w:tr>
      <w:tr>
        <w:trPr>
          <w:trHeight w:val="33"/>
        </w:trPr>
        <w:tc>
          <w:tcPr>
            <w:tcW w:w="2560" w:type="dxa"/>
            <w:vAlign w:val="bottom"/>
            <w:tcBorders>
              <w:left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r>
      <w:tr>
        <w:trPr>
          <w:trHeight w:val="201"/>
        </w:trPr>
        <w:tc>
          <w:tcPr>
            <w:tcW w:w="2560" w:type="dxa"/>
            <w:vAlign w:val="bottom"/>
            <w:tcBorders>
              <w:left w:val="single" w:sz="8" w:color="auto"/>
              <w:bottom w:val="single" w:sz="8" w:color="E7E6E6"/>
              <w:right w:val="single" w:sz="8" w:color="auto"/>
            </w:tcBorders>
            <w:shd w:val="clear" w:color="auto" w:fill="E7E6E6"/>
          </w:tcPr>
          <w:p>
            <w:pPr>
              <w:spacing w:after="0"/>
              <w:rPr>
                <w:sz w:val="17"/>
                <w:szCs w:val="17"/>
                <w:color w:val="auto"/>
              </w:rPr>
            </w:pPr>
          </w:p>
        </w:tc>
        <w:tc>
          <w:tcPr>
            <w:tcW w:w="2240" w:type="dxa"/>
            <w:vAlign w:val="bottom"/>
            <w:tcBorders>
              <w:bottom w:val="single" w:sz="8" w:color="E7E6E6"/>
              <w:right w:val="single" w:sz="8" w:color="auto"/>
            </w:tcBorders>
            <w:shd w:val="clear" w:color="auto" w:fill="E7E6E6"/>
          </w:tcPr>
          <w:p>
            <w:pPr>
              <w:spacing w:after="0" w:line="164" w:lineRule="exact"/>
              <w:rPr>
                <w:sz w:val="20"/>
                <w:szCs w:val="20"/>
                <w:color w:val="auto"/>
              </w:rPr>
            </w:pPr>
            <w:r>
              <w:rPr>
                <w:rFonts w:ascii="Calibri" w:cs="Calibri" w:eastAsia="Calibri" w:hAnsi="Calibri"/>
                <w:sz w:val="14"/>
                <w:szCs w:val="14"/>
                <w:color w:val="auto"/>
              </w:rPr>
              <w:t>SERP</w:t>
            </w:r>
          </w:p>
        </w:tc>
        <w:tc>
          <w:tcPr>
            <w:tcW w:w="1820" w:type="dxa"/>
            <w:vAlign w:val="bottom"/>
            <w:tcBorders>
              <w:bottom w:val="single" w:sz="8" w:color="E7E6E6"/>
            </w:tcBorders>
            <w:shd w:val="clear" w:color="auto" w:fill="E7E6E6"/>
          </w:tcPr>
          <w:p>
            <w:pPr>
              <w:spacing w:after="0"/>
              <w:rPr>
                <w:sz w:val="17"/>
                <w:szCs w:val="17"/>
                <w:color w:val="auto"/>
              </w:rPr>
            </w:pPr>
          </w:p>
        </w:tc>
        <w:tc>
          <w:tcPr>
            <w:tcW w:w="620" w:type="dxa"/>
            <w:vAlign w:val="bottom"/>
            <w:tcBorders>
              <w:bottom w:val="single" w:sz="8" w:color="E7E6E6"/>
              <w:right w:val="single" w:sz="8" w:color="auto"/>
            </w:tcBorders>
            <w:shd w:val="clear" w:color="auto" w:fill="E7E6E6"/>
          </w:tcPr>
          <w:p>
            <w:pPr>
              <w:jc w:val="right"/>
              <w:ind w:right="68"/>
              <w:spacing w:after="0" w:line="164" w:lineRule="exact"/>
              <w:rPr>
                <w:sz w:val="20"/>
                <w:szCs w:val="20"/>
                <w:color w:val="auto"/>
              </w:rPr>
            </w:pPr>
            <w:r>
              <w:rPr>
                <w:rFonts w:ascii="Calibri" w:cs="Calibri" w:eastAsia="Calibri" w:hAnsi="Calibri"/>
                <w:sz w:val="14"/>
                <w:szCs w:val="14"/>
                <w:color w:val="auto"/>
              </w:rPr>
              <w:t>5.00</w:t>
            </w:r>
          </w:p>
        </w:tc>
        <w:tc>
          <w:tcPr>
            <w:tcW w:w="1400" w:type="dxa"/>
            <w:vAlign w:val="bottom"/>
            <w:tcBorders>
              <w:bottom w:val="single" w:sz="8" w:color="E7E6E6"/>
            </w:tcBorders>
            <w:shd w:val="clear" w:color="auto" w:fill="E7E6E6"/>
          </w:tcPr>
          <w:p>
            <w:pPr>
              <w:jc w:val="right"/>
              <w:ind w:right="1248"/>
              <w:spacing w:after="0" w:line="164" w:lineRule="exact"/>
              <w:rPr>
                <w:sz w:val="20"/>
                <w:szCs w:val="20"/>
                <w:color w:val="auto"/>
              </w:rPr>
            </w:pPr>
            <w:r>
              <w:rPr>
                <w:rFonts w:ascii="Calibri" w:cs="Calibri" w:eastAsia="Calibri" w:hAnsi="Calibri"/>
                <w:sz w:val="14"/>
                <w:szCs w:val="14"/>
                <w:color w:val="auto"/>
                <w:w w:val="83"/>
              </w:rPr>
              <w:t>$</w:t>
            </w:r>
          </w:p>
        </w:tc>
        <w:tc>
          <w:tcPr>
            <w:tcW w:w="720" w:type="dxa"/>
            <w:vAlign w:val="bottom"/>
            <w:tcBorders>
              <w:bottom w:val="single" w:sz="8" w:color="E7E6E6"/>
              <w:right w:val="single" w:sz="8" w:color="auto"/>
            </w:tcBorders>
            <w:shd w:val="clear" w:color="auto" w:fill="E7E6E6"/>
          </w:tcPr>
          <w:p>
            <w:pPr>
              <w:jc w:val="right"/>
              <w:ind w:right="48"/>
              <w:spacing w:after="0" w:line="164" w:lineRule="exact"/>
              <w:rPr>
                <w:sz w:val="20"/>
                <w:szCs w:val="20"/>
                <w:color w:val="auto"/>
              </w:rPr>
            </w:pPr>
            <w:r>
              <w:rPr>
                <w:rFonts w:ascii="Calibri" w:cs="Calibri" w:eastAsia="Calibri" w:hAnsi="Calibri"/>
                <w:sz w:val="14"/>
                <w:szCs w:val="14"/>
                <w:color w:val="auto"/>
              </w:rPr>
              <w:t>3,711,579</w:t>
            </w:r>
          </w:p>
        </w:tc>
        <w:tc>
          <w:tcPr>
            <w:tcW w:w="320" w:type="dxa"/>
            <w:vAlign w:val="bottom"/>
            <w:tcBorders>
              <w:bottom w:val="single" w:sz="8" w:color="E7E6E6"/>
            </w:tcBorders>
            <w:shd w:val="clear" w:color="auto" w:fill="E7E6E6"/>
          </w:tcPr>
          <w:p>
            <w:pPr>
              <w:jc w:val="right"/>
              <w:ind w:right="148"/>
              <w:spacing w:after="0" w:line="164" w:lineRule="exact"/>
              <w:rPr>
                <w:sz w:val="20"/>
                <w:szCs w:val="20"/>
                <w:color w:val="auto"/>
              </w:rPr>
            </w:pPr>
            <w:r>
              <w:rPr>
                <w:rFonts w:ascii="Calibri" w:cs="Calibri" w:eastAsia="Calibri" w:hAnsi="Calibri"/>
                <w:sz w:val="14"/>
                <w:szCs w:val="14"/>
                <w:color w:val="auto"/>
              </w:rPr>
              <w:t>$</w:t>
            </w:r>
          </w:p>
        </w:tc>
        <w:tc>
          <w:tcPr>
            <w:tcW w:w="1560" w:type="dxa"/>
            <w:vAlign w:val="bottom"/>
            <w:tcBorders>
              <w:bottom w:val="single" w:sz="8" w:color="E7E6E6"/>
              <w:right w:val="single" w:sz="8" w:color="auto"/>
            </w:tcBorders>
            <w:shd w:val="clear" w:color="auto" w:fill="E7E6E6"/>
          </w:tcPr>
          <w:p>
            <w:pPr>
              <w:ind w:left="1300"/>
              <w:spacing w:after="0" w:line="164" w:lineRule="exact"/>
              <w:rPr>
                <w:sz w:val="20"/>
                <w:szCs w:val="20"/>
                <w:color w:val="auto"/>
              </w:rPr>
            </w:pPr>
            <w:r>
              <w:rPr>
                <w:rFonts w:ascii="Calibri" w:cs="Calibri" w:eastAsia="Calibri" w:hAnsi="Calibri"/>
                <w:sz w:val="14"/>
                <w:szCs w:val="14"/>
                <w:color w:val="auto"/>
              </w:rPr>
              <w:t>—</w:t>
            </w:r>
          </w:p>
        </w:tc>
      </w:tr>
      <w:tr>
        <w:trPr>
          <w:trHeight w:val="190"/>
        </w:trPr>
        <w:tc>
          <w:tcPr>
            <w:tcW w:w="2560" w:type="dxa"/>
            <w:vAlign w:val="bottom"/>
            <w:tcBorders>
              <w:top w:val="single" w:sz="8" w:color="auto"/>
              <w:left w:val="single" w:sz="8" w:color="auto"/>
              <w:right w:val="single" w:sz="8" w:color="auto"/>
            </w:tcBorders>
          </w:tcPr>
          <w:p>
            <w:pPr>
              <w:ind w:left="40"/>
              <w:spacing w:after="0"/>
              <w:rPr>
                <w:sz w:val="20"/>
                <w:szCs w:val="20"/>
                <w:color w:val="auto"/>
              </w:rPr>
            </w:pPr>
            <w:r>
              <w:rPr>
                <w:rFonts w:ascii="Calibri" w:cs="Calibri" w:eastAsia="Calibri" w:hAnsi="Calibri"/>
                <w:sz w:val="14"/>
                <w:szCs w:val="14"/>
                <w:color w:val="auto"/>
              </w:rPr>
              <w:t>B. Buckler</w:t>
            </w:r>
          </w:p>
        </w:tc>
        <w:tc>
          <w:tcPr>
            <w:tcW w:w="2240" w:type="dxa"/>
            <w:vAlign w:val="bottom"/>
            <w:tcBorders>
              <w:top w:val="single" w:sz="8" w:color="auto"/>
              <w:bottom w:val="single" w:sz="8" w:color="auto"/>
              <w:right w:val="single" w:sz="8" w:color="auto"/>
            </w:tcBorders>
          </w:tcPr>
          <w:p>
            <w:pPr>
              <w:spacing w:after="0"/>
              <w:rPr>
                <w:sz w:val="20"/>
                <w:szCs w:val="20"/>
                <w:color w:val="auto"/>
              </w:rPr>
            </w:pPr>
            <w:r>
              <w:rPr>
                <w:rFonts w:ascii="Calibri" w:cs="Calibri" w:eastAsia="Calibri" w:hAnsi="Calibri"/>
                <w:sz w:val="14"/>
                <w:szCs w:val="14"/>
                <w:color w:val="auto"/>
              </w:rPr>
              <w:t>Qualifed Plan</w:t>
            </w:r>
          </w:p>
        </w:tc>
        <w:tc>
          <w:tcPr>
            <w:tcW w:w="182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right w:val="single" w:sz="8" w:color="auto"/>
            </w:tcBorders>
          </w:tcPr>
          <w:p>
            <w:pPr>
              <w:jc w:val="right"/>
              <w:ind w:right="68"/>
              <w:spacing w:after="0"/>
              <w:rPr>
                <w:sz w:val="20"/>
                <w:szCs w:val="20"/>
                <w:color w:val="auto"/>
              </w:rPr>
            </w:pPr>
            <w:r>
              <w:rPr>
                <w:rFonts w:ascii="Calibri" w:cs="Calibri" w:eastAsia="Calibri" w:hAnsi="Calibri"/>
                <w:sz w:val="14"/>
                <w:szCs w:val="14"/>
                <w:color w:val="auto"/>
              </w:rPr>
              <w:t>—</w:t>
            </w:r>
          </w:p>
        </w:tc>
        <w:tc>
          <w:tcPr>
            <w:tcW w:w="1400" w:type="dxa"/>
            <w:vAlign w:val="bottom"/>
            <w:tcBorders>
              <w:top w:val="single" w:sz="8" w:color="auto"/>
              <w:bottom w:val="single" w:sz="8" w:color="auto"/>
            </w:tcBorders>
          </w:tcPr>
          <w:p>
            <w:pPr>
              <w:jc w:val="right"/>
              <w:ind w:right="1248"/>
              <w:spacing w:after="0"/>
              <w:rPr>
                <w:sz w:val="20"/>
                <w:szCs w:val="20"/>
                <w:color w:val="auto"/>
              </w:rPr>
            </w:pPr>
            <w:r>
              <w:rPr>
                <w:rFonts w:ascii="Calibri" w:cs="Calibri" w:eastAsia="Calibri" w:hAnsi="Calibri"/>
                <w:sz w:val="14"/>
                <w:szCs w:val="14"/>
                <w:color w:val="auto"/>
                <w:w w:val="83"/>
              </w:rPr>
              <w:t>$</w:t>
            </w:r>
          </w:p>
        </w:tc>
        <w:tc>
          <w:tcPr>
            <w:tcW w:w="720" w:type="dxa"/>
            <w:vAlign w:val="bottom"/>
            <w:tcBorders>
              <w:top w:val="single" w:sz="8" w:color="auto"/>
              <w:bottom w:val="single" w:sz="8" w:color="auto"/>
              <w:right w:val="single" w:sz="8" w:color="auto"/>
            </w:tcBorders>
          </w:tcPr>
          <w:p>
            <w:pPr>
              <w:jc w:val="right"/>
              <w:ind w:right="48"/>
              <w:spacing w:after="0"/>
              <w:rPr>
                <w:sz w:val="20"/>
                <w:szCs w:val="20"/>
                <w:color w:val="auto"/>
              </w:rPr>
            </w:pPr>
            <w:r>
              <w:rPr>
                <w:rFonts w:ascii="Calibri" w:cs="Calibri" w:eastAsia="Calibri" w:hAnsi="Calibri"/>
                <w:sz w:val="14"/>
                <w:szCs w:val="14"/>
                <w:color w:val="auto"/>
              </w:rPr>
              <w:t>—</w:t>
            </w: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Calibri" w:cs="Calibri" w:eastAsia="Calibri" w:hAnsi="Calibri"/>
                <w:sz w:val="14"/>
                <w:szCs w:val="14"/>
                <w:color w:val="auto"/>
              </w:rPr>
              <w:t>$</w:t>
            </w:r>
          </w:p>
        </w:tc>
        <w:tc>
          <w:tcPr>
            <w:tcW w:w="1560" w:type="dxa"/>
            <w:vAlign w:val="bottom"/>
            <w:tcBorders>
              <w:top w:val="single" w:sz="8" w:color="auto"/>
              <w:bottom w:val="single" w:sz="8" w:color="auto"/>
              <w:right w:val="single" w:sz="8" w:color="auto"/>
            </w:tcBorders>
          </w:tcPr>
          <w:p>
            <w:pPr>
              <w:ind w:left="1300"/>
              <w:spacing w:after="0"/>
              <w:rPr>
                <w:sz w:val="20"/>
                <w:szCs w:val="20"/>
                <w:color w:val="auto"/>
              </w:rPr>
            </w:pPr>
            <w:r>
              <w:rPr>
                <w:rFonts w:ascii="Calibri" w:cs="Calibri" w:eastAsia="Calibri" w:hAnsi="Calibri"/>
                <w:sz w:val="14"/>
                <w:szCs w:val="14"/>
                <w:color w:val="auto"/>
              </w:rPr>
              <w:t>—</w:t>
            </w:r>
          </w:p>
        </w:tc>
      </w:tr>
      <w:tr>
        <w:trPr>
          <w:trHeight w:val="208"/>
        </w:trPr>
        <w:tc>
          <w:tcPr>
            <w:tcW w:w="2560" w:type="dxa"/>
            <w:vAlign w:val="bottom"/>
            <w:tcBorders>
              <w:left w:val="single" w:sz="8" w:color="auto"/>
              <w:bottom w:val="single" w:sz="8" w:color="E7E6E6"/>
              <w:right w:val="single" w:sz="8" w:color="auto"/>
            </w:tcBorders>
            <w:shd w:val="clear" w:color="auto" w:fill="E7E6E6"/>
          </w:tcPr>
          <w:p>
            <w:pPr>
              <w:spacing w:after="0"/>
              <w:rPr>
                <w:sz w:val="17"/>
                <w:szCs w:val="17"/>
                <w:color w:val="auto"/>
              </w:rPr>
            </w:pPr>
          </w:p>
        </w:tc>
        <w:tc>
          <w:tcPr>
            <w:tcW w:w="2240" w:type="dxa"/>
            <w:vAlign w:val="bottom"/>
            <w:tcBorders>
              <w:bottom w:val="single" w:sz="8" w:color="E7E6E6"/>
              <w:right w:val="single" w:sz="8" w:color="auto"/>
            </w:tcBorders>
            <w:shd w:val="clear" w:color="auto" w:fill="E7E6E6"/>
          </w:tcPr>
          <w:p>
            <w:pPr>
              <w:spacing w:after="0"/>
              <w:rPr>
                <w:sz w:val="20"/>
                <w:szCs w:val="20"/>
                <w:color w:val="auto"/>
              </w:rPr>
            </w:pPr>
            <w:r>
              <w:rPr>
                <w:rFonts w:ascii="Calibri" w:cs="Calibri" w:eastAsia="Calibri" w:hAnsi="Calibri"/>
                <w:sz w:val="14"/>
                <w:szCs w:val="14"/>
                <w:color w:val="auto"/>
              </w:rPr>
              <w:t>Restoraton Plan</w:t>
            </w:r>
          </w:p>
        </w:tc>
        <w:tc>
          <w:tcPr>
            <w:tcW w:w="1820" w:type="dxa"/>
            <w:vAlign w:val="bottom"/>
            <w:tcBorders>
              <w:bottom w:val="single" w:sz="8" w:color="E7E6E6"/>
            </w:tcBorders>
            <w:shd w:val="clear" w:color="auto" w:fill="E7E6E6"/>
          </w:tcPr>
          <w:p>
            <w:pPr>
              <w:spacing w:after="0"/>
              <w:rPr>
                <w:sz w:val="17"/>
                <w:szCs w:val="17"/>
                <w:color w:val="auto"/>
              </w:rPr>
            </w:pPr>
          </w:p>
        </w:tc>
        <w:tc>
          <w:tcPr>
            <w:tcW w:w="620" w:type="dxa"/>
            <w:vAlign w:val="bottom"/>
            <w:tcBorders>
              <w:bottom w:val="single" w:sz="8" w:color="E7E6E6"/>
              <w:right w:val="single" w:sz="8" w:color="auto"/>
            </w:tcBorders>
            <w:shd w:val="clear" w:color="auto" w:fill="E7E6E6"/>
          </w:tcPr>
          <w:p>
            <w:pPr>
              <w:jc w:val="right"/>
              <w:ind w:right="68"/>
              <w:spacing w:after="0"/>
              <w:rPr>
                <w:sz w:val="20"/>
                <w:szCs w:val="20"/>
                <w:color w:val="auto"/>
              </w:rPr>
            </w:pPr>
            <w:r>
              <w:rPr>
                <w:rFonts w:ascii="Calibri" w:cs="Calibri" w:eastAsia="Calibri" w:hAnsi="Calibri"/>
                <w:sz w:val="14"/>
                <w:szCs w:val="14"/>
                <w:color w:val="auto"/>
              </w:rPr>
              <w:t>—</w:t>
            </w:r>
          </w:p>
        </w:tc>
        <w:tc>
          <w:tcPr>
            <w:tcW w:w="1400" w:type="dxa"/>
            <w:vAlign w:val="bottom"/>
            <w:tcBorders>
              <w:bottom w:val="single" w:sz="8" w:color="E7E6E6"/>
            </w:tcBorders>
            <w:shd w:val="clear" w:color="auto" w:fill="E7E6E6"/>
          </w:tcPr>
          <w:p>
            <w:pPr>
              <w:jc w:val="right"/>
              <w:ind w:right="1248"/>
              <w:spacing w:after="0"/>
              <w:rPr>
                <w:sz w:val="20"/>
                <w:szCs w:val="20"/>
                <w:color w:val="auto"/>
              </w:rPr>
            </w:pPr>
            <w:r>
              <w:rPr>
                <w:rFonts w:ascii="Calibri" w:cs="Calibri" w:eastAsia="Calibri" w:hAnsi="Calibri"/>
                <w:sz w:val="14"/>
                <w:szCs w:val="14"/>
                <w:color w:val="auto"/>
                <w:w w:val="83"/>
              </w:rPr>
              <w:t>$</w:t>
            </w:r>
          </w:p>
        </w:tc>
        <w:tc>
          <w:tcPr>
            <w:tcW w:w="720" w:type="dxa"/>
            <w:vAlign w:val="bottom"/>
            <w:tcBorders>
              <w:bottom w:val="single" w:sz="8" w:color="E7E6E6"/>
              <w:right w:val="single" w:sz="8" w:color="auto"/>
            </w:tcBorders>
            <w:shd w:val="clear" w:color="auto" w:fill="E7E6E6"/>
          </w:tcPr>
          <w:p>
            <w:pPr>
              <w:jc w:val="right"/>
              <w:ind w:right="48"/>
              <w:spacing w:after="0"/>
              <w:rPr>
                <w:sz w:val="20"/>
                <w:szCs w:val="20"/>
                <w:color w:val="auto"/>
              </w:rPr>
            </w:pPr>
            <w:r>
              <w:rPr>
                <w:rFonts w:ascii="Calibri" w:cs="Calibri" w:eastAsia="Calibri" w:hAnsi="Calibri"/>
                <w:sz w:val="14"/>
                <w:szCs w:val="14"/>
                <w:color w:val="auto"/>
              </w:rPr>
              <w:t>—</w:t>
            </w:r>
          </w:p>
        </w:tc>
        <w:tc>
          <w:tcPr>
            <w:tcW w:w="320" w:type="dxa"/>
            <w:vAlign w:val="bottom"/>
            <w:tcBorders>
              <w:bottom w:val="single" w:sz="8" w:color="E7E6E6"/>
            </w:tcBorders>
            <w:shd w:val="clear" w:color="auto" w:fill="E7E6E6"/>
          </w:tcPr>
          <w:p>
            <w:pPr>
              <w:jc w:val="right"/>
              <w:ind w:right="148"/>
              <w:spacing w:after="0"/>
              <w:rPr>
                <w:sz w:val="20"/>
                <w:szCs w:val="20"/>
                <w:color w:val="auto"/>
              </w:rPr>
            </w:pPr>
            <w:r>
              <w:rPr>
                <w:rFonts w:ascii="Calibri" w:cs="Calibri" w:eastAsia="Calibri" w:hAnsi="Calibri"/>
                <w:sz w:val="14"/>
                <w:szCs w:val="14"/>
                <w:color w:val="auto"/>
              </w:rPr>
              <w:t>$</w:t>
            </w:r>
          </w:p>
        </w:tc>
        <w:tc>
          <w:tcPr>
            <w:tcW w:w="1560" w:type="dxa"/>
            <w:vAlign w:val="bottom"/>
            <w:tcBorders>
              <w:bottom w:val="single" w:sz="8" w:color="E7E6E6"/>
              <w:right w:val="single" w:sz="8" w:color="auto"/>
            </w:tcBorders>
            <w:shd w:val="clear" w:color="auto" w:fill="E7E6E6"/>
          </w:tcPr>
          <w:p>
            <w:pPr>
              <w:ind w:left="1300"/>
              <w:spacing w:after="0"/>
              <w:rPr>
                <w:sz w:val="20"/>
                <w:szCs w:val="20"/>
                <w:color w:val="auto"/>
              </w:rPr>
            </w:pPr>
            <w:r>
              <w:rPr>
                <w:rFonts w:ascii="Calibri" w:cs="Calibri" w:eastAsia="Calibri" w:hAnsi="Calibri"/>
                <w:sz w:val="14"/>
                <w:szCs w:val="14"/>
                <w:color w:val="auto"/>
              </w:rPr>
              <w:t>—</w:t>
            </w:r>
          </w:p>
        </w:tc>
      </w:tr>
      <w:tr>
        <w:trPr>
          <w:trHeight w:val="190"/>
        </w:trPr>
        <w:tc>
          <w:tcPr>
            <w:tcW w:w="2560" w:type="dxa"/>
            <w:vAlign w:val="bottom"/>
            <w:tcBorders>
              <w:top w:val="single" w:sz="8" w:color="auto"/>
              <w:left w:val="single" w:sz="8" w:color="auto"/>
              <w:right w:val="single" w:sz="8" w:color="auto"/>
            </w:tcBorders>
          </w:tcPr>
          <w:p>
            <w:pPr>
              <w:ind w:left="40"/>
              <w:spacing w:after="0"/>
              <w:rPr>
                <w:sz w:val="20"/>
                <w:szCs w:val="20"/>
                <w:color w:val="auto"/>
              </w:rPr>
            </w:pPr>
            <w:r>
              <w:rPr>
                <w:rFonts w:ascii="Calibri" w:cs="Calibri" w:eastAsia="Calibri" w:hAnsi="Calibri"/>
                <w:sz w:val="14"/>
                <w:szCs w:val="14"/>
                <w:color w:val="auto"/>
              </w:rPr>
              <w:t>W. Sultemeier</w:t>
            </w:r>
          </w:p>
        </w:tc>
        <w:tc>
          <w:tcPr>
            <w:tcW w:w="2240" w:type="dxa"/>
            <w:vAlign w:val="bottom"/>
            <w:tcBorders>
              <w:top w:val="single" w:sz="8" w:color="auto"/>
              <w:bottom w:val="single" w:sz="8" w:color="auto"/>
              <w:right w:val="single" w:sz="8" w:color="auto"/>
            </w:tcBorders>
          </w:tcPr>
          <w:p>
            <w:pPr>
              <w:spacing w:after="0"/>
              <w:rPr>
                <w:sz w:val="20"/>
                <w:szCs w:val="20"/>
                <w:color w:val="auto"/>
              </w:rPr>
            </w:pPr>
            <w:r>
              <w:rPr>
                <w:rFonts w:ascii="Calibri" w:cs="Calibri" w:eastAsia="Calibri" w:hAnsi="Calibri"/>
                <w:sz w:val="14"/>
                <w:szCs w:val="14"/>
                <w:color w:val="auto"/>
              </w:rPr>
              <w:t>Qualifed Plan</w:t>
            </w:r>
          </w:p>
        </w:tc>
        <w:tc>
          <w:tcPr>
            <w:tcW w:w="182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right w:val="single" w:sz="8" w:color="auto"/>
            </w:tcBorders>
          </w:tcPr>
          <w:p>
            <w:pPr>
              <w:jc w:val="right"/>
              <w:ind w:right="68"/>
              <w:spacing w:after="0"/>
              <w:rPr>
                <w:sz w:val="20"/>
                <w:szCs w:val="20"/>
                <w:color w:val="auto"/>
              </w:rPr>
            </w:pPr>
            <w:r>
              <w:rPr>
                <w:rFonts w:ascii="Calibri" w:cs="Calibri" w:eastAsia="Calibri" w:hAnsi="Calibri"/>
                <w:sz w:val="14"/>
                <w:szCs w:val="14"/>
                <w:color w:val="auto"/>
              </w:rPr>
              <w:t>—</w:t>
            </w:r>
          </w:p>
        </w:tc>
        <w:tc>
          <w:tcPr>
            <w:tcW w:w="1400" w:type="dxa"/>
            <w:vAlign w:val="bottom"/>
            <w:tcBorders>
              <w:top w:val="single" w:sz="8" w:color="auto"/>
              <w:bottom w:val="single" w:sz="8" w:color="auto"/>
            </w:tcBorders>
          </w:tcPr>
          <w:p>
            <w:pPr>
              <w:jc w:val="right"/>
              <w:ind w:right="1248"/>
              <w:spacing w:after="0"/>
              <w:rPr>
                <w:sz w:val="20"/>
                <w:szCs w:val="20"/>
                <w:color w:val="auto"/>
              </w:rPr>
            </w:pPr>
            <w:r>
              <w:rPr>
                <w:rFonts w:ascii="Calibri" w:cs="Calibri" w:eastAsia="Calibri" w:hAnsi="Calibri"/>
                <w:sz w:val="14"/>
                <w:szCs w:val="14"/>
                <w:color w:val="auto"/>
                <w:w w:val="83"/>
              </w:rPr>
              <w:t>$</w:t>
            </w:r>
          </w:p>
        </w:tc>
        <w:tc>
          <w:tcPr>
            <w:tcW w:w="720" w:type="dxa"/>
            <w:vAlign w:val="bottom"/>
            <w:tcBorders>
              <w:top w:val="single" w:sz="8" w:color="auto"/>
              <w:bottom w:val="single" w:sz="8" w:color="auto"/>
              <w:right w:val="single" w:sz="8" w:color="auto"/>
            </w:tcBorders>
          </w:tcPr>
          <w:p>
            <w:pPr>
              <w:jc w:val="right"/>
              <w:ind w:right="48"/>
              <w:spacing w:after="0"/>
              <w:rPr>
                <w:sz w:val="20"/>
                <w:szCs w:val="20"/>
                <w:color w:val="auto"/>
              </w:rPr>
            </w:pPr>
            <w:r>
              <w:rPr>
                <w:rFonts w:ascii="Calibri" w:cs="Calibri" w:eastAsia="Calibri" w:hAnsi="Calibri"/>
                <w:sz w:val="14"/>
                <w:szCs w:val="14"/>
                <w:color w:val="auto"/>
              </w:rPr>
              <w:t>—</w:t>
            </w: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Calibri" w:cs="Calibri" w:eastAsia="Calibri" w:hAnsi="Calibri"/>
                <w:sz w:val="14"/>
                <w:szCs w:val="14"/>
                <w:color w:val="auto"/>
              </w:rPr>
              <w:t>$</w:t>
            </w:r>
          </w:p>
        </w:tc>
        <w:tc>
          <w:tcPr>
            <w:tcW w:w="1560" w:type="dxa"/>
            <w:vAlign w:val="bottom"/>
            <w:tcBorders>
              <w:top w:val="single" w:sz="8" w:color="auto"/>
              <w:bottom w:val="single" w:sz="8" w:color="auto"/>
              <w:right w:val="single" w:sz="8" w:color="auto"/>
            </w:tcBorders>
          </w:tcPr>
          <w:p>
            <w:pPr>
              <w:ind w:left="1300"/>
              <w:spacing w:after="0"/>
              <w:rPr>
                <w:sz w:val="20"/>
                <w:szCs w:val="20"/>
                <w:color w:val="auto"/>
              </w:rPr>
            </w:pPr>
            <w:r>
              <w:rPr>
                <w:rFonts w:ascii="Calibri" w:cs="Calibri" w:eastAsia="Calibri" w:hAnsi="Calibri"/>
                <w:sz w:val="14"/>
                <w:szCs w:val="14"/>
                <w:color w:val="auto"/>
              </w:rPr>
              <w:t>—</w:t>
            </w:r>
          </w:p>
        </w:tc>
      </w:tr>
      <w:tr>
        <w:trPr>
          <w:trHeight w:val="208"/>
        </w:trPr>
        <w:tc>
          <w:tcPr>
            <w:tcW w:w="2560" w:type="dxa"/>
            <w:vAlign w:val="bottom"/>
            <w:tcBorders>
              <w:left w:val="single" w:sz="8" w:color="auto"/>
              <w:bottom w:val="single" w:sz="8" w:color="E7E6E6"/>
              <w:right w:val="single" w:sz="8" w:color="auto"/>
            </w:tcBorders>
            <w:shd w:val="clear" w:color="auto" w:fill="E7E6E6"/>
          </w:tcPr>
          <w:p>
            <w:pPr>
              <w:spacing w:after="0"/>
              <w:rPr>
                <w:sz w:val="17"/>
                <w:szCs w:val="17"/>
                <w:color w:val="auto"/>
              </w:rPr>
            </w:pPr>
          </w:p>
        </w:tc>
        <w:tc>
          <w:tcPr>
            <w:tcW w:w="2240" w:type="dxa"/>
            <w:vAlign w:val="bottom"/>
            <w:tcBorders>
              <w:bottom w:val="single" w:sz="8" w:color="E7E6E6"/>
              <w:right w:val="single" w:sz="8" w:color="auto"/>
            </w:tcBorders>
            <w:shd w:val="clear" w:color="auto" w:fill="E7E6E6"/>
          </w:tcPr>
          <w:p>
            <w:pPr>
              <w:spacing w:after="0"/>
              <w:rPr>
                <w:sz w:val="20"/>
                <w:szCs w:val="20"/>
                <w:color w:val="auto"/>
              </w:rPr>
            </w:pPr>
            <w:r>
              <w:rPr>
                <w:rFonts w:ascii="Calibri" w:cs="Calibri" w:eastAsia="Calibri" w:hAnsi="Calibri"/>
                <w:sz w:val="14"/>
                <w:szCs w:val="14"/>
                <w:color w:val="auto"/>
              </w:rPr>
              <w:t>Restoraton Plan</w:t>
            </w:r>
          </w:p>
        </w:tc>
        <w:tc>
          <w:tcPr>
            <w:tcW w:w="1820" w:type="dxa"/>
            <w:vAlign w:val="bottom"/>
            <w:tcBorders>
              <w:bottom w:val="single" w:sz="8" w:color="E7E6E6"/>
            </w:tcBorders>
            <w:shd w:val="clear" w:color="auto" w:fill="E7E6E6"/>
          </w:tcPr>
          <w:p>
            <w:pPr>
              <w:spacing w:after="0"/>
              <w:rPr>
                <w:sz w:val="17"/>
                <w:szCs w:val="17"/>
                <w:color w:val="auto"/>
              </w:rPr>
            </w:pPr>
          </w:p>
        </w:tc>
        <w:tc>
          <w:tcPr>
            <w:tcW w:w="620" w:type="dxa"/>
            <w:vAlign w:val="bottom"/>
            <w:tcBorders>
              <w:bottom w:val="single" w:sz="8" w:color="E7E6E6"/>
              <w:right w:val="single" w:sz="8" w:color="auto"/>
            </w:tcBorders>
            <w:shd w:val="clear" w:color="auto" w:fill="E7E6E6"/>
          </w:tcPr>
          <w:p>
            <w:pPr>
              <w:jc w:val="right"/>
              <w:ind w:right="68"/>
              <w:spacing w:after="0"/>
              <w:rPr>
                <w:sz w:val="20"/>
                <w:szCs w:val="20"/>
                <w:color w:val="auto"/>
              </w:rPr>
            </w:pPr>
            <w:r>
              <w:rPr>
                <w:rFonts w:ascii="Calibri" w:cs="Calibri" w:eastAsia="Calibri" w:hAnsi="Calibri"/>
                <w:sz w:val="14"/>
                <w:szCs w:val="14"/>
                <w:color w:val="auto"/>
              </w:rPr>
              <w:t>—</w:t>
            </w:r>
          </w:p>
        </w:tc>
        <w:tc>
          <w:tcPr>
            <w:tcW w:w="1400" w:type="dxa"/>
            <w:vAlign w:val="bottom"/>
            <w:tcBorders>
              <w:bottom w:val="single" w:sz="8" w:color="E7E6E6"/>
            </w:tcBorders>
            <w:shd w:val="clear" w:color="auto" w:fill="E7E6E6"/>
          </w:tcPr>
          <w:p>
            <w:pPr>
              <w:jc w:val="right"/>
              <w:ind w:right="1248"/>
              <w:spacing w:after="0"/>
              <w:rPr>
                <w:sz w:val="20"/>
                <w:szCs w:val="20"/>
                <w:color w:val="auto"/>
              </w:rPr>
            </w:pPr>
            <w:r>
              <w:rPr>
                <w:rFonts w:ascii="Calibri" w:cs="Calibri" w:eastAsia="Calibri" w:hAnsi="Calibri"/>
                <w:sz w:val="14"/>
                <w:szCs w:val="14"/>
                <w:color w:val="auto"/>
                <w:w w:val="83"/>
              </w:rPr>
              <w:t>$</w:t>
            </w:r>
          </w:p>
        </w:tc>
        <w:tc>
          <w:tcPr>
            <w:tcW w:w="720" w:type="dxa"/>
            <w:vAlign w:val="bottom"/>
            <w:tcBorders>
              <w:bottom w:val="single" w:sz="8" w:color="E7E6E6"/>
              <w:right w:val="single" w:sz="8" w:color="auto"/>
            </w:tcBorders>
            <w:shd w:val="clear" w:color="auto" w:fill="E7E6E6"/>
          </w:tcPr>
          <w:p>
            <w:pPr>
              <w:jc w:val="right"/>
              <w:ind w:right="48"/>
              <w:spacing w:after="0"/>
              <w:rPr>
                <w:sz w:val="20"/>
                <w:szCs w:val="20"/>
                <w:color w:val="auto"/>
              </w:rPr>
            </w:pPr>
            <w:r>
              <w:rPr>
                <w:rFonts w:ascii="Calibri" w:cs="Calibri" w:eastAsia="Calibri" w:hAnsi="Calibri"/>
                <w:sz w:val="14"/>
                <w:szCs w:val="14"/>
                <w:color w:val="auto"/>
              </w:rPr>
              <w:t>—</w:t>
            </w:r>
          </w:p>
        </w:tc>
        <w:tc>
          <w:tcPr>
            <w:tcW w:w="320" w:type="dxa"/>
            <w:vAlign w:val="bottom"/>
            <w:tcBorders>
              <w:bottom w:val="single" w:sz="8" w:color="E7E6E6"/>
            </w:tcBorders>
            <w:shd w:val="clear" w:color="auto" w:fill="E7E6E6"/>
          </w:tcPr>
          <w:p>
            <w:pPr>
              <w:jc w:val="right"/>
              <w:ind w:right="148"/>
              <w:spacing w:after="0"/>
              <w:rPr>
                <w:sz w:val="20"/>
                <w:szCs w:val="20"/>
                <w:color w:val="auto"/>
              </w:rPr>
            </w:pPr>
            <w:r>
              <w:rPr>
                <w:rFonts w:ascii="Calibri" w:cs="Calibri" w:eastAsia="Calibri" w:hAnsi="Calibri"/>
                <w:sz w:val="14"/>
                <w:szCs w:val="14"/>
                <w:color w:val="auto"/>
              </w:rPr>
              <w:t>$</w:t>
            </w:r>
          </w:p>
        </w:tc>
        <w:tc>
          <w:tcPr>
            <w:tcW w:w="1560" w:type="dxa"/>
            <w:vAlign w:val="bottom"/>
            <w:tcBorders>
              <w:bottom w:val="single" w:sz="8" w:color="E7E6E6"/>
              <w:right w:val="single" w:sz="8" w:color="auto"/>
            </w:tcBorders>
            <w:shd w:val="clear" w:color="auto" w:fill="E7E6E6"/>
          </w:tcPr>
          <w:p>
            <w:pPr>
              <w:ind w:left="1300"/>
              <w:spacing w:after="0"/>
              <w:rPr>
                <w:sz w:val="20"/>
                <w:szCs w:val="20"/>
                <w:color w:val="auto"/>
              </w:rPr>
            </w:pPr>
            <w:r>
              <w:rPr>
                <w:rFonts w:ascii="Calibri" w:cs="Calibri" w:eastAsia="Calibri" w:hAnsi="Calibri"/>
                <w:sz w:val="14"/>
                <w:szCs w:val="14"/>
                <w:color w:val="auto"/>
              </w:rPr>
              <w:t>—</w:t>
            </w:r>
          </w:p>
        </w:tc>
      </w:tr>
      <w:tr>
        <w:trPr>
          <w:trHeight w:val="189"/>
        </w:trPr>
        <w:tc>
          <w:tcPr>
            <w:tcW w:w="2560" w:type="dxa"/>
            <w:vAlign w:val="bottom"/>
            <w:tcBorders>
              <w:top w:val="single" w:sz="8" w:color="auto"/>
              <w:left w:val="single" w:sz="8" w:color="auto"/>
              <w:right w:val="single" w:sz="8" w:color="auto"/>
            </w:tcBorders>
          </w:tcPr>
          <w:p>
            <w:pPr>
              <w:ind w:left="40"/>
              <w:spacing w:after="0"/>
              <w:rPr>
                <w:sz w:val="20"/>
                <w:szCs w:val="20"/>
                <w:color w:val="auto"/>
              </w:rPr>
            </w:pPr>
            <w:r>
              <w:rPr>
                <w:rFonts w:ascii="Calibri" w:cs="Calibri" w:eastAsia="Calibri" w:hAnsi="Calibri"/>
                <w:sz w:val="14"/>
                <w:szCs w:val="14"/>
                <w:color w:val="auto"/>
              </w:rPr>
              <w:t>D. Jones</w:t>
            </w:r>
          </w:p>
        </w:tc>
        <w:tc>
          <w:tcPr>
            <w:tcW w:w="2240" w:type="dxa"/>
            <w:vAlign w:val="bottom"/>
            <w:tcBorders>
              <w:top w:val="single" w:sz="8" w:color="auto"/>
              <w:bottom w:val="single" w:sz="8" w:color="auto"/>
              <w:right w:val="single" w:sz="8" w:color="auto"/>
            </w:tcBorders>
          </w:tcPr>
          <w:p>
            <w:pPr>
              <w:spacing w:after="0"/>
              <w:rPr>
                <w:sz w:val="20"/>
                <w:szCs w:val="20"/>
                <w:color w:val="auto"/>
              </w:rPr>
            </w:pPr>
            <w:r>
              <w:rPr>
                <w:rFonts w:ascii="Calibri" w:cs="Calibri" w:eastAsia="Calibri" w:hAnsi="Calibri"/>
                <w:sz w:val="14"/>
                <w:szCs w:val="14"/>
                <w:color w:val="auto"/>
              </w:rPr>
              <w:t>Qualifed Plan</w:t>
            </w:r>
          </w:p>
        </w:tc>
        <w:tc>
          <w:tcPr>
            <w:tcW w:w="182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right w:val="single" w:sz="8" w:color="auto"/>
            </w:tcBorders>
          </w:tcPr>
          <w:p>
            <w:pPr>
              <w:jc w:val="right"/>
              <w:ind w:right="68"/>
              <w:spacing w:after="0"/>
              <w:rPr>
                <w:sz w:val="20"/>
                <w:szCs w:val="20"/>
                <w:color w:val="auto"/>
              </w:rPr>
            </w:pPr>
            <w:r>
              <w:rPr>
                <w:rFonts w:ascii="Calibri" w:cs="Calibri" w:eastAsia="Calibri" w:hAnsi="Calibri"/>
                <w:sz w:val="14"/>
                <w:szCs w:val="14"/>
                <w:color w:val="auto"/>
              </w:rPr>
              <w:t>15.50</w:t>
            </w:r>
          </w:p>
        </w:tc>
        <w:tc>
          <w:tcPr>
            <w:tcW w:w="1400" w:type="dxa"/>
            <w:vAlign w:val="bottom"/>
            <w:tcBorders>
              <w:top w:val="single" w:sz="8" w:color="auto"/>
              <w:bottom w:val="single" w:sz="8" w:color="auto"/>
            </w:tcBorders>
          </w:tcPr>
          <w:p>
            <w:pPr>
              <w:jc w:val="right"/>
              <w:ind w:right="1248"/>
              <w:spacing w:after="0"/>
              <w:rPr>
                <w:sz w:val="20"/>
                <w:szCs w:val="20"/>
                <w:color w:val="auto"/>
              </w:rPr>
            </w:pPr>
            <w:r>
              <w:rPr>
                <w:rFonts w:ascii="Calibri" w:cs="Calibri" w:eastAsia="Calibri" w:hAnsi="Calibri"/>
                <w:sz w:val="14"/>
                <w:szCs w:val="14"/>
                <w:color w:val="auto"/>
                <w:w w:val="83"/>
              </w:rPr>
              <w:t>$</w:t>
            </w:r>
          </w:p>
        </w:tc>
        <w:tc>
          <w:tcPr>
            <w:tcW w:w="720" w:type="dxa"/>
            <w:vAlign w:val="bottom"/>
            <w:tcBorders>
              <w:top w:val="single" w:sz="8" w:color="auto"/>
              <w:bottom w:val="single" w:sz="8" w:color="auto"/>
              <w:right w:val="single" w:sz="8" w:color="auto"/>
            </w:tcBorders>
          </w:tcPr>
          <w:p>
            <w:pPr>
              <w:jc w:val="right"/>
              <w:ind w:right="48"/>
              <w:spacing w:after="0"/>
              <w:rPr>
                <w:sz w:val="20"/>
                <w:szCs w:val="20"/>
                <w:color w:val="auto"/>
              </w:rPr>
            </w:pPr>
            <w:r>
              <w:rPr>
                <w:rFonts w:ascii="Calibri" w:cs="Calibri" w:eastAsia="Calibri" w:hAnsi="Calibri"/>
                <w:sz w:val="14"/>
                <w:szCs w:val="14"/>
                <w:color w:val="auto"/>
              </w:rPr>
              <w:t>17,107</w:t>
            </w: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Calibri" w:cs="Calibri" w:eastAsia="Calibri" w:hAnsi="Calibri"/>
                <w:sz w:val="14"/>
                <w:szCs w:val="14"/>
                <w:color w:val="auto"/>
              </w:rPr>
              <w:t>$</w:t>
            </w:r>
          </w:p>
        </w:tc>
        <w:tc>
          <w:tcPr>
            <w:tcW w:w="1560" w:type="dxa"/>
            <w:vAlign w:val="bottom"/>
            <w:tcBorders>
              <w:top w:val="single" w:sz="8" w:color="auto"/>
              <w:bottom w:val="single" w:sz="8" w:color="auto"/>
              <w:right w:val="single" w:sz="8" w:color="auto"/>
            </w:tcBorders>
          </w:tcPr>
          <w:p>
            <w:pPr>
              <w:ind w:left="1300"/>
              <w:spacing w:after="0"/>
              <w:rPr>
                <w:sz w:val="20"/>
                <w:szCs w:val="20"/>
                <w:color w:val="auto"/>
              </w:rPr>
            </w:pPr>
            <w:r>
              <w:rPr>
                <w:rFonts w:ascii="Calibri" w:cs="Calibri" w:eastAsia="Calibri" w:hAnsi="Calibri"/>
                <w:sz w:val="14"/>
                <w:szCs w:val="14"/>
                <w:color w:val="auto"/>
              </w:rPr>
              <w:t>—</w:t>
            </w:r>
          </w:p>
        </w:tc>
      </w:tr>
      <w:tr>
        <w:trPr>
          <w:trHeight w:val="208"/>
        </w:trPr>
        <w:tc>
          <w:tcPr>
            <w:tcW w:w="2560" w:type="dxa"/>
            <w:vAlign w:val="bottom"/>
            <w:tcBorders>
              <w:left w:val="single" w:sz="8" w:color="auto"/>
              <w:bottom w:val="single" w:sz="8" w:color="E7E6E6"/>
              <w:right w:val="single" w:sz="8" w:color="auto"/>
            </w:tcBorders>
            <w:shd w:val="clear" w:color="auto" w:fill="E7E6E6"/>
          </w:tcPr>
          <w:p>
            <w:pPr>
              <w:spacing w:after="0"/>
              <w:rPr>
                <w:sz w:val="17"/>
                <w:szCs w:val="17"/>
                <w:color w:val="auto"/>
              </w:rPr>
            </w:pPr>
          </w:p>
        </w:tc>
        <w:tc>
          <w:tcPr>
            <w:tcW w:w="2240" w:type="dxa"/>
            <w:vAlign w:val="bottom"/>
            <w:tcBorders>
              <w:bottom w:val="single" w:sz="8" w:color="E7E6E6"/>
              <w:right w:val="single" w:sz="8" w:color="auto"/>
            </w:tcBorders>
            <w:shd w:val="clear" w:color="auto" w:fill="E7E6E6"/>
          </w:tcPr>
          <w:p>
            <w:pPr>
              <w:spacing w:after="0"/>
              <w:rPr>
                <w:sz w:val="20"/>
                <w:szCs w:val="20"/>
                <w:color w:val="auto"/>
              </w:rPr>
            </w:pPr>
            <w:r>
              <w:rPr>
                <w:rFonts w:ascii="Calibri" w:cs="Calibri" w:eastAsia="Calibri" w:hAnsi="Calibri"/>
                <w:sz w:val="14"/>
                <w:szCs w:val="14"/>
                <w:color w:val="auto"/>
              </w:rPr>
              <w:t>Restoraton Plan</w:t>
            </w:r>
          </w:p>
        </w:tc>
        <w:tc>
          <w:tcPr>
            <w:tcW w:w="1820" w:type="dxa"/>
            <w:vAlign w:val="bottom"/>
            <w:tcBorders>
              <w:bottom w:val="single" w:sz="8" w:color="E7E6E6"/>
            </w:tcBorders>
            <w:shd w:val="clear" w:color="auto" w:fill="E7E6E6"/>
          </w:tcPr>
          <w:p>
            <w:pPr>
              <w:spacing w:after="0"/>
              <w:rPr>
                <w:sz w:val="17"/>
                <w:szCs w:val="17"/>
                <w:color w:val="auto"/>
              </w:rPr>
            </w:pPr>
          </w:p>
        </w:tc>
        <w:tc>
          <w:tcPr>
            <w:tcW w:w="620" w:type="dxa"/>
            <w:vAlign w:val="bottom"/>
            <w:tcBorders>
              <w:bottom w:val="single" w:sz="8" w:color="E7E6E6"/>
              <w:right w:val="single" w:sz="8" w:color="auto"/>
            </w:tcBorders>
            <w:shd w:val="clear" w:color="auto" w:fill="E7E6E6"/>
          </w:tcPr>
          <w:p>
            <w:pPr>
              <w:jc w:val="right"/>
              <w:ind w:right="68"/>
              <w:spacing w:after="0"/>
              <w:rPr>
                <w:sz w:val="20"/>
                <w:szCs w:val="20"/>
                <w:color w:val="auto"/>
              </w:rPr>
            </w:pPr>
            <w:r>
              <w:rPr>
                <w:rFonts w:ascii="Calibri" w:cs="Calibri" w:eastAsia="Calibri" w:hAnsi="Calibri"/>
                <w:sz w:val="14"/>
                <w:szCs w:val="14"/>
                <w:color w:val="auto"/>
              </w:rPr>
              <w:t>—</w:t>
            </w:r>
          </w:p>
        </w:tc>
        <w:tc>
          <w:tcPr>
            <w:tcW w:w="1400" w:type="dxa"/>
            <w:vAlign w:val="bottom"/>
            <w:tcBorders>
              <w:bottom w:val="single" w:sz="8" w:color="E7E6E6"/>
            </w:tcBorders>
            <w:shd w:val="clear" w:color="auto" w:fill="E7E6E6"/>
          </w:tcPr>
          <w:p>
            <w:pPr>
              <w:jc w:val="right"/>
              <w:ind w:right="1248"/>
              <w:spacing w:after="0"/>
              <w:rPr>
                <w:sz w:val="20"/>
                <w:szCs w:val="20"/>
                <w:color w:val="auto"/>
              </w:rPr>
            </w:pPr>
            <w:r>
              <w:rPr>
                <w:rFonts w:ascii="Calibri" w:cs="Calibri" w:eastAsia="Calibri" w:hAnsi="Calibri"/>
                <w:sz w:val="14"/>
                <w:szCs w:val="14"/>
                <w:color w:val="auto"/>
                <w:w w:val="83"/>
              </w:rPr>
              <w:t>$</w:t>
            </w:r>
          </w:p>
        </w:tc>
        <w:tc>
          <w:tcPr>
            <w:tcW w:w="720" w:type="dxa"/>
            <w:vAlign w:val="bottom"/>
            <w:tcBorders>
              <w:bottom w:val="single" w:sz="8" w:color="E7E6E6"/>
              <w:right w:val="single" w:sz="8" w:color="auto"/>
            </w:tcBorders>
            <w:shd w:val="clear" w:color="auto" w:fill="E7E6E6"/>
          </w:tcPr>
          <w:p>
            <w:pPr>
              <w:jc w:val="right"/>
              <w:ind w:right="48"/>
              <w:spacing w:after="0"/>
              <w:rPr>
                <w:sz w:val="20"/>
                <w:szCs w:val="20"/>
                <w:color w:val="auto"/>
              </w:rPr>
            </w:pPr>
            <w:r>
              <w:rPr>
                <w:rFonts w:ascii="Calibri" w:cs="Calibri" w:eastAsia="Calibri" w:hAnsi="Calibri"/>
                <w:sz w:val="14"/>
                <w:szCs w:val="14"/>
                <w:color w:val="auto"/>
              </w:rPr>
              <w:t>—</w:t>
            </w:r>
          </w:p>
        </w:tc>
        <w:tc>
          <w:tcPr>
            <w:tcW w:w="320" w:type="dxa"/>
            <w:vAlign w:val="bottom"/>
            <w:tcBorders>
              <w:bottom w:val="single" w:sz="8" w:color="E7E6E6"/>
            </w:tcBorders>
            <w:shd w:val="clear" w:color="auto" w:fill="E7E6E6"/>
          </w:tcPr>
          <w:p>
            <w:pPr>
              <w:jc w:val="right"/>
              <w:ind w:right="148"/>
              <w:spacing w:after="0"/>
              <w:rPr>
                <w:sz w:val="20"/>
                <w:szCs w:val="20"/>
                <w:color w:val="auto"/>
              </w:rPr>
            </w:pPr>
            <w:r>
              <w:rPr>
                <w:rFonts w:ascii="Calibri" w:cs="Calibri" w:eastAsia="Calibri" w:hAnsi="Calibri"/>
                <w:sz w:val="14"/>
                <w:szCs w:val="14"/>
                <w:color w:val="auto"/>
              </w:rPr>
              <w:t>$</w:t>
            </w:r>
          </w:p>
        </w:tc>
        <w:tc>
          <w:tcPr>
            <w:tcW w:w="1560" w:type="dxa"/>
            <w:vAlign w:val="bottom"/>
            <w:tcBorders>
              <w:bottom w:val="single" w:sz="8" w:color="E7E6E6"/>
              <w:right w:val="single" w:sz="8" w:color="auto"/>
            </w:tcBorders>
            <w:shd w:val="clear" w:color="auto" w:fill="E7E6E6"/>
          </w:tcPr>
          <w:p>
            <w:pPr>
              <w:ind w:left="1300"/>
              <w:spacing w:after="0"/>
              <w:rPr>
                <w:sz w:val="20"/>
                <w:szCs w:val="20"/>
                <w:color w:val="auto"/>
              </w:rPr>
            </w:pPr>
            <w:r>
              <w:rPr>
                <w:rFonts w:ascii="Calibri" w:cs="Calibri" w:eastAsia="Calibri" w:hAnsi="Calibri"/>
                <w:sz w:val="14"/>
                <w:szCs w:val="14"/>
                <w:color w:val="auto"/>
              </w:rPr>
              <w:t>—</w:t>
            </w:r>
          </w:p>
        </w:tc>
      </w:tr>
      <w:tr>
        <w:trPr>
          <w:trHeight w:val="190"/>
        </w:trPr>
        <w:tc>
          <w:tcPr>
            <w:tcW w:w="2560" w:type="dxa"/>
            <w:vAlign w:val="bottom"/>
            <w:tcBorders>
              <w:top w:val="single" w:sz="8" w:color="auto"/>
              <w:left w:val="single" w:sz="8" w:color="auto"/>
              <w:right w:val="single" w:sz="8" w:color="auto"/>
            </w:tcBorders>
          </w:tcPr>
          <w:p>
            <w:pPr>
              <w:ind w:left="40"/>
              <w:spacing w:after="0"/>
              <w:rPr>
                <w:sz w:val="20"/>
                <w:szCs w:val="20"/>
                <w:color w:val="auto"/>
              </w:rPr>
            </w:pPr>
            <w:r>
              <w:rPr>
                <w:rFonts w:ascii="Calibri" w:cs="Calibri" w:eastAsia="Calibri" w:hAnsi="Calibri"/>
                <w:sz w:val="14"/>
                <w:szCs w:val="14"/>
                <w:color w:val="auto"/>
              </w:rPr>
              <w:t>C. McQuiston</w:t>
            </w:r>
          </w:p>
        </w:tc>
        <w:tc>
          <w:tcPr>
            <w:tcW w:w="2240" w:type="dxa"/>
            <w:vAlign w:val="bottom"/>
            <w:tcBorders>
              <w:top w:val="single" w:sz="8" w:color="auto"/>
              <w:bottom w:val="single" w:sz="8" w:color="auto"/>
              <w:right w:val="single" w:sz="8" w:color="auto"/>
            </w:tcBorders>
          </w:tcPr>
          <w:p>
            <w:pPr>
              <w:spacing w:after="0"/>
              <w:rPr>
                <w:sz w:val="20"/>
                <w:szCs w:val="20"/>
                <w:color w:val="auto"/>
              </w:rPr>
            </w:pPr>
            <w:r>
              <w:rPr>
                <w:rFonts w:ascii="Calibri" w:cs="Calibri" w:eastAsia="Calibri" w:hAnsi="Calibri"/>
                <w:sz w:val="14"/>
                <w:szCs w:val="14"/>
                <w:color w:val="auto"/>
              </w:rPr>
              <w:t>Qualifed Plan</w:t>
            </w:r>
          </w:p>
        </w:tc>
        <w:tc>
          <w:tcPr>
            <w:tcW w:w="182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right w:val="single" w:sz="8" w:color="auto"/>
            </w:tcBorders>
          </w:tcPr>
          <w:p>
            <w:pPr>
              <w:jc w:val="right"/>
              <w:ind w:right="68"/>
              <w:spacing w:after="0"/>
              <w:rPr>
                <w:sz w:val="20"/>
                <w:szCs w:val="20"/>
                <w:color w:val="auto"/>
              </w:rPr>
            </w:pPr>
            <w:r>
              <w:rPr>
                <w:rFonts w:ascii="Calibri" w:cs="Calibri" w:eastAsia="Calibri" w:hAnsi="Calibri"/>
                <w:sz w:val="14"/>
                <w:szCs w:val="14"/>
                <w:color w:val="auto"/>
              </w:rPr>
              <w:t>15.25</w:t>
            </w:r>
          </w:p>
        </w:tc>
        <w:tc>
          <w:tcPr>
            <w:tcW w:w="1400" w:type="dxa"/>
            <w:vAlign w:val="bottom"/>
            <w:tcBorders>
              <w:top w:val="single" w:sz="8" w:color="auto"/>
              <w:bottom w:val="single" w:sz="8" w:color="auto"/>
            </w:tcBorders>
          </w:tcPr>
          <w:p>
            <w:pPr>
              <w:jc w:val="right"/>
              <w:ind w:right="1248"/>
              <w:spacing w:after="0"/>
              <w:rPr>
                <w:sz w:val="20"/>
                <w:szCs w:val="20"/>
                <w:color w:val="auto"/>
              </w:rPr>
            </w:pPr>
            <w:r>
              <w:rPr>
                <w:rFonts w:ascii="Calibri" w:cs="Calibri" w:eastAsia="Calibri" w:hAnsi="Calibri"/>
                <w:sz w:val="14"/>
                <w:szCs w:val="14"/>
                <w:color w:val="auto"/>
                <w:w w:val="83"/>
              </w:rPr>
              <w:t>$</w:t>
            </w:r>
          </w:p>
        </w:tc>
        <w:tc>
          <w:tcPr>
            <w:tcW w:w="720" w:type="dxa"/>
            <w:vAlign w:val="bottom"/>
            <w:tcBorders>
              <w:top w:val="single" w:sz="8" w:color="auto"/>
              <w:bottom w:val="single" w:sz="8" w:color="auto"/>
              <w:right w:val="single" w:sz="8" w:color="auto"/>
            </w:tcBorders>
          </w:tcPr>
          <w:p>
            <w:pPr>
              <w:jc w:val="right"/>
              <w:ind w:right="48"/>
              <w:spacing w:after="0"/>
              <w:rPr>
                <w:sz w:val="20"/>
                <w:szCs w:val="20"/>
                <w:color w:val="auto"/>
              </w:rPr>
            </w:pPr>
            <w:r>
              <w:rPr>
                <w:rFonts w:ascii="Calibri" w:cs="Calibri" w:eastAsia="Calibri" w:hAnsi="Calibri"/>
                <w:sz w:val="14"/>
                <w:szCs w:val="14"/>
                <w:color w:val="auto"/>
              </w:rPr>
              <w:t>22,577</w:t>
            </w: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Calibri" w:cs="Calibri" w:eastAsia="Calibri" w:hAnsi="Calibri"/>
                <w:sz w:val="14"/>
                <w:szCs w:val="14"/>
                <w:color w:val="auto"/>
              </w:rPr>
              <w:t>$</w:t>
            </w:r>
          </w:p>
        </w:tc>
        <w:tc>
          <w:tcPr>
            <w:tcW w:w="1560" w:type="dxa"/>
            <w:vAlign w:val="bottom"/>
            <w:tcBorders>
              <w:top w:val="single" w:sz="8" w:color="auto"/>
              <w:bottom w:val="single" w:sz="8" w:color="auto"/>
              <w:right w:val="single" w:sz="8" w:color="auto"/>
            </w:tcBorders>
          </w:tcPr>
          <w:p>
            <w:pPr>
              <w:ind w:left="1300"/>
              <w:spacing w:after="0"/>
              <w:rPr>
                <w:sz w:val="20"/>
                <w:szCs w:val="20"/>
                <w:color w:val="auto"/>
              </w:rPr>
            </w:pPr>
            <w:r>
              <w:rPr>
                <w:rFonts w:ascii="Calibri" w:cs="Calibri" w:eastAsia="Calibri" w:hAnsi="Calibri"/>
                <w:sz w:val="14"/>
                <w:szCs w:val="14"/>
                <w:color w:val="auto"/>
              </w:rPr>
              <w:t>—</w:t>
            </w:r>
          </w:p>
        </w:tc>
      </w:tr>
      <w:tr>
        <w:trPr>
          <w:trHeight w:val="183"/>
        </w:trPr>
        <w:tc>
          <w:tcPr>
            <w:tcW w:w="2560" w:type="dxa"/>
            <w:vAlign w:val="bottom"/>
            <w:tcBorders>
              <w:left w:val="single" w:sz="8" w:color="auto"/>
              <w:bottom w:val="single" w:sz="8" w:color="E7E6E6"/>
              <w:right w:val="single" w:sz="8" w:color="auto"/>
            </w:tcBorders>
            <w:shd w:val="clear" w:color="auto" w:fill="E7E6E6"/>
          </w:tcPr>
          <w:p>
            <w:pPr>
              <w:spacing w:after="0"/>
              <w:rPr>
                <w:sz w:val="15"/>
                <w:szCs w:val="15"/>
                <w:color w:val="auto"/>
              </w:rPr>
            </w:pPr>
          </w:p>
        </w:tc>
        <w:tc>
          <w:tcPr>
            <w:tcW w:w="2240" w:type="dxa"/>
            <w:vAlign w:val="bottom"/>
            <w:tcBorders>
              <w:bottom w:val="single" w:sz="8" w:color="E7E6E6"/>
              <w:right w:val="single" w:sz="8" w:color="auto"/>
            </w:tcBorders>
            <w:shd w:val="clear" w:color="auto" w:fill="E7E6E6"/>
          </w:tcPr>
          <w:p>
            <w:pPr>
              <w:spacing w:after="0"/>
              <w:rPr>
                <w:sz w:val="20"/>
                <w:szCs w:val="20"/>
                <w:color w:val="auto"/>
              </w:rPr>
            </w:pPr>
            <w:r>
              <w:rPr>
                <w:rFonts w:ascii="Calibri" w:cs="Calibri" w:eastAsia="Calibri" w:hAnsi="Calibri"/>
                <w:sz w:val="14"/>
                <w:szCs w:val="14"/>
                <w:color w:val="auto"/>
              </w:rPr>
              <w:t>Restoraton Plan</w:t>
            </w:r>
          </w:p>
        </w:tc>
        <w:tc>
          <w:tcPr>
            <w:tcW w:w="1820" w:type="dxa"/>
            <w:vAlign w:val="bottom"/>
            <w:tcBorders>
              <w:bottom w:val="single" w:sz="8" w:color="E7E6E6"/>
            </w:tcBorders>
            <w:shd w:val="clear" w:color="auto" w:fill="E7E6E6"/>
          </w:tcPr>
          <w:p>
            <w:pPr>
              <w:spacing w:after="0"/>
              <w:rPr>
                <w:sz w:val="15"/>
                <w:szCs w:val="15"/>
                <w:color w:val="auto"/>
              </w:rPr>
            </w:pPr>
          </w:p>
        </w:tc>
        <w:tc>
          <w:tcPr>
            <w:tcW w:w="620" w:type="dxa"/>
            <w:vAlign w:val="bottom"/>
            <w:tcBorders>
              <w:bottom w:val="single" w:sz="8" w:color="E7E6E6"/>
              <w:right w:val="single" w:sz="8" w:color="auto"/>
            </w:tcBorders>
            <w:shd w:val="clear" w:color="auto" w:fill="E7E6E6"/>
          </w:tcPr>
          <w:p>
            <w:pPr>
              <w:jc w:val="right"/>
              <w:ind w:right="68"/>
              <w:spacing w:after="0"/>
              <w:rPr>
                <w:sz w:val="20"/>
                <w:szCs w:val="20"/>
                <w:color w:val="auto"/>
              </w:rPr>
            </w:pPr>
            <w:r>
              <w:rPr>
                <w:rFonts w:ascii="Calibri" w:cs="Calibri" w:eastAsia="Calibri" w:hAnsi="Calibri"/>
                <w:sz w:val="14"/>
                <w:szCs w:val="14"/>
                <w:color w:val="auto"/>
              </w:rPr>
              <w:t>15.25</w:t>
            </w:r>
          </w:p>
        </w:tc>
        <w:tc>
          <w:tcPr>
            <w:tcW w:w="1400" w:type="dxa"/>
            <w:vAlign w:val="bottom"/>
            <w:tcBorders>
              <w:bottom w:val="single" w:sz="8" w:color="E7E6E6"/>
            </w:tcBorders>
            <w:shd w:val="clear" w:color="auto" w:fill="E7E6E6"/>
          </w:tcPr>
          <w:p>
            <w:pPr>
              <w:jc w:val="right"/>
              <w:ind w:right="1248"/>
              <w:spacing w:after="0"/>
              <w:rPr>
                <w:sz w:val="20"/>
                <w:szCs w:val="20"/>
                <w:color w:val="auto"/>
              </w:rPr>
            </w:pPr>
            <w:r>
              <w:rPr>
                <w:rFonts w:ascii="Calibri" w:cs="Calibri" w:eastAsia="Calibri" w:hAnsi="Calibri"/>
                <w:sz w:val="14"/>
                <w:szCs w:val="14"/>
                <w:color w:val="auto"/>
                <w:w w:val="83"/>
              </w:rPr>
              <w:t>$</w:t>
            </w:r>
          </w:p>
        </w:tc>
        <w:tc>
          <w:tcPr>
            <w:tcW w:w="720" w:type="dxa"/>
            <w:vAlign w:val="bottom"/>
            <w:tcBorders>
              <w:bottom w:val="single" w:sz="8" w:color="E7E6E6"/>
              <w:right w:val="single" w:sz="8" w:color="auto"/>
            </w:tcBorders>
            <w:shd w:val="clear" w:color="auto" w:fill="E7E6E6"/>
          </w:tcPr>
          <w:p>
            <w:pPr>
              <w:jc w:val="right"/>
              <w:ind w:right="48"/>
              <w:spacing w:after="0"/>
              <w:rPr>
                <w:sz w:val="20"/>
                <w:szCs w:val="20"/>
                <w:color w:val="auto"/>
              </w:rPr>
            </w:pPr>
            <w:r>
              <w:rPr>
                <w:rFonts w:ascii="Calibri" w:cs="Calibri" w:eastAsia="Calibri" w:hAnsi="Calibri"/>
                <w:sz w:val="14"/>
                <w:szCs w:val="14"/>
                <w:color w:val="auto"/>
              </w:rPr>
              <w:t>87</w:t>
            </w:r>
          </w:p>
        </w:tc>
        <w:tc>
          <w:tcPr>
            <w:tcW w:w="320" w:type="dxa"/>
            <w:vAlign w:val="bottom"/>
            <w:tcBorders>
              <w:bottom w:val="single" w:sz="8" w:color="E7E6E6"/>
            </w:tcBorders>
            <w:shd w:val="clear" w:color="auto" w:fill="E7E6E6"/>
          </w:tcPr>
          <w:p>
            <w:pPr>
              <w:jc w:val="right"/>
              <w:ind w:right="148"/>
              <w:spacing w:after="0"/>
              <w:rPr>
                <w:sz w:val="20"/>
                <w:szCs w:val="20"/>
                <w:color w:val="auto"/>
              </w:rPr>
            </w:pPr>
            <w:r>
              <w:rPr>
                <w:rFonts w:ascii="Calibri" w:cs="Calibri" w:eastAsia="Calibri" w:hAnsi="Calibri"/>
                <w:sz w:val="14"/>
                <w:szCs w:val="14"/>
                <w:color w:val="auto"/>
              </w:rPr>
              <w:t>$</w:t>
            </w:r>
          </w:p>
        </w:tc>
        <w:tc>
          <w:tcPr>
            <w:tcW w:w="1560" w:type="dxa"/>
            <w:vAlign w:val="bottom"/>
            <w:tcBorders>
              <w:bottom w:val="single" w:sz="8" w:color="E7E6E6"/>
              <w:right w:val="single" w:sz="8" w:color="auto"/>
            </w:tcBorders>
            <w:shd w:val="clear" w:color="auto" w:fill="E7E6E6"/>
          </w:tcPr>
          <w:p>
            <w:pPr>
              <w:ind w:left="1300"/>
              <w:spacing w:after="0"/>
              <w:rPr>
                <w:sz w:val="20"/>
                <w:szCs w:val="20"/>
                <w:color w:val="auto"/>
              </w:rPr>
            </w:pPr>
            <w:r>
              <w:rPr>
                <w:rFonts w:ascii="Calibri" w:cs="Calibri" w:eastAsia="Calibri" w:hAnsi="Calibri"/>
                <w:sz w:val="14"/>
                <w:szCs w:val="14"/>
                <w:color w:val="auto"/>
              </w:rPr>
              <w:t>—</w:t>
            </w:r>
          </w:p>
        </w:tc>
      </w:tr>
      <w:tr>
        <w:trPr>
          <w:trHeight w:val="20"/>
        </w:trPr>
        <w:tc>
          <w:tcPr>
            <w:tcW w:w="25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240" w:type="dxa"/>
            <w:vAlign w:val="bottom"/>
            <w:tcBorders>
              <w:right w:val="single" w:sz="8" w:color="auto"/>
            </w:tcBorders>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560" w:type="dxa"/>
            <w:vAlign w:val="bottom"/>
            <w:tcBorders>
              <w:right w:val="single" w:sz="8" w:color="auto"/>
            </w:tcBorders>
            <w:shd w:val="clear" w:color="auto" w:fill="000000"/>
          </w:tcPr>
          <w:p>
            <w:pPr>
              <w:spacing w:after="0" w:line="20" w:lineRule="exact"/>
              <w:rPr>
                <w:sz w:val="1"/>
                <w:szCs w:val="1"/>
                <w:color w:val="auto"/>
              </w:rPr>
            </w:pPr>
          </w:p>
        </w:tc>
      </w:tr>
    </w:tbl>
    <w:p>
      <w:pPr>
        <w:ind w:left="380" w:hanging="372"/>
        <w:spacing w:after="0" w:line="223" w:lineRule="auto"/>
        <w:tabs>
          <w:tab w:leader="none" w:pos="380" w:val="left"/>
        </w:tabs>
        <w:numPr>
          <w:ilvl w:val="0"/>
          <w:numId w:val="50"/>
        </w:numPr>
        <w:rPr>
          <w:rFonts w:ascii="Calibri" w:cs="Calibri" w:eastAsia="Calibri" w:hAnsi="Calibri"/>
          <w:sz w:val="18"/>
          <w:szCs w:val="18"/>
          <w:color w:val="auto"/>
        </w:rPr>
      </w:pPr>
      <w:r>
        <w:rPr>
          <w:rFonts w:ascii="Calibri" w:cs="Calibri" w:eastAsia="Calibri" w:hAnsi="Calibri"/>
          <w:sz w:val="18"/>
          <w:szCs w:val="18"/>
          <w:color w:val="auto"/>
        </w:rPr>
        <w:t>Generally, a partcipant's years of credited service are based on his or her years of employment with the Company. However, under the SERP, years of service will commence no earlier than January 1, 2019.</w:t>
      </w:r>
    </w:p>
    <w:p>
      <w:pPr>
        <w:spacing w:after="0" w:line="1" w:lineRule="exact"/>
        <w:rPr>
          <w:rFonts w:ascii="Calibri" w:cs="Calibri" w:eastAsia="Calibri" w:hAnsi="Calibri"/>
          <w:sz w:val="18"/>
          <w:szCs w:val="18"/>
          <w:color w:val="auto"/>
        </w:rPr>
      </w:pPr>
    </w:p>
    <w:p>
      <w:pPr>
        <w:jc w:val="both"/>
        <w:ind w:left="380" w:hanging="372"/>
        <w:spacing w:after="0" w:line="235" w:lineRule="auto"/>
        <w:tabs>
          <w:tab w:leader="none" w:pos="380" w:val="left"/>
        </w:tabs>
        <w:numPr>
          <w:ilvl w:val="0"/>
          <w:numId w:val="50"/>
        </w:numPr>
        <w:rPr>
          <w:rFonts w:ascii="Calibri" w:cs="Calibri" w:eastAsia="Calibri" w:hAnsi="Calibri"/>
          <w:sz w:val="18"/>
          <w:szCs w:val="18"/>
          <w:color w:val="auto"/>
        </w:rPr>
      </w:pPr>
      <w:r>
        <w:rPr>
          <w:rFonts w:ascii="Calibri" w:cs="Calibri" w:eastAsia="Calibri" w:hAnsi="Calibri"/>
          <w:sz w:val="18"/>
          <w:szCs w:val="18"/>
          <w:color w:val="auto"/>
        </w:rPr>
        <w:t>Amounts in this column refect the present value of the Named Executve Ofcers benefts under all pension plans established by the Company determined using interest rate and mortality rate assumptons consistent with those used in Note 11 to our Consolidated Financial Statements included in our Form 10-K for the year ended December 31, 2023, and includes amounts which the Named Executve Ofcer may not currently be enttled to receive because such amounts are not vested.</w:t>
      </w:r>
    </w:p>
    <w:p>
      <w:pPr>
        <w:spacing w:after="0" w:line="219"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Employees hired or rehired on or afer December 1, 2009 do not partcipate in the Pension Plan but are eligible to partcipate in the 401(k) Plan where, for each pay period, the Company contributes to the 401(k) Plan, on behalf of each partcipant, 200 percent of the partcipant's contributons up to fve percent of compensaton. As discussed above, employees hired or rehired before December 1, 2009 are also eligible to partcipate in the 401(k) Plan, and the Company contributon for</w:t>
      </w:r>
    </w:p>
    <w:p>
      <w:pPr>
        <w:spacing w:after="0" w:line="174" w:lineRule="exact"/>
        <w:rPr>
          <w:sz w:val="20"/>
          <w:szCs w:val="20"/>
          <w:color w:val="auto"/>
        </w:rPr>
      </w:pPr>
    </w:p>
    <w:p>
      <w:pPr>
        <w:spacing w:after="0"/>
        <w:tabs>
          <w:tab w:leader="none" w:pos="660" w:val="left"/>
        </w:tabs>
        <w:rPr>
          <w:sz w:val="20"/>
          <w:szCs w:val="20"/>
          <w:color w:val="auto"/>
        </w:rPr>
      </w:pPr>
      <w:r>
        <w:rPr>
          <w:rFonts w:ascii="Calibri" w:cs="Calibri" w:eastAsia="Calibri" w:hAnsi="Calibri"/>
          <w:sz w:val="18"/>
          <w:szCs w:val="18"/>
          <w:color w:val="auto"/>
        </w:rPr>
        <w:t>46</w:t>
      </w:r>
      <w:r>
        <w:rPr>
          <w:sz w:val="20"/>
          <w:szCs w:val="20"/>
          <w:color w:val="auto"/>
        </w:rPr>
        <w:tab/>
      </w:r>
      <w:r>
        <w:rPr>
          <w:rFonts w:ascii="Calibri" w:cs="Calibri" w:eastAsia="Calibri" w:hAnsi="Calibri"/>
          <w:sz w:val="18"/>
          <w:szCs w:val="18"/>
          <w:b w:val="1"/>
          <w:bCs w:val="1"/>
          <w:color w:val="EE2724"/>
        </w:rPr>
        <w:t xml:space="preserve">OGE Energy Corp. </w:t>
      </w:r>
      <w:r>
        <w:rPr>
          <w:rFonts w:ascii="Calibri" w:cs="Calibri" w:eastAsia="Calibri" w:hAnsi="Calibri"/>
          <w:sz w:val="18"/>
          <w:szCs w:val="18"/>
          <w:color w:val="00000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jc w:val="both"/>
        <w:spacing w:after="0" w:line="235" w:lineRule="auto"/>
        <w:rPr>
          <w:sz w:val="20"/>
          <w:szCs w:val="20"/>
          <w:color w:val="auto"/>
        </w:rPr>
      </w:pPr>
      <w:r>
        <w:rPr>
          <w:rFonts w:ascii="Calibri" w:cs="Calibri" w:eastAsia="Calibri" w:hAnsi="Calibri"/>
          <w:sz w:val="18"/>
          <w:szCs w:val="18"/>
          <w:color w:val="auto"/>
        </w:rPr>
        <w:t>each such partcipant varies depending on the partcipant's hire date, electon with respect to partcipaton in the Pension Plan and, in some cases, years of service.</w:t>
      </w:r>
    </w:p>
    <w:p>
      <w:pPr>
        <w:spacing w:after="0" w:line="218" w:lineRule="exact"/>
        <w:rPr>
          <w:sz w:val="20"/>
          <w:szCs w:val="20"/>
          <w:color w:val="auto"/>
        </w:rPr>
      </w:pPr>
    </w:p>
    <w:p>
      <w:pPr>
        <w:jc w:val="both"/>
        <w:ind w:firstLine="374"/>
        <w:spacing w:after="0" w:line="250" w:lineRule="auto"/>
        <w:rPr>
          <w:sz w:val="20"/>
          <w:szCs w:val="20"/>
          <w:color w:val="auto"/>
        </w:rPr>
      </w:pPr>
      <w:r>
        <w:rPr>
          <w:rFonts w:ascii="Calibri" w:cs="Calibri" w:eastAsia="Calibri" w:hAnsi="Calibri"/>
          <w:sz w:val="17"/>
          <w:szCs w:val="17"/>
          <w:color w:val="auto"/>
        </w:rPr>
        <w:t>Retrement benefts under the Pension Plan are payable to partcipants upon normal retrement (at or afer age 65) or early retrement (at or afer ataining age 55 and completng fve or more years of service), to former employees afer reaching retrement age (or, if elected, following terminaton) who have completed three or more years of service before terminatng their employment and to partcipants afer reaching retrement age (or, if elected, following terminaton) upon total and permanent disability. The benefts payable under the Pension Plan are subject to maximum limitatons under the Code. Should benefts for a partcipant exceed the permissible limits of the Code or should the partcipant defer compensaton to the Company's nonqualifed Deferred Compensaton Plan discussed below, the Restoraton of Retrement Income Plan will provide benefts through a lump-sum distributon following retrement as provided in the Restoraton of Retrement Income Plan, which benefts shall be actuarially equivalent to the amounts that would have been, but cannot be, payable to such partcipant annually under the Pension Plan because of the Code limits or deferrals to the nonqualifed Deferred Compensaton Plan. The Company and its subsidiaries fund the estmated benefts payable under the Restoraton of Retrement Income Plan through contributons to a grantor trust for the beneft of those employees who will be enttled to receive payments under the Restoraton of Retrement Income Plan.</w:t>
      </w:r>
    </w:p>
    <w:p>
      <w:pPr>
        <w:spacing w:after="0" w:line="174"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In November 2019, the Board of Directors amended and restated the SERP, to, among other things, change the beneft formula under the SERP and designated Sean Trauschke, Chairman, President and Chief Executve Ofcer of OGE Energy as a partcipant in the SERP. Mr. Trauschke is currently the only partcipant in the SERP. The SERP was further amended in August 2021 to increase the beneft amount payable under the SERP, as discussed below.</w:t>
      </w:r>
    </w:p>
    <w:p>
      <w:pPr>
        <w:spacing w:after="0" w:line="219"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The SERP, which was originally adopted in 1993, is an unfunded supplemental executve retrement plan that is not subject to the beneft limits imposed by the Code. The SERP, as amended in August 2021, will provide to designated partcipants a retrement beneft at or afer age 60 equal to the actuarial equivalent of 2.90 percent (increased from the previous actuarial equivalent of 1.32 percent) of the partcipant's average compensaton (equal to base salary, plus target amount of annual incentve award in efect) during his or her fnal 36 months of employment, multplied by his or her years of service (or portons thereof). For this purpose, years of service commence upon the later to occur of the partcipant's commencement of employment with the Company or January 1, 2019. SERP payments will be made in a lump sum afer becoming eligible for benefts and following terminaton, as provided in the SERP, in an amount equal to the actuarial equivalent of the monthly annuity.</w:t>
      </w:r>
    </w:p>
    <w:p>
      <w:pPr>
        <w:spacing w:after="0" w:line="230"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2023 Nonqualifed Deferred Compensaton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0" w:lineRule="exact"/>
        <w:rPr>
          <w:sz w:val="20"/>
          <w:szCs w:val="20"/>
          <w:color w:val="auto"/>
        </w:rPr>
      </w:pPr>
    </w:p>
    <w:tbl>
      <w:tblPr>
        <w:tblLayout w:type="fixed"/>
        <w:tblInd w:w="10" w:type="dxa"/>
        <w:tblCellMar>
          <w:top w:w="0" w:type="dxa"/>
          <w:left w:w="0" w:type="dxa"/>
          <w:bottom w:w="0" w:type="dxa"/>
          <w:right w:w="0" w:type="dxa"/>
        </w:tblCellMar>
      </w:tblPr>
      <w:tr>
        <w:trPr>
          <w:trHeight w:val="183"/>
        </w:trPr>
        <w:tc>
          <w:tcPr>
            <w:tcW w:w="3980" w:type="dxa"/>
            <w:vAlign w:val="bottom"/>
            <w:tcBorders>
              <w:top w:val="single" w:sz="8" w:color="auto"/>
              <w:left w:val="single" w:sz="8" w:color="auto"/>
              <w:right w:val="single" w:sz="8" w:color="auto"/>
            </w:tcBorders>
          </w:tcPr>
          <w:p>
            <w:pPr>
              <w:ind w:left="1820"/>
              <w:spacing w:after="0"/>
              <w:rPr>
                <w:sz w:val="20"/>
                <w:szCs w:val="20"/>
                <w:color w:val="auto"/>
              </w:rPr>
            </w:pPr>
            <w:r>
              <w:rPr>
                <w:rFonts w:ascii="Calibri" w:cs="Calibri" w:eastAsia="Calibri" w:hAnsi="Calibri"/>
                <w:sz w:val="14"/>
                <w:szCs w:val="14"/>
                <w:color w:val="auto"/>
              </w:rPr>
              <w:t>Name</w:t>
            </w: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right w:val="single" w:sz="8" w:color="auto"/>
            </w:tcBorders>
          </w:tcPr>
          <w:p>
            <w:pPr>
              <w:jc w:val="center"/>
              <w:ind w:right="228"/>
              <w:spacing w:after="0"/>
              <w:rPr>
                <w:sz w:val="20"/>
                <w:szCs w:val="20"/>
                <w:color w:val="auto"/>
              </w:rPr>
            </w:pPr>
            <w:r>
              <w:rPr>
                <w:rFonts w:ascii="Calibri" w:cs="Calibri" w:eastAsia="Calibri" w:hAnsi="Calibri"/>
                <w:sz w:val="14"/>
                <w:szCs w:val="14"/>
                <w:color w:val="auto"/>
              </w:rPr>
              <w:t>Executve</w:t>
            </w:r>
          </w:p>
        </w:tc>
        <w:tc>
          <w:tcPr>
            <w:tcW w:w="180" w:type="dxa"/>
            <w:vAlign w:val="bottom"/>
            <w:tcBorders>
              <w:top w:val="single" w:sz="8" w:color="auto"/>
            </w:tcBorders>
          </w:tcPr>
          <w:p>
            <w:pPr>
              <w:spacing w:after="0"/>
              <w:rPr>
                <w:sz w:val="15"/>
                <w:szCs w:val="15"/>
                <w:color w:val="auto"/>
              </w:rPr>
            </w:pPr>
          </w:p>
        </w:tc>
        <w:tc>
          <w:tcPr>
            <w:tcW w:w="1280" w:type="dxa"/>
            <w:vAlign w:val="bottom"/>
            <w:tcBorders>
              <w:top w:val="single" w:sz="8" w:color="auto"/>
              <w:right w:val="single" w:sz="8" w:color="auto"/>
            </w:tcBorders>
          </w:tcPr>
          <w:p>
            <w:pPr>
              <w:jc w:val="center"/>
              <w:ind w:right="228"/>
              <w:spacing w:after="0"/>
              <w:rPr>
                <w:sz w:val="20"/>
                <w:szCs w:val="20"/>
                <w:color w:val="auto"/>
              </w:rPr>
            </w:pPr>
            <w:r>
              <w:rPr>
                <w:rFonts w:ascii="Calibri" w:cs="Calibri" w:eastAsia="Calibri" w:hAnsi="Calibri"/>
                <w:sz w:val="14"/>
                <w:szCs w:val="14"/>
                <w:color w:val="auto"/>
                <w:w w:val="99"/>
              </w:rPr>
              <w:t>Registrant</w:t>
            </w:r>
          </w:p>
        </w:tc>
        <w:tc>
          <w:tcPr>
            <w:tcW w:w="80" w:type="dxa"/>
            <w:vAlign w:val="bottom"/>
            <w:tcBorders>
              <w:top w:val="single" w:sz="8" w:color="auto"/>
            </w:tcBorders>
          </w:tcPr>
          <w:p>
            <w:pPr>
              <w:spacing w:after="0"/>
              <w:rPr>
                <w:sz w:val="15"/>
                <w:szCs w:val="15"/>
                <w:color w:val="auto"/>
              </w:rPr>
            </w:pPr>
          </w:p>
        </w:tc>
        <w:tc>
          <w:tcPr>
            <w:tcW w:w="1360" w:type="dxa"/>
            <w:vAlign w:val="bottom"/>
            <w:tcBorders>
              <w:top w:val="single" w:sz="8" w:color="auto"/>
              <w:right w:val="single" w:sz="8" w:color="auto"/>
            </w:tcBorders>
          </w:tcPr>
          <w:p>
            <w:pPr>
              <w:jc w:val="center"/>
              <w:ind w:right="168"/>
              <w:spacing w:after="0"/>
              <w:rPr>
                <w:sz w:val="20"/>
                <w:szCs w:val="20"/>
                <w:color w:val="auto"/>
              </w:rPr>
            </w:pPr>
            <w:r>
              <w:rPr>
                <w:rFonts w:ascii="Calibri" w:cs="Calibri" w:eastAsia="Calibri" w:hAnsi="Calibri"/>
                <w:sz w:val="14"/>
                <w:szCs w:val="14"/>
                <w:color w:val="auto"/>
              </w:rPr>
              <w:t>Aggregate Earnings</w:t>
            </w:r>
          </w:p>
        </w:tc>
        <w:tc>
          <w:tcPr>
            <w:tcW w:w="180" w:type="dxa"/>
            <w:vAlign w:val="bottom"/>
            <w:tcBorders>
              <w:top w:val="single" w:sz="8" w:color="auto"/>
            </w:tcBorders>
          </w:tcPr>
          <w:p>
            <w:pPr>
              <w:spacing w:after="0"/>
              <w:rPr>
                <w:sz w:val="15"/>
                <w:szCs w:val="15"/>
                <w:color w:val="auto"/>
              </w:rPr>
            </w:pPr>
          </w:p>
        </w:tc>
        <w:tc>
          <w:tcPr>
            <w:tcW w:w="1260" w:type="dxa"/>
            <w:vAlign w:val="bottom"/>
            <w:tcBorders>
              <w:top w:val="single" w:sz="8" w:color="auto"/>
              <w:right w:val="single" w:sz="8" w:color="auto"/>
            </w:tcBorders>
          </w:tcPr>
          <w:p>
            <w:pPr>
              <w:jc w:val="center"/>
              <w:ind w:right="228"/>
              <w:spacing w:after="0"/>
              <w:rPr>
                <w:sz w:val="20"/>
                <w:szCs w:val="20"/>
                <w:color w:val="auto"/>
              </w:rPr>
            </w:pPr>
            <w:r>
              <w:rPr>
                <w:rFonts w:ascii="Calibri" w:cs="Calibri" w:eastAsia="Calibri" w:hAnsi="Calibri"/>
                <w:sz w:val="14"/>
                <w:szCs w:val="14"/>
                <w:color w:val="auto"/>
              </w:rPr>
              <w:t>Aggregate</w:t>
            </w:r>
          </w:p>
        </w:tc>
        <w:tc>
          <w:tcPr>
            <w:tcW w:w="220" w:type="dxa"/>
            <w:vAlign w:val="bottom"/>
            <w:tcBorders>
              <w:top w:val="single" w:sz="8" w:color="auto"/>
            </w:tcBorders>
          </w:tcPr>
          <w:p>
            <w:pPr>
              <w:spacing w:after="0"/>
              <w:rPr>
                <w:sz w:val="15"/>
                <w:szCs w:val="15"/>
                <w:color w:val="auto"/>
              </w:rPr>
            </w:pPr>
          </w:p>
        </w:tc>
        <w:tc>
          <w:tcPr>
            <w:tcW w:w="1220" w:type="dxa"/>
            <w:vAlign w:val="bottom"/>
            <w:tcBorders>
              <w:top w:val="single" w:sz="8" w:color="auto"/>
              <w:right w:val="single" w:sz="8" w:color="auto"/>
            </w:tcBorders>
          </w:tcPr>
          <w:p>
            <w:pPr>
              <w:jc w:val="center"/>
              <w:ind w:right="288"/>
              <w:spacing w:after="0"/>
              <w:rPr>
                <w:sz w:val="20"/>
                <w:szCs w:val="20"/>
                <w:color w:val="auto"/>
              </w:rPr>
            </w:pPr>
            <w:r>
              <w:rPr>
                <w:rFonts w:ascii="Calibri" w:cs="Calibri" w:eastAsia="Calibri" w:hAnsi="Calibri"/>
                <w:sz w:val="14"/>
                <w:szCs w:val="14"/>
                <w:color w:val="auto"/>
                <w:w w:val="99"/>
              </w:rPr>
              <w:t>Aggregate</w:t>
            </w:r>
          </w:p>
        </w:tc>
      </w:tr>
      <w:tr>
        <w:trPr>
          <w:trHeight w:val="175"/>
        </w:trPr>
        <w:tc>
          <w:tcPr>
            <w:tcW w:w="3980" w:type="dxa"/>
            <w:vAlign w:val="bottom"/>
            <w:tcBorders>
              <w:left w:val="single" w:sz="8" w:color="auto"/>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Borders>
              <w:right w:val="single" w:sz="8" w:color="auto"/>
            </w:tcBorders>
          </w:tcPr>
          <w:p>
            <w:pPr>
              <w:jc w:val="center"/>
              <w:ind w:right="228"/>
              <w:spacing w:after="0"/>
              <w:rPr>
                <w:sz w:val="20"/>
                <w:szCs w:val="20"/>
                <w:color w:val="auto"/>
              </w:rPr>
            </w:pPr>
            <w:r>
              <w:rPr>
                <w:rFonts w:ascii="Calibri" w:cs="Calibri" w:eastAsia="Calibri" w:hAnsi="Calibri"/>
                <w:sz w:val="14"/>
                <w:szCs w:val="14"/>
                <w:color w:val="auto"/>
              </w:rPr>
              <w:t>Contributons</w:t>
            </w:r>
          </w:p>
        </w:tc>
        <w:tc>
          <w:tcPr>
            <w:tcW w:w="180" w:type="dxa"/>
            <w:vAlign w:val="bottom"/>
          </w:tcPr>
          <w:p>
            <w:pPr>
              <w:spacing w:after="0"/>
              <w:rPr>
                <w:sz w:val="15"/>
                <w:szCs w:val="15"/>
                <w:color w:val="auto"/>
              </w:rPr>
            </w:pPr>
          </w:p>
        </w:tc>
        <w:tc>
          <w:tcPr>
            <w:tcW w:w="1280" w:type="dxa"/>
            <w:vAlign w:val="bottom"/>
            <w:tcBorders>
              <w:right w:val="single" w:sz="8" w:color="auto"/>
            </w:tcBorders>
          </w:tcPr>
          <w:p>
            <w:pPr>
              <w:jc w:val="center"/>
              <w:ind w:right="228"/>
              <w:spacing w:after="0"/>
              <w:rPr>
                <w:sz w:val="20"/>
                <w:szCs w:val="20"/>
                <w:color w:val="auto"/>
              </w:rPr>
            </w:pPr>
            <w:r>
              <w:rPr>
                <w:rFonts w:ascii="Calibri" w:cs="Calibri" w:eastAsia="Calibri" w:hAnsi="Calibri"/>
                <w:sz w:val="14"/>
                <w:szCs w:val="14"/>
                <w:color w:val="auto"/>
              </w:rPr>
              <w:t>Contributons</w:t>
            </w:r>
          </w:p>
        </w:tc>
        <w:tc>
          <w:tcPr>
            <w:tcW w:w="80" w:type="dxa"/>
            <w:vAlign w:val="bottom"/>
          </w:tcPr>
          <w:p>
            <w:pPr>
              <w:spacing w:after="0"/>
              <w:rPr>
                <w:sz w:val="15"/>
                <w:szCs w:val="15"/>
                <w:color w:val="auto"/>
              </w:rPr>
            </w:pPr>
          </w:p>
        </w:tc>
        <w:tc>
          <w:tcPr>
            <w:tcW w:w="1360" w:type="dxa"/>
            <w:vAlign w:val="bottom"/>
            <w:tcBorders>
              <w:right w:val="single" w:sz="8" w:color="auto"/>
            </w:tcBorders>
          </w:tcPr>
          <w:p>
            <w:pPr>
              <w:jc w:val="center"/>
              <w:ind w:right="148"/>
              <w:spacing w:after="0"/>
              <w:rPr>
                <w:sz w:val="20"/>
                <w:szCs w:val="20"/>
                <w:color w:val="auto"/>
              </w:rPr>
            </w:pPr>
            <w:r>
              <w:rPr>
                <w:rFonts w:ascii="Calibri" w:cs="Calibri" w:eastAsia="Calibri" w:hAnsi="Calibri"/>
                <w:sz w:val="14"/>
                <w:szCs w:val="14"/>
                <w:color w:val="auto"/>
              </w:rPr>
              <w:t>(Loss)</w:t>
            </w:r>
          </w:p>
        </w:tc>
        <w:tc>
          <w:tcPr>
            <w:tcW w:w="180" w:type="dxa"/>
            <w:vAlign w:val="bottom"/>
          </w:tcPr>
          <w:p>
            <w:pPr>
              <w:spacing w:after="0"/>
              <w:rPr>
                <w:sz w:val="15"/>
                <w:szCs w:val="15"/>
                <w:color w:val="auto"/>
              </w:rPr>
            </w:pPr>
          </w:p>
        </w:tc>
        <w:tc>
          <w:tcPr>
            <w:tcW w:w="1260" w:type="dxa"/>
            <w:vAlign w:val="bottom"/>
            <w:tcBorders>
              <w:right w:val="single" w:sz="8" w:color="auto"/>
            </w:tcBorders>
          </w:tcPr>
          <w:p>
            <w:pPr>
              <w:jc w:val="center"/>
              <w:ind w:right="228"/>
              <w:spacing w:after="0"/>
              <w:rPr>
                <w:sz w:val="20"/>
                <w:szCs w:val="20"/>
                <w:color w:val="auto"/>
              </w:rPr>
            </w:pPr>
            <w:r>
              <w:rPr>
                <w:rFonts w:ascii="Calibri" w:cs="Calibri" w:eastAsia="Calibri" w:hAnsi="Calibri"/>
                <w:sz w:val="14"/>
                <w:szCs w:val="14"/>
                <w:color w:val="auto"/>
              </w:rPr>
              <w:t>Withdrawals/</w:t>
            </w:r>
          </w:p>
        </w:tc>
        <w:tc>
          <w:tcPr>
            <w:tcW w:w="220" w:type="dxa"/>
            <w:vAlign w:val="bottom"/>
          </w:tcPr>
          <w:p>
            <w:pPr>
              <w:spacing w:after="0"/>
              <w:rPr>
                <w:sz w:val="15"/>
                <w:szCs w:val="15"/>
                <w:color w:val="auto"/>
              </w:rPr>
            </w:pPr>
          </w:p>
        </w:tc>
        <w:tc>
          <w:tcPr>
            <w:tcW w:w="1220" w:type="dxa"/>
            <w:vAlign w:val="bottom"/>
            <w:tcBorders>
              <w:right w:val="single" w:sz="8" w:color="auto"/>
            </w:tcBorders>
          </w:tcPr>
          <w:p>
            <w:pPr>
              <w:jc w:val="center"/>
              <w:ind w:right="248"/>
              <w:spacing w:after="0"/>
              <w:rPr>
                <w:sz w:val="20"/>
                <w:szCs w:val="20"/>
                <w:color w:val="auto"/>
              </w:rPr>
            </w:pPr>
            <w:r>
              <w:rPr>
                <w:rFonts w:ascii="Calibri" w:cs="Calibri" w:eastAsia="Calibri" w:hAnsi="Calibri"/>
                <w:sz w:val="14"/>
                <w:szCs w:val="14"/>
                <w:color w:val="auto"/>
              </w:rPr>
              <w:t>Balance</w:t>
            </w:r>
          </w:p>
        </w:tc>
      </w:tr>
      <w:tr>
        <w:trPr>
          <w:trHeight w:val="176"/>
        </w:trPr>
        <w:tc>
          <w:tcPr>
            <w:tcW w:w="3980" w:type="dxa"/>
            <w:vAlign w:val="bottom"/>
            <w:tcBorders>
              <w:left w:val="single" w:sz="8" w:color="auto"/>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Borders>
              <w:right w:val="single" w:sz="8" w:color="auto"/>
            </w:tcBorders>
          </w:tcPr>
          <w:p>
            <w:pPr>
              <w:jc w:val="center"/>
              <w:ind w:right="248"/>
              <w:spacing w:after="0"/>
              <w:rPr>
                <w:sz w:val="20"/>
                <w:szCs w:val="20"/>
                <w:color w:val="auto"/>
              </w:rPr>
            </w:pPr>
            <w:r>
              <w:rPr>
                <w:rFonts w:ascii="Calibri" w:cs="Calibri" w:eastAsia="Calibri" w:hAnsi="Calibri"/>
                <w:sz w:val="14"/>
                <w:szCs w:val="14"/>
                <w:color w:val="auto"/>
              </w:rPr>
              <w:t>in Last FY</w:t>
            </w:r>
          </w:p>
        </w:tc>
        <w:tc>
          <w:tcPr>
            <w:tcW w:w="180" w:type="dxa"/>
            <w:vAlign w:val="bottom"/>
          </w:tcPr>
          <w:p>
            <w:pPr>
              <w:spacing w:after="0"/>
              <w:rPr>
                <w:sz w:val="15"/>
                <w:szCs w:val="15"/>
                <w:color w:val="auto"/>
              </w:rPr>
            </w:pPr>
          </w:p>
        </w:tc>
        <w:tc>
          <w:tcPr>
            <w:tcW w:w="1280" w:type="dxa"/>
            <w:vAlign w:val="bottom"/>
            <w:tcBorders>
              <w:right w:val="single" w:sz="8" w:color="auto"/>
            </w:tcBorders>
          </w:tcPr>
          <w:p>
            <w:pPr>
              <w:jc w:val="center"/>
              <w:ind w:right="228"/>
              <w:spacing w:after="0"/>
              <w:rPr>
                <w:sz w:val="20"/>
                <w:szCs w:val="20"/>
                <w:color w:val="auto"/>
              </w:rPr>
            </w:pPr>
            <w:r>
              <w:rPr>
                <w:rFonts w:ascii="Calibri" w:cs="Calibri" w:eastAsia="Calibri" w:hAnsi="Calibri"/>
                <w:sz w:val="14"/>
                <w:szCs w:val="14"/>
                <w:color w:val="auto"/>
              </w:rPr>
              <w:t>in Last FY</w:t>
            </w:r>
          </w:p>
        </w:tc>
        <w:tc>
          <w:tcPr>
            <w:tcW w:w="80" w:type="dxa"/>
            <w:vAlign w:val="bottom"/>
          </w:tcPr>
          <w:p>
            <w:pPr>
              <w:spacing w:after="0"/>
              <w:rPr>
                <w:sz w:val="15"/>
                <w:szCs w:val="15"/>
                <w:color w:val="auto"/>
              </w:rPr>
            </w:pPr>
          </w:p>
        </w:tc>
        <w:tc>
          <w:tcPr>
            <w:tcW w:w="1360" w:type="dxa"/>
            <w:vAlign w:val="bottom"/>
            <w:tcBorders>
              <w:right w:val="single" w:sz="8" w:color="auto"/>
            </w:tcBorders>
          </w:tcPr>
          <w:p>
            <w:pPr>
              <w:jc w:val="right"/>
              <w:ind w:right="428"/>
              <w:spacing w:after="0"/>
              <w:rPr>
                <w:sz w:val="20"/>
                <w:szCs w:val="20"/>
                <w:color w:val="auto"/>
              </w:rPr>
            </w:pPr>
            <w:r>
              <w:rPr>
                <w:rFonts w:ascii="Calibri" w:cs="Calibri" w:eastAsia="Calibri" w:hAnsi="Calibri"/>
                <w:sz w:val="14"/>
                <w:szCs w:val="14"/>
                <w:color w:val="auto"/>
              </w:rPr>
              <w:t>in Last FY</w:t>
            </w:r>
          </w:p>
        </w:tc>
        <w:tc>
          <w:tcPr>
            <w:tcW w:w="180" w:type="dxa"/>
            <w:vAlign w:val="bottom"/>
          </w:tcPr>
          <w:p>
            <w:pPr>
              <w:spacing w:after="0"/>
              <w:rPr>
                <w:sz w:val="15"/>
                <w:szCs w:val="15"/>
                <w:color w:val="auto"/>
              </w:rPr>
            </w:pPr>
          </w:p>
        </w:tc>
        <w:tc>
          <w:tcPr>
            <w:tcW w:w="1260" w:type="dxa"/>
            <w:vAlign w:val="bottom"/>
            <w:tcBorders>
              <w:right w:val="single" w:sz="8" w:color="auto"/>
            </w:tcBorders>
          </w:tcPr>
          <w:p>
            <w:pPr>
              <w:jc w:val="center"/>
              <w:ind w:right="208"/>
              <w:spacing w:after="0"/>
              <w:rPr>
                <w:sz w:val="20"/>
                <w:szCs w:val="20"/>
                <w:color w:val="auto"/>
              </w:rPr>
            </w:pPr>
            <w:r>
              <w:rPr>
                <w:rFonts w:ascii="Calibri" w:cs="Calibri" w:eastAsia="Calibri" w:hAnsi="Calibri"/>
                <w:sz w:val="14"/>
                <w:szCs w:val="14"/>
                <w:color w:val="auto"/>
              </w:rPr>
              <w:t>Distributons</w:t>
            </w:r>
          </w:p>
        </w:tc>
        <w:tc>
          <w:tcPr>
            <w:tcW w:w="220" w:type="dxa"/>
            <w:vAlign w:val="bottom"/>
          </w:tcPr>
          <w:p>
            <w:pPr>
              <w:spacing w:after="0"/>
              <w:rPr>
                <w:sz w:val="15"/>
                <w:szCs w:val="15"/>
                <w:color w:val="auto"/>
              </w:rPr>
            </w:pPr>
          </w:p>
        </w:tc>
        <w:tc>
          <w:tcPr>
            <w:tcW w:w="1220" w:type="dxa"/>
            <w:vAlign w:val="bottom"/>
            <w:tcBorders>
              <w:right w:val="single" w:sz="8" w:color="auto"/>
            </w:tcBorders>
          </w:tcPr>
          <w:p>
            <w:pPr>
              <w:jc w:val="center"/>
              <w:ind w:right="248"/>
              <w:spacing w:after="0"/>
              <w:rPr>
                <w:sz w:val="20"/>
                <w:szCs w:val="20"/>
                <w:color w:val="auto"/>
              </w:rPr>
            </w:pPr>
            <w:r>
              <w:rPr>
                <w:rFonts w:ascii="Calibri" w:cs="Calibri" w:eastAsia="Calibri" w:hAnsi="Calibri"/>
                <w:sz w:val="14"/>
                <w:szCs w:val="14"/>
                <w:color w:val="auto"/>
              </w:rPr>
              <w:t>at Last FYE</w:t>
            </w:r>
          </w:p>
        </w:tc>
      </w:tr>
      <w:tr>
        <w:trPr>
          <w:trHeight w:val="175"/>
        </w:trPr>
        <w:tc>
          <w:tcPr>
            <w:tcW w:w="3980" w:type="dxa"/>
            <w:vAlign w:val="bottom"/>
            <w:tcBorders>
              <w:left w:val="single" w:sz="8" w:color="auto"/>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Borders>
              <w:right w:val="single" w:sz="8" w:color="auto"/>
            </w:tcBorders>
          </w:tcPr>
          <w:p>
            <w:pPr>
              <w:jc w:val="center"/>
              <w:ind w:right="228"/>
              <w:spacing w:after="0"/>
              <w:rPr>
                <w:sz w:val="20"/>
                <w:szCs w:val="20"/>
                <w:color w:val="auto"/>
              </w:rPr>
            </w:pPr>
            <w:r>
              <w:rPr>
                <w:rFonts w:ascii="Calibri" w:cs="Calibri" w:eastAsia="Calibri" w:hAnsi="Calibri"/>
                <w:sz w:val="14"/>
                <w:szCs w:val="14"/>
                <w:color w:val="auto"/>
              </w:rPr>
              <w:t>($)(1)</w:t>
            </w:r>
          </w:p>
        </w:tc>
        <w:tc>
          <w:tcPr>
            <w:tcW w:w="180" w:type="dxa"/>
            <w:vAlign w:val="bottom"/>
          </w:tcPr>
          <w:p>
            <w:pPr>
              <w:spacing w:after="0"/>
              <w:rPr>
                <w:sz w:val="15"/>
                <w:szCs w:val="15"/>
                <w:color w:val="auto"/>
              </w:rPr>
            </w:pPr>
          </w:p>
        </w:tc>
        <w:tc>
          <w:tcPr>
            <w:tcW w:w="1280" w:type="dxa"/>
            <w:vAlign w:val="bottom"/>
            <w:tcBorders>
              <w:right w:val="single" w:sz="8" w:color="auto"/>
            </w:tcBorders>
          </w:tcPr>
          <w:p>
            <w:pPr>
              <w:jc w:val="center"/>
              <w:ind w:right="208"/>
              <w:spacing w:after="0"/>
              <w:rPr>
                <w:sz w:val="20"/>
                <w:szCs w:val="20"/>
                <w:color w:val="auto"/>
              </w:rPr>
            </w:pPr>
            <w:r>
              <w:rPr>
                <w:rFonts w:ascii="Calibri" w:cs="Calibri" w:eastAsia="Calibri" w:hAnsi="Calibri"/>
                <w:sz w:val="14"/>
                <w:szCs w:val="14"/>
                <w:color w:val="auto"/>
              </w:rPr>
              <w:t>($)(1)</w:t>
            </w:r>
          </w:p>
        </w:tc>
        <w:tc>
          <w:tcPr>
            <w:tcW w:w="80" w:type="dxa"/>
            <w:vAlign w:val="bottom"/>
          </w:tcPr>
          <w:p>
            <w:pPr>
              <w:spacing w:after="0"/>
              <w:rPr>
                <w:sz w:val="15"/>
                <w:szCs w:val="15"/>
                <w:color w:val="auto"/>
              </w:rPr>
            </w:pPr>
          </w:p>
        </w:tc>
        <w:tc>
          <w:tcPr>
            <w:tcW w:w="1360" w:type="dxa"/>
            <w:vAlign w:val="bottom"/>
            <w:tcBorders>
              <w:right w:val="single" w:sz="8" w:color="auto"/>
            </w:tcBorders>
          </w:tcPr>
          <w:p>
            <w:pPr>
              <w:jc w:val="center"/>
              <w:ind w:right="128"/>
              <w:spacing w:after="0"/>
              <w:rPr>
                <w:sz w:val="20"/>
                <w:szCs w:val="20"/>
                <w:color w:val="auto"/>
              </w:rPr>
            </w:pPr>
            <w:r>
              <w:rPr>
                <w:rFonts w:ascii="Calibri" w:cs="Calibri" w:eastAsia="Calibri" w:hAnsi="Calibri"/>
                <w:sz w:val="14"/>
                <w:szCs w:val="14"/>
                <w:color w:val="auto"/>
              </w:rPr>
              <w:t>($)</w:t>
            </w:r>
          </w:p>
        </w:tc>
        <w:tc>
          <w:tcPr>
            <w:tcW w:w="180" w:type="dxa"/>
            <w:vAlign w:val="bottom"/>
          </w:tcPr>
          <w:p>
            <w:pPr>
              <w:spacing w:after="0"/>
              <w:rPr>
                <w:sz w:val="15"/>
                <w:szCs w:val="15"/>
                <w:color w:val="auto"/>
              </w:rPr>
            </w:pPr>
          </w:p>
        </w:tc>
        <w:tc>
          <w:tcPr>
            <w:tcW w:w="1260" w:type="dxa"/>
            <w:vAlign w:val="bottom"/>
            <w:tcBorders>
              <w:right w:val="single" w:sz="8" w:color="auto"/>
            </w:tcBorders>
          </w:tcPr>
          <w:p>
            <w:pPr>
              <w:jc w:val="center"/>
              <w:ind w:right="228"/>
              <w:spacing w:after="0"/>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5"/>
                <w:szCs w:val="15"/>
                <w:color w:val="auto"/>
              </w:rPr>
            </w:pPr>
          </w:p>
        </w:tc>
        <w:tc>
          <w:tcPr>
            <w:tcW w:w="1220" w:type="dxa"/>
            <w:vAlign w:val="bottom"/>
            <w:tcBorders>
              <w:right w:val="single" w:sz="8" w:color="auto"/>
            </w:tcBorders>
          </w:tcPr>
          <w:p>
            <w:pPr>
              <w:jc w:val="center"/>
              <w:ind w:right="268"/>
              <w:spacing w:after="0"/>
              <w:rPr>
                <w:sz w:val="20"/>
                <w:szCs w:val="20"/>
                <w:color w:val="auto"/>
              </w:rPr>
            </w:pPr>
            <w:r>
              <w:rPr>
                <w:rFonts w:ascii="Calibri" w:cs="Calibri" w:eastAsia="Calibri" w:hAnsi="Calibri"/>
                <w:sz w:val="14"/>
                <w:szCs w:val="14"/>
                <w:color w:val="auto"/>
              </w:rPr>
              <w:t>($)(2)</w:t>
            </w:r>
          </w:p>
        </w:tc>
      </w:tr>
      <w:tr>
        <w:trPr>
          <w:trHeight w:val="203"/>
        </w:trPr>
        <w:tc>
          <w:tcPr>
            <w:tcW w:w="3980" w:type="dxa"/>
            <w:vAlign w:val="bottom"/>
            <w:tcBorders>
              <w:left w:val="single" w:sz="8" w:color="auto"/>
              <w:right w:val="single" w:sz="8" w:color="auto"/>
            </w:tcBorders>
          </w:tcPr>
          <w:p>
            <w:pPr>
              <w:ind w:left="1920"/>
              <w:spacing w:after="0"/>
              <w:rPr>
                <w:sz w:val="20"/>
                <w:szCs w:val="20"/>
                <w:color w:val="auto"/>
              </w:rPr>
            </w:pPr>
            <w:r>
              <w:rPr>
                <w:rFonts w:ascii="Calibri" w:cs="Calibri" w:eastAsia="Calibri" w:hAnsi="Calibri"/>
                <w:sz w:val="14"/>
                <w:szCs w:val="14"/>
                <w:color w:val="auto"/>
              </w:rPr>
              <w:t>(a)</w:t>
            </w:r>
          </w:p>
        </w:tc>
        <w:tc>
          <w:tcPr>
            <w:tcW w:w="180" w:type="dxa"/>
            <w:vAlign w:val="bottom"/>
          </w:tcPr>
          <w:p>
            <w:pPr>
              <w:spacing w:after="0"/>
              <w:rPr>
                <w:sz w:val="17"/>
                <w:szCs w:val="17"/>
                <w:color w:val="auto"/>
              </w:rPr>
            </w:pPr>
          </w:p>
        </w:tc>
        <w:tc>
          <w:tcPr>
            <w:tcW w:w="1300" w:type="dxa"/>
            <w:vAlign w:val="bottom"/>
            <w:tcBorders>
              <w:right w:val="single" w:sz="8" w:color="auto"/>
            </w:tcBorders>
          </w:tcPr>
          <w:p>
            <w:pPr>
              <w:jc w:val="center"/>
              <w:ind w:right="228"/>
              <w:spacing w:after="0"/>
              <w:rPr>
                <w:sz w:val="20"/>
                <w:szCs w:val="20"/>
                <w:color w:val="auto"/>
              </w:rPr>
            </w:pPr>
            <w:r>
              <w:rPr>
                <w:rFonts w:ascii="Calibri" w:cs="Calibri" w:eastAsia="Calibri" w:hAnsi="Calibri"/>
                <w:sz w:val="14"/>
                <w:szCs w:val="14"/>
                <w:color w:val="auto"/>
              </w:rPr>
              <w:t>(b)</w:t>
            </w:r>
          </w:p>
        </w:tc>
        <w:tc>
          <w:tcPr>
            <w:tcW w:w="180" w:type="dxa"/>
            <w:vAlign w:val="bottom"/>
          </w:tcPr>
          <w:p>
            <w:pPr>
              <w:spacing w:after="0"/>
              <w:rPr>
                <w:sz w:val="17"/>
                <w:szCs w:val="17"/>
                <w:color w:val="auto"/>
              </w:rPr>
            </w:pPr>
          </w:p>
        </w:tc>
        <w:tc>
          <w:tcPr>
            <w:tcW w:w="1280" w:type="dxa"/>
            <w:vAlign w:val="bottom"/>
            <w:tcBorders>
              <w:right w:val="single" w:sz="8" w:color="auto"/>
            </w:tcBorders>
          </w:tcPr>
          <w:p>
            <w:pPr>
              <w:jc w:val="center"/>
              <w:ind w:right="228"/>
              <w:spacing w:after="0"/>
              <w:rPr>
                <w:sz w:val="20"/>
                <w:szCs w:val="20"/>
                <w:color w:val="auto"/>
              </w:rPr>
            </w:pPr>
            <w:r>
              <w:rPr>
                <w:rFonts w:ascii="Calibri" w:cs="Calibri" w:eastAsia="Calibri" w:hAnsi="Calibri"/>
                <w:sz w:val="14"/>
                <w:szCs w:val="14"/>
                <w:color w:val="auto"/>
                <w:w w:val="96"/>
              </w:rPr>
              <w:t>(c)</w:t>
            </w:r>
          </w:p>
        </w:tc>
        <w:tc>
          <w:tcPr>
            <w:tcW w:w="80" w:type="dxa"/>
            <w:vAlign w:val="bottom"/>
          </w:tcPr>
          <w:p>
            <w:pPr>
              <w:spacing w:after="0"/>
              <w:rPr>
                <w:sz w:val="17"/>
                <w:szCs w:val="17"/>
                <w:color w:val="auto"/>
              </w:rPr>
            </w:pPr>
          </w:p>
        </w:tc>
        <w:tc>
          <w:tcPr>
            <w:tcW w:w="1360" w:type="dxa"/>
            <w:vAlign w:val="bottom"/>
            <w:tcBorders>
              <w:right w:val="single" w:sz="8" w:color="auto"/>
            </w:tcBorders>
          </w:tcPr>
          <w:p>
            <w:pPr>
              <w:jc w:val="center"/>
              <w:ind w:right="128"/>
              <w:spacing w:after="0"/>
              <w:rPr>
                <w:sz w:val="20"/>
                <w:szCs w:val="20"/>
                <w:color w:val="auto"/>
              </w:rPr>
            </w:pPr>
            <w:r>
              <w:rPr>
                <w:rFonts w:ascii="Calibri" w:cs="Calibri" w:eastAsia="Calibri" w:hAnsi="Calibri"/>
                <w:sz w:val="14"/>
                <w:szCs w:val="14"/>
                <w:color w:val="auto"/>
              </w:rPr>
              <w:t>(d)</w:t>
            </w:r>
          </w:p>
        </w:tc>
        <w:tc>
          <w:tcPr>
            <w:tcW w:w="180" w:type="dxa"/>
            <w:vAlign w:val="bottom"/>
          </w:tcPr>
          <w:p>
            <w:pPr>
              <w:spacing w:after="0"/>
              <w:rPr>
                <w:sz w:val="17"/>
                <w:szCs w:val="17"/>
                <w:color w:val="auto"/>
              </w:rPr>
            </w:pPr>
          </w:p>
        </w:tc>
        <w:tc>
          <w:tcPr>
            <w:tcW w:w="1260" w:type="dxa"/>
            <w:vAlign w:val="bottom"/>
            <w:tcBorders>
              <w:right w:val="single" w:sz="8" w:color="auto"/>
            </w:tcBorders>
          </w:tcPr>
          <w:p>
            <w:pPr>
              <w:jc w:val="center"/>
              <w:ind w:right="228"/>
              <w:spacing w:after="0"/>
              <w:rPr>
                <w:sz w:val="20"/>
                <w:szCs w:val="20"/>
                <w:color w:val="auto"/>
              </w:rPr>
            </w:pPr>
            <w:r>
              <w:rPr>
                <w:rFonts w:ascii="Calibri" w:cs="Calibri" w:eastAsia="Calibri" w:hAnsi="Calibri"/>
                <w:sz w:val="14"/>
                <w:szCs w:val="14"/>
                <w:color w:val="auto"/>
              </w:rPr>
              <w:t>(e)</w:t>
            </w:r>
          </w:p>
        </w:tc>
        <w:tc>
          <w:tcPr>
            <w:tcW w:w="220" w:type="dxa"/>
            <w:vAlign w:val="bottom"/>
          </w:tcPr>
          <w:p>
            <w:pPr>
              <w:spacing w:after="0"/>
              <w:rPr>
                <w:sz w:val="17"/>
                <w:szCs w:val="17"/>
                <w:color w:val="auto"/>
              </w:rPr>
            </w:pPr>
          </w:p>
        </w:tc>
        <w:tc>
          <w:tcPr>
            <w:tcW w:w="1220" w:type="dxa"/>
            <w:vAlign w:val="bottom"/>
            <w:tcBorders>
              <w:right w:val="single" w:sz="8" w:color="auto"/>
            </w:tcBorders>
          </w:tcPr>
          <w:p>
            <w:pPr>
              <w:jc w:val="center"/>
              <w:ind w:right="248"/>
              <w:spacing w:after="0"/>
              <w:rPr>
                <w:sz w:val="20"/>
                <w:szCs w:val="20"/>
                <w:color w:val="auto"/>
              </w:rPr>
            </w:pPr>
            <w:r>
              <w:rPr>
                <w:rFonts w:ascii="Calibri" w:cs="Calibri" w:eastAsia="Calibri" w:hAnsi="Calibri"/>
                <w:sz w:val="14"/>
                <w:szCs w:val="14"/>
                <w:color w:val="auto"/>
              </w:rPr>
              <w:t>(f)</w:t>
            </w:r>
          </w:p>
        </w:tc>
      </w:tr>
      <w:tr>
        <w:trPr>
          <w:trHeight w:val="33"/>
        </w:trPr>
        <w:tc>
          <w:tcPr>
            <w:tcW w:w="3980" w:type="dxa"/>
            <w:vAlign w:val="bottom"/>
            <w:tcBorders>
              <w:left w:val="single" w:sz="8" w:color="auto"/>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r>
      <w:tr>
        <w:trPr>
          <w:trHeight w:val="201"/>
        </w:trPr>
        <w:tc>
          <w:tcPr>
            <w:tcW w:w="3980" w:type="dxa"/>
            <w:vAlign w:val="bottom"/>
            <w:tcBorders>
              <w:left w:val="single" w:sz="8" w:color="auto"/>
              <w:bottom w:val="single" w:sz="8" w:color="E7E6E6"/>
              <w:right w:val="single" w:sz="8" w:color="auto"/>
            </w:tcBorders>
            <w:shd w:val="clear" w:color="auto" w:fill="E7E6E6"/>
          </w:tcPr>
          <w:p>
            <w:pPr>
              <w:ind w:left="40"/>
              <w:spacing w:after="0" w:line="164" w:lineRule="exact"/>
              <w:rPr>
                <w:sz w:val="20"/>
                <w:szCs w:val="20"/>
                <w:color w:val="auto"/>
              </w:rPr>
            </w:pPr>
            <w:r>
              <w:rPr>
                <w:rFonts w:ascii="Calibri" w:cs="Calibri" w:eastAsia="Calibri" w:hAnsi="Calibri"/>
                <w:sz w:val="14"/>
                <w:szCs w:val="14"/>
                <w:color w:val="auto"/>
              </w:rPr>
              <w:t>S. Trauschke</w:t>
            </w:r>
          </w:p>
        </w:tc>
        <w:tc>
          <w:tcPr>
            <w:tcW w:w="180" w:type="dxa"/>
            <w:vAlign w:val="bottom"/>
            <w:tcBorders>
              <w:bottom w:val="single" w:sz="8" w:color="E7E6E6"/>
            </w:tcBorders>
            <w:shd w:val="clear" w:color="auto" w:fill="E7E6E6"/>
          </w:tcPr>
          <w:p>
            <w:pPr>
              <w:jc w:val="right"/>
              <w:ind w:right="28"/>
              <w:spacing w:after="0" w:line="164" w:lineRule="exact"/>
              <w:rPr>
                <w:sz w:val="20"/>
                <w:szCs w:val="20"/>
                <w:color w:val="auto"/>
              </w:rPr>
            </w:pPr>
            <w:r>
              <w:rPr>
                <w:rFonts w:ascii="Calibri" w:cs="Calibri" w:eastAsia="Calibri" w:hAnsi="Calibri"/>
                <w:sz w:val="14"/>
                <w:szCs w:val="14"/>
                <w:color w:val="auto"/>
                <w:w w:val="83"/>
              </w:rPr>
              <w:t>$</w:t>
            </w:r>
          </w:p>
        </w:tc>
        <w:tc>
          <w:tcPr>
            <w:tcW w:w="1300" w:type="dxa"/>
            <w:vAlign w:val="bottom"/>
            <w:tcBorders>
              <w:bottom w:val="single" w:sz="8" w:color="E7E6E6"/>
              <w:right w:val="single" w:sz="8" w:color="auto"/>
            </w:tcBorders>
            <w:shd w:val="clear" w:color="auto" w:fill="E7E6E6"/>
          </w:tcPr>
          <w:p>
            <w:pPr>
              <w:jc w:val="right"/>
              <w:ind w:right="68"/>
              <w:spacing w:after="0" w:line="164" w:lineRule="exact"/>
              <w:rPr>
                <w:sz w:val="20"/>
                <w:szCs w:val="20"/>
                <w:color w:val="auto"/>
              </w:rPr>
            </w:pPr>
            <w:r>
              <w:rPr>
                <w:rFonts w:ascii="Calibri" w:cs="Calibri" w:eastAsia="Calibri" w:hAnsi="Calibri"/>
                <w:sz w:val="14"/>
                <w:szCs w:val="14"/>
                <w:color w:val="auto"/>
              </w:rPr>
              <w:t>450,196</w:t>
            </w:r>
          </w:p>
        </w:tc>
        <w:tc>
          <w:tcPr>
            <w:tcW w:w="180" w:type="dxa"/>
            <w:vAlign w:val="bottom"/>
            <w:tcBorders>
              <w:bottom w:val="single" w:sz="8" w:color="E7E6E6"/>
            </w:tcBorders>
            <w:shd w:val="clear" w:color="auto" w:fill="E7E6E6"/>
          </w:tcPr>
          <w:p>
            <w:pPr>
              <w:jc w:val="right"/>
              <w:ind w:right="28"/>
              <w:spacing w:after="0" w:line="164" w:lineRule="exact"/>
              <w:rPr>
                <w:sz w:val="20"/>
                <w:szCs w:val="20"/>
                <w:color w:val="auto"/>
              </w:rPr>
            </w:pPr>
            <w:r>
              <w:rPr>
                <w:rFonts w:ascii="Calibri" w:cs="Calibri" w:eastAsia="Calibri" w:hAnsi="Calibri"/>
                <w:sz w:val="14"/>
                <w:szCs w:val="14"/>
                <w:color w:val="auto"/>
                <w:w w:val="83"/>
              </w:rPr>
              <w:t>$</w:t>
            </w:r>
          </w:p>
        </w:tc>
        <w:tc>
          <w:tcPr>
            <w:tcW w:w="1280" w:type="dxa"/>
            <w:vAlign w:val="bottom"/>
            <w:tcBorders>
              <w:bottom w:val="single" w:sz="8" w:color="E7E6E6"/>
              <w:right w:val="single" w:sz="8" w:color="auto"/>
            </w:tcBorders>
            <w:shd w:val="clear" w:color="auto" w:fill="E7E6E6"/>
          </w:tcPr>
          <w:p>
            <w:pPr>
              <w:jc w:val="right"/>
              <w:ind w:right="68"/>
              <w:spacing w:after="0" w:line="164" w:lineRule="exact"/>
              <w:rPr>
                <w:sz w:val="20"/>
                <w:szCs w:val="20"/>
                <w:color w:val="auto"/>
              </w:rPr>
            </w:pPr>
            <w:r>
              <w:rPr>
                <w:rFonts w:ascii="Calibri" w:cs="Calibri" w:eastAsia="Calibri" w:hAnsi="Calibri"/>
                <w:sz w:val="14"/>
                <w:szCs w:val="14"/>
                <w:color w:val="auto"/>
              </w:rPr>
              <w:t>134,044</w:t>
            </w:r>
          </w:p>
        </w:tc>
        <w:tc>
          <w:tcPr>
            <w:tcW w:w="80" w:type="dxa"/>
            <w:vAlign w:val="bottom"/>
            <w:tcBorders>
              <w:bottom w:val="single" w:sz="8" w:color="E7E6E6"/>
            </w:tcBorders>
            <w:shd w:val="clear" w:color="auto" w:fill="E7E6E6"/>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1360" w:type="dxa"/>
            <w:vAlign w:val="bottom"/>
            <w:tcBorders>
              <w:bottom w:val="single" w:sz="8" w:color="E7E6E6"/>
              <w:right w:val="single" w:sz="8" w:color="auto"/>
            </w:tcBorders>
            <w:shd w:val="clear" w:color="auto" w:fill="E7E6E6"/>
          </w:tcPr>
          <w:p>
            <w:pPr>
              <w:jc w:val="right"/>
              <w:ind w:right="68"/>
              <w:spacing w:after="0" w:line="164" w:lineRule="exact"/>
              <w:rPr>
                <w:sz w:val="20"/>
                <w:szCs w:val="20"/>
                <w:color w:val="auto"/>
              </w:rPr>
            </w:pPr>
            <w:r>
              <w:rPr>
                <w:rFonts w:ascii="Calibri" w:cs="Calibri" w:eastAsia="Calibri" w:hAnsi="Calibri"/>
                <w:sz w:val="14"/>
                <w:szCs w:val="14"/>
                <w:color w:val="auto"/>
              </w:rPr>
              <w:t>694,672</w:t>
            </w:r>
          </w:p>
        </w:tc>
        <w:tc>
          <w:tcPr>
            <w:tcW w:w="180" w:type="dxa"/>
            <w:vAlign w:val="bottom"/>
            <w:tcBorders>
              <w:bottom w:val="single" w:sz="8" w:color="E7E6E6"/>
            </w:tcBorders>
            <w:shd w:val="clear" w:color="auto" w:fill="E7E6E6"/>
          </w:tcPr>
          <w:p>
            <w:pPr>
              <w:jc w:val="right"/>
              <w:ind w:right="28"/>
              <w:spacing w:after="0" w:line="164" w:lineRule="exact"/>
              <w:rPr>
                <w:sz w:val="20"/>
                <w:szCs w:val="20"/>
                <w:color w:val="auto"/>
              </w:rPr>
            </w:pPr>
            <w:r>
              <w:rPr>
                <w:rFonts w:ascii="Calibri" w:cs="Calibri" w:eastAsia="Calibri" w:hAnsi="Calibri"/>
                <w:sz w:val="14"/>
                <w:szCs w:val="14"/>
                <w:color w:val="auto"/>
                <w:w w:val="83"/>
              </w:rPr>
              <w:t>$</w:t>
            </w:r>
          </w:p>
        </w:tc>
        <w:tc>
          <w:tcPr>
            <w:tcW w:w="1260" w:type="dxa"/>
            <w:vAlign w:val="bottom"/>
            <w:tcBorders>
              <w:bottom w:val="single" w:sz="8" w:color="E7E6E6"/>
              <w:right w:val="single" w:sz="8" w:color="auto"/>
            </w:tcBorders>
            <w:shd w:val="clear" w:color="auto" w:fill="E7E6E6"/>
          </w:tcPr>
          <w:p>
            <w:pPr>
              <w:ind w:left="1000"/>
              <w:spacing w:after="0" w:line="164" w:lineRule="exact"/>
              <w:rPr>
                <w:sz w:val="20"/>
                <w:szCs w:val="20"/>
                <w:color w:val="auto"/>
              </w:rPr>
            </w:pPr>
            <w:r>
              <w:rPr>
                <w:rFonts w:ascii="Calibri" w:cs="Calibri" w:eastAsia="Calibri" w:hAnsi="Calibri"/>
                <w:sz w:val="14"/>
                <w:szCs w:val="14"/>
                <w:color w:val="auto"/>
              </w:rPr>
              <w:t>—</w:t>
            </w:r>
          </w:p>
        </w:tc>
        <w:tc>
          <w:tcPr>
            <w:tcW w:w="220" w:type="dxa"/>
            <w:vAlign w:val="bottom"/>
            <w:tcBorders>
              <w:bottom w:val="single" w:sz="8" w:color="E7E6E6"/>
            </w:tcBorders>
            <w:shd w:val="clear" w:color="auto" w:fill="E7E6E6"/>
          </w:tcPr>
          <w:p>
            <w:pPr>
              <w:jc w:val="right"/>
              <w:ind w:right="68"/>
              <w:spacing w:after="0" w:line="164" w:lineRule="exact"/>
              <w:rPr>
                <w:sz w:val="20"/>
                <w:szCs w:val="20"/>
                <w:color w:val="auto"/>
              </w:rPr>
            </w:pPr>
            <w:r>
              <w:rPr>
                <w:rFonts w:ascii="Calibri" w:cs="Calibri" w:eastAsia="Calibri" w:hAnsi="Calibri"/>
                <w:sz w:val="14"/>
                <w:szCs w:val="14"/>
                <w:color w:val="auto"/>
                <w:w w:val="83"/>
              </w:rPr>
              <w:t>$</w:t>
            </w:r>
          </w:p>
        </w:tc>
        <w:tc>
          <w:tcPr>
            <w:tcW w:w="1220" w:type="dxa"/>
            <w:vAlign w:val="bottom"/>
            <w:tcBorders>
              <w:bottom w:val="single" w:sz="8" w:color="E7E6E6"/>
              <w:right w:val="single" w:sz="8" w:color="auto"/>
            </w:tcBorders>
            <w:shd w:val="clear" w:color="auto" w:fill="E7E6E6"/>
          </w:tcPr>
          <w:p>
            <w:pPr>
              <w:jc w:val="right"/>
              <w:ind w:right="48"/>
              <w:spacing w:after="0" w:line="164" w:lineRule="exact"/>
              <w:rPr>
                <w:sz w:val="20"/>
                <w:szCs w:val="20"/>
                <w:color w:val="auto"/>
              </w:rPr>
            </w:pPr>
            <w:r>
              <w:rPr>
                <w:rFonts w:ascii="Calibri" w:cs="Calibri" w:eastAsia="Calibri" w:hAnsi="Calibri"/>
                <w:sz w:val="14"/>
                <w:szCs w:val="14"/>
                <w:color w:val="auto"/>
              </w:rPr>
              <w:t>6,353,955</w:t>
            </w:r>
          </w:p>
        </w:tc>
      </w:tr>
      <w:tr>
        <w:trPr>
          <w:trHeight w:val="163"/>
        </w:trPr>
        <w:tc>
          <w:tcPr>
            <w:tcW w:w="3980" w:type="dxa"/>
            <w:vAlign w:val="bottom"/>
            <w:tcBorders>
              <w:top w:val="single" w:sz="8" w:color="auto"/>
              <w:left w:val="single" w:sz="8" w:color="auto"/>
              <w:right w:val="single" w:sz="8" w:color="auto"/>
            </w:tcBorders>
          </w:tcPr>
          <w:p>
            <w:pPr>
              <w:ind w:left="40"/>
              <w:spacing w:after="0" w:line="164" w:lineRule="exact"/>
              <w:rPr>
                <w:sz w:val="20"/>
                <w:szCs w:val="20"/>
                <w:color w:val="auto"/>
              </w:rPr>
            </w:pPr>
            <w:r>
              <w:rPr>
                <w:rFonts w:ascii="Calibri" w:cs="Calibri" w:eastAsia="Calibri" w:hAnsi="Calibri"/>
                <w:sz w:val="14"/>
                <w:szCs w:val="14"/>
                <w:color w:val="auto"/>
              </w:rPr>
              <w:t>B. Buckler</w:t>
            </w:r>
          </w:p>
        </w:tc>
        <w:tc>
          <w:tcPr>
            <w:tcW w:w="18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w w:val="83"/>
              </w:rPr>
              <w:t>$</w:t>
            </w:r>
          </w:p>
        </w:tc>
        <w:tc>
          <w:tcPr>
            <w:tcW w:w="1300" w:type="dxa"/>
            <w:vAlign w:val="bottom"/>
            <w:tcBorders>
              <w:top w:val="single" w:sz="8" w:color="auto"/>
              <w:right w:val="single" w:sz="8" w:color="auto"/>
            </w:tcBorders>
          </w:tcPr>
          <w:p>
            <w:pPr>
              <w:jc w:val="right"/>
              <w:ind w:right="68"/>
              <w:spacing w:after="0" w:line="164" w:lineRule="exact"/>
              <w:rPr>
                <w:sz w:val="20"/>
                <w:szCs w:val="20"/>
                <w:color w:val="auto"/>
              </w:rPr>
            </w:pPr>
            <w:r>
              <w:rPr>
                <w:rFonts w:ascii="Calibri" w:cs="Calibri" w:eastAsia="Calibri" w:hAnsi="Calibri"/>
                <w:sz w:val="14"/>
                <w:szCs w:val="14"/>
                <w:color w:val="auto"/>
              </w:rPr>
              <w:t>125,006</w:t>
            </w:r>
          </w:p>
        </w:tc>
        <w:tc>
          <w:tcPr>
            <w:tcW w:w="18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w w:val="83"/>
              </w:rPr>
              <w:t>$</w:t>
            </w:r>
          </w:p>
        </w:tc>
        <w:tc>
          <w:tcPr>
            <w:tcW w:w="1280" w:type="dxa"/>
            <w:vAlign w:val="bottom"/>
            <w:tcBorders>
              <w:top w:val="single" w:sz="8" w:color="auto"/>
              <w:right w:val="single" w:sz="8" w:color="auto"/>
            </w:tcBorders>
          </w:tcPr>
          <w:p>
            <w:pPr>
              <w:jc w:val="right"/>
              <w:ind w:right="68"/>
              <w:spacing w:after="0" w:line="164" w:lineRule="exact"/>
              <w:rPr>
                <w:sz w:val="20"/>
                <w:szCs w:val="20"/>
                <w:color w:val="auto"/>
              </w:rPr>
            </w:pPr>
            <w:r>
              <w:rPr>
                <w:rFonts w:ascii="Calibri" w:cs="Calibri" w:eastAsia="Calibri" w:hAnsi="Calibri"/>
                <w:sz w:val="14"/>
                <w:szCs w:val="14"/>
                <w:color w:val="auto"/>
              </w:rPr>
              <w:t>51,866</w:t>
            </w:r>
          </w:p>
        </w:tc>
        <w:tc>
          <w:tcPr>
            <w:tcW w:w="8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1360" w:type="dxa"/>
            <w:vAlign w:val="bottom"/>
            <w:tcBorders>
              <w:top w:val="single" w:sz="8" w:color="auto"/>
              <w:right w:val="single" w:sz="8" w:color="auto"/>
            </w:tcBorders>
          </w:tcPr>
          <w:p>
            <w:pPr>
              <w:jc w:val="right"/>
              <w:ind w:right="68"/>
              <w:spacing w:after="0" w:line="164" w:lineRule="exact"/>
              <w:rPr>
                <w:sz w:val="20"/>
                <w:szCs w:val="20"/>
                <w:color w:val="auto"/>
              </w:rPr>
            </w:pPr>
            <w:r>
              <w:rPr>
                <w:rFonts w:ascii="Calibri" w:cs="Calibri" w:eastAsia="Calibri" w:hAnsi="Calibri"/>
                <w:sz w:val="14"/>
                <w:szCs w:val="14"/>
                <w:color w:val="auto"/>
              </w:rPr>
              <w:t>30,797</w:t>
            </w:r>
          </w:p>
        </w:tc>
        <w:tc>
          <w:tcPr>
            <w:tcW w:w="18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w w:val="83"/>
              </w:rPr>
              <w:t>$</w:t>
            </w:r>
          </w:p>
        </w:tc>
        <w:tc>
          <w:tcPr>
            <w:tcW w:w="1260" w:type="dxa"/>
            <w:vAlign w:val="bottom"/>
            <w:tcBorders>
              <w:top w:val="single" w:sz="8" w:color="auto"/>
              <w:right w:val="single" w:sz="8" w:color="auto"/>
            </w:tcBorders>
          </w:tcPr>
          <w:p>
            <w:pPr>
              <w:ind w:left="1000"/>
              <w:spacing w:after="0" w:line="164" w:lineRule="exact"/>
              <w:rPr>
                <w:sz w:val="20"/>
                <w:szCs w:val="20"/>
                <w:color w:val="auto"/>
              </w:rPr>
            </w:pPr>
            <w:r>
              <w:rPr>
                <w:rFonts w:ascii="Calibri" w:cs="Calibri" w:eastAsia="Calibri" w:hAnsi="Calibri"/>
                <w:sz w:val="14"/>
                <w:szCs w:val="14"/>
                <w:color w:val="auto"/>
              </w:rPr>
              <w:t>—</w:t>
            </w:r>
          </w:p>
        </w:tc>
        <w:tc>
          <w:tcPr>
            <w:tcW w:w="220" w:type="dxa"/>
            <w:vAlign w:val="bottom"/>
            <w:tcBorders>
              <w:top w:val="single" w:sz="8" w:color="auto"/>
            </w:tcBorders>
          </w:tcPr>
          <w:p>
            <w:pPr>
              <w:jc w:val="right"/>
              <w:ind w:right="68"/>
              <w:spacing w:after="0" w:line="164" w:lineRule="exact"/>
              <w:rPr>
                <w:sz w:val="20"/>
                <w:szCs w:val="20"/>
                <w:color w:val="auto"/>
              </w:rPr>
            </w:pPr>
            <w:r>
              <w:rPr>
                <w:rFonts w:ascii="Calibri" w:cs="Calibri" w:eastAsia="Calibri" w:hAnsi="Calibri"/>
                <w:sz w:val="14"/>
                <w:szCs w:val="14"/>
                <w:color w:val="auto"/>
                <w:w w:val="83"/>
              </w:rPr>
              <w:t>$</w:t>
            </w:r>
          </w:p>
        </w:tc>
        <w:tc>
          <w:tcPr>
            <w:tcW w:w="1220" w:type="dxa"/>
            <w:vAlign w:val="bottom"/>
            <w:tcBorders>
              <w:top w:val="single" w:sz="8" w:color="auto"/>
              <w:right w:val="single" w:sz="8" w:color="auto"/>
            </w:tcBorders>
          </w:tcPr>
          <w:p>
            <w:pPr>
              <w:jc w:val="right"/>
              <w:ind w:right="48"/>
              <w:spacing w:after="0" w:line="164" w:lineRule="exact"/>
              <w:rPr>
                <w:sz w:val="20"/>
                <w:szCs w:val="20"/>
                <w:color w:val="auto"/>
              </w:rPr>
            </w:pPr>
            <w:r>
              <w:rPr>
                <w:rFonts w:ascii="Calibri" w:cs="Calibri" w:eastAsia="Calibri" w:hAnsi="Calibri"/>
                <w:sz w:val="14"/>
                <w:szCs w:val="14"/>
                <w:color w:val="auto"/>
              </w:rPr>
              <w:t>269,769</w:t>
            </w:r>
          </w:p>
        </w:tc>
      </w:tr>
      <w:tr>
        <w:trPr>
          <w:trHeight w:val="33"/>
        </w:trPr>
        <w:tc>
          <w:tcPr>
            <w:tcW w:w="3980" w:type="dxa"/>
            <w:vAlign w:val="bottom"/>
            <w:tcBorders>
              <w:left w:val="single" w:sz="8" w:color="auto"/>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r>
      <w:tr>
        <w:trPr>
          <w:trHeight w:val="201"/>
        </w:trPr>
        <w:tc>
          <w:tcPr>
            <w:tcW w:w="3980" w:type="dxa"/>
            <w:vAlign w:val="bottom"/>
            <w:tcBorders>
              <w:left w:val="single" w:sz="8" w:color="auto"/>
              <w:bottom w:val="single" w:sz="8" w:color="E7E6E6"/>
              <w:right w:val="single" w:sz="8" w:color="auto"/>
            </w:tcBorders>
            <w:shd w:val="clear" w:color="auto" w:fill="E7E6E6"/>
          </w:tcPr>
          <w:p>
            <w:pPr>
              <w:ind w:left="40"/>
              <w:spacing w:after="0" w:line="164" w:lineRule="exact"/>
              <w:rPr>
                <w:sz w:val="20"/>
                <w:szCs w:val="20"/>
                <w:color w:val="auto"/>
              </w:rPr>
            </w:pPr>
            <w:r>
              <w:rPr>
                <w:rFonts w:ascii="Calibri" w:cs="Calibri" w:eastAsia="Calibri" w:hAnsi="Calibri"/>
                <w:sz w:val="14"/>
                <w:szCs w:val="14"/>
                <w:color w:val="auto"/>
              </w:rPr>
              <w:t>W. Sultemeier</w:t>
            </w:r>
          </w:p>
        </w:tc>
        <w:tc>
          <w:tcPr>
            <w:tcW w:w="180" w:type="dxa"/>
            <w:vAlign w:val="bottom"/>
            <w:tcBorders>
              <w:bottom w:val="single" w:sz="8" w:color="E7E6E6"/>
            </w:tcBorders>
            <w:shd w:val="clear" w:color="auto" w:fill="E7E6E6"/>
          </w:tcPr>
          <w:p>
            <w:pPr>
              <w:jc w:val="right"/>
              <w:ind w:right="28"/>
              <w:spacing w:after="0" w:line="164" w:lineRule="exact"/>
              <w:rPr>
                <w:sz w:val="20"/>
                <w:szCs w:val="20"/>
                <w:color w:val="auto"/>
              </w:rPr>
            </w:pPr>
            <w:r>
              <w:rPr>
                <w:rFonts w:ascii="Calibri" w:cs="Calibri" w:eastAsia="Calibri" w:hAnsi="Calibri"/>
                <w:sz w:val="14"/>
                <w:szCs w:val="14"/>
                <w:color w:val="auto"/>
                <w:w w:val="83"/>
              </w:rPr>
              <w:t>$</w:t>
            </w:r>
          </w:p>
        </w:tc>
        <w:tc>
          <w:tcPr>
            <w:tcW w:w="1300" w:type="dxa"/>
            <w:vAlign w:val="bottom"/>
            <w:tcBorders>
              <w:bottom w:val="single" w:sz="8" w:color="E7E6E6"/>
              <w:right w:val="single" w:sz="8" w:color="auto"/>
            </w:tcBorders>
            <w:shd w:val="clear" w:color="auto" w:fill="E7E6E6"/>
          </w:tcPr>
          <w:p>
            <w:pPr>
              <w:jc w:val="right"/>
              <w:ind w:right="68"/>
              <w:spacing w:after="0" w:line="164" w:lineRule="exact"/>
              <w:rPr>
                <w:sz w:val="20"/>
                <w:szCs w:val="20"/>
                <w:color w:val="auto"/>
              </w:rPr>
            </w:pPr>
            <w:r>
              <w:rPr>
                <w:rFonts w:ascii="Calibri" w:cs="Calibri" w:eastAsia="Calibri" w:hAnsi="Calibri"/>
                <w:sz w:val="14"/>
                <w:szCs w:val="14"/>
                <w:color w:val="auto"/>
              </w:rPr>
              <w:t>21,048</w:t>
            </w:r>
          </w:p>
        </w:tc>
        <w:tc>
          <w:tcPr>
            <w:tcW w:w="180" w:type="dxa"/>
            <w:vAlign w:val="bottom"/>
            <w:tcBorders>
              <w:bottom w:val="single" w:sz="8" w:color="E7E6E6"/>
            </w:tcBorders>
            <w:shd w:val="clear" w:color="auto" w:fill="E7E6E6"/>
          </w:tcPr>
          <w:p>
            <w:pPr>
              <w:jc w:val="right"/>
              <w:ind w:right="28"/>
              <w:spacing w:after="0" w:line="164" w:lineRule="exact"/>
              <w:rPr>
                <w:sz w:val="20"/>
                <w:szCs w:val="20"/>
                <w:color w:val="auto"/>
              </w:rPr>
            </w:pPr>
            <w:r>
              <w:rPr>
                <w:rFonts w:ascii="Calibri" w:cs="Calibri" w:eastAsia="Calibri" w:hAnsi="Calibri"/>
                <w:sz w:val="14"/>
                <w:szCs w:val="14"/>
                <w:color w:val="auto"/>
                <w:w w:val="83"/>
              </w:rPr>
              <w:t>$</w:t>
            </w:r>
          </w:p>
        </w:tc>
        <w:tc>
          <w:tcPr>
            <w:tcW w:w="1280" w:type="dxa"/>
            <w:vAlign w:val="bottom"/>
            <w:tcBorders>
              <w:bottom w:val="single" w:sz="8" w:color="E7E6E6"/>
              <w:right w:val="single" w:sz="8" w:color="auto"/>
            </w:tcBorders>
            <w:shd w:val="clear" w:color="auto" w:fill="E7E6E6"/>
          </w:tcPr>
          <w:p>
            <w:pPr>
              <w:jc w:val="right"/>
              <w:ind w:right="68"/>
              <w:spacing w:after="0" w:line="164" w:lineRule="exact"/>
              <w:rPr>
                <w:sz w:val="20"/>
                <w:szCs w:val="20"/>
                <w:color w:val="auto"/>
              </w:rPr>
            </w:pPr>
            <w:r>
              <w:rPr>
                <w:rFonts w:ascii="Calibri" w:cs="Calibri" w:eastAsia="Calibri" w:hAnsi="Calibri"/>
                <w:sz w:val="14"/>
                <w:szCs w:val="14"/>
                <w:color w:val="auto"/>
              </w:rPr>
              <w:t>42,096</w:t>
            </w:r>
          </w:p>
        </w:tc>
        <w:tc>
          <w:tcPr>
            <w:tcW w:w="80" w:type="dxa"/>
            <w:vAlign w:val="bottom"/>
            <w:tcBorders>
              <w:bottom w:val="single" w:sz="8" w:color="E7E6E6"/>
            </w:tcBorders>
            <w:shd w:val="clear" w:color="auto" w:fill="E7E6E6"/>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1360" w:type="dxa"/>
            <w:vAlign w:val="bottom"/>
            <w:tcBorders>
              <w:bottom w:val="single" w:sz="8" w:color="E7E6E6"/>
              <w:right w:val="single" w:sz="8" w:color="auto"/>
            </w:tcBorders>
            <w:shd w:val="clear" w:color="auto" w:fill="E7E6E6"/>
          </w:tcPr>
          <w:p>
            <w:pPr>
              <w:jc w:val="right"/>
              <w:spacing w:after="0" w:line="164" w:lineRule="exact"/>
              <w:rPr>
                <w:sz w:val="20"/>
                <w:szCs w:val="20"/>
                <w:color w:val="auto"/>
              </w:rPr>
            </w:pPr>
            <w:r>
              <w:rPr>
                <w:rFonts w:ascii="Calibri" w:cs="Calibri" w:eastAsia="Calibri" w:hAnsi="Calibri"/>
                <w:sz w:val="14"/>
                <w:szCs w:val="14"/>
                <w:color w:val="auto"/>
              </w:rPr>
              <w:t>(12,198 )</w:t>
            </w:r>
          </w:p>
        </w:tc>
        <w:tc>
          <w:tcPr>
            <w:tcW w:w="180" w:type="dxa"/>
            <w:vAlign w:val="bottom"/>
            <w:tcBorders>
              <w:bottom w:val="single" w:sz="8" w:color="E7E6E6"/>
            </w:tcBorders>
            <w:shd w:val="clear" w:color="auto" w:fill="E7E6E6"/>
          </w:tcPr>
          <w:p>
            <w:pPr>
              <w:jc w:val="right"/>
              <w:ind w:right="28"/>
              <w:spacing w:after="0" w:line="164" w:lineRule="exact"/>
              <w:rPr>
                <w:sz w:val="20"/>
                <w:szCs w:val="20"/>
                <w:color w:val="auto"/>
              </w:rPr>
            </w:pPr>
            <w:r>
              <w:rPr>
                <w:rFonts w:ascii="Calibri" w:cs="Calibri" w:eastAsia="Calibri" w:hAnsi="Calibri"/>
                <w:sz w:val="14"/>
                <w:szCs w:val="14"/>
                <w:color w:val="auto"/>
                <w:w w:val="83"/>
              </w:rPr>
              <w:t>$</w:t>
            </w:r>
          </w:p>
        </w:tc>
        <w:tc>
          <w:tcPr>
            <w:tcW w:w="1260" w:type="dxa"/>
            <w:vAlign w:val="bottom"/>
            <w:tcBorders>
              <w:bottom w:val="single" w:sz="8" w:color="E7E6E6"/>
              <w:right w:val="single" w:sz="8" w:color="auto"/>
            </w:tcBorders>
            <w:shd w:val="clear" w:color="auto" w:fill="E7E6E6"/>
          </w:tcPr>
          <w:p>
            <w:pPr>
              <w:ind w:left="1000"/>
              <w:spacing w:after="0" w:line="164" w:lineRule="exact"/>
              <w:rPr>
                <w:sz w:val="20"/>
                <w:szCs w:val="20"/>
                <w:color w:val="auto"/>
              </w:rPr>
            </w:pPr>
            <w:r>
              <w:rPr>
                <w:rFonts w:ascii="Calibri" w:cs="Calibri" w:eastAsia="Calibri" w:hAnsi="Calibri"/>
                <w:sz w:val="14"/>
                <w:szCs w:val="14"/>
                <w:color w:val="auto"/>
              </w:rPr>
              <w:t>—</w:t>
            </w:r>
          </w:p>
        </w:tc>
        <w:tc>
          <w:tcPr>
            <w:tcW w:w="220" w:type="dxa"/>
            <w:vAlign w:val="bottom"/>
            <w:tcBorders>
              <w:bottom w:val="single" w:sz="8" w:color="E7E6E6"/>
            </w:tcBorders>
            <w:shd w:val="clear" w:color="auto" w:fill="E7E6E6"/>
          </w:tcPr>
          <w:p>
            <w:pPr>
              <w:jc w:val="right"/>
              <w:ind w:right="68"/>
              <w:spacing w:after="0" w:line="164" w:lineRule="exact"/>
              <w:rPr>
                <w:sz w:val="20"/>
                <w:szCs w:val="20"/>
                <w:color w:val="auto"/>
              </w:rPr>
            </w:pPr>
            <w:r>
              <w:rPr>
                <w:rFonts w:ascii="Calibri" w:cs="Calibri" w:eastAsia="Calibri" w:hAnsi="Calibri"/>
                <w:sz w:val="14"/>
                <w:szCs w:val="14"/>
                <w:color w:val="auto"/>
                <w:w w:val="83"/>
              </w:rPr>
              <w:t>$</w:t>
            </w:r>
          </w:p>
        </w:tc>
        <w:tc>
          <w:tcPr>
            <w:tcW w:w="1220" w:type="dxa"/>
            <w:vAlign w:val="bottom"/>
            <w:tcBorders>
              <w:bottom w:val="single" w:sz="8" w:color="E7E6E6"/>
              <w:right w:val="single" w:sz="8" w:color="auto"/>
            </w:tcBorders>
            <w:shd w:val="clear" w:color="auto" w:fill="E7E6E6"/>
          </w:tcPr>
          <w:p>
            <w:pPr>
              <w:jc w:val="right"/>
              <w:ind w:right="48"/>
              <w:spacing w:after="0" w:line="164" w:lineRule="exact"/>
              <w:rPr>
                <w:sz w:val="20"/>
                <w:szCs w:val="20"/>
                <w:color w:val="auto"/>
              </w:rPr>
            </w:pPr>
            <w:r>
              <w:rPr>
                <w:rFonts w:ascii="Calibri" w:cs="Calibri" w:eastAsia="Calibri" w:hAnsi="Calibri"/>
                <w:sz w:val="14"/>
                <w:szCs w:val="14"/>
                <w:color w:val="auto"/>
              </w:rPr>
              <w:t>369,612</w:t>
            </w:r>
          </w:p>
        </w:tc>
      </w:tr>
      <w:tr>
        <w:trPr>
          <w:trHeight w:val="163"/>
        </w:trPr>
        <w:tc>
          <w:tcPr>
            <w:tcW w:w="3980" w:type="dxa"/>
            <w:vAlign w:val="bottom"/>
            <w:tcBorders>
              <w:top w:val="single" w:sz="8" w:color="auto"/>
              <w:left w:val="single" w:sz="8" w:color="auto"/>
              <w:right w:val="single" w:sz="8" w:color="auto"/>
            </w:tcBorders>
          </w:tcPr>
          <w:p>
            <w:pPr>
              <w:ind w:left="40"/>
              <w:spacing w:after="0" w:line="164" w:lineRule="exact"/>
              <w:rPr>
                <w:sz w:val="20"/>
                <w:szCs w:val="20"/>
                <w:color w:val="auto"/>
              </w:rPr>
            </w:pPr>
            <w:r>
              <w:rPr>
                <w:rFonts w:ascii="Calibri" w:cs="Calibri" w:eastAsia="Calibri" w:hAnsi="Calibri"/>
                <w:sz w:val="14"/>
                <w:szCs w:val="14"/>
                <w:color w:val="auto"/>
              </w:rPr>
              <w:t>D. Jones</w:t>
            </w:r>
          </w:p>
        </w:tc>
        <w:tc>
          <w:tcPr>
            <w:tcW w:w="18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w w:val="83"/>
              </w:rPr>
              <w:t>$</w:t>
            </w:r>
          </w:p>
        </w:tc>
        <w:tc>
          <w:tcPr>
            <w:tcW w:w="1300" w:type="dxa"/>
            <w:vAlign w:val="bottom"/>
            <w:tcBorders>
              <w:top w:val="single" w:sz="8" w:color="auto"/>
              <w:right w:val="single" w:sz="8" w:color="auto"/>
            </w:tcBorders>
          </w:tcPr>
          <w:p>
            <w:pPr>
              <w:jc w:val="right"/>
              <w:ind w:right="68"/>
              <w:spacing w:after="0" w:line="164" w:lineRule="exact"/>
              <w:rPr>
                <w:sz w:val="20"/>
                <w:szCs w:val="20"/>
                <w:color w:val="auto"/>
              </w:rPr>
            </w:pPr>
            <w:r>
              <w:rPr>
                <w:rFonts w:ascii="Calibri" w:cs="Calibri" w:eastAsia="Calibri" w:hAnsi="Calibri"/>
                <w:sz w:val="14"/>
                <w:szCs w:val="14"/>
                <w:color w:val="auto"/>
              </w:rPr>
              <w:t>—</w:t>
            </w:r>
          </w:p>
        </w:tc>
        <w:tc>
          <w:tcPr>
            <w:tcW w:w="18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w w:val="83"/>
              </w:rPr>
              <w:t>$</w:t>
            </w:r>
          </w:p>
        </w:tc>
        <w:tc>
          <w:tcPr>
            <w:tcW w:w="1280" w:type="dxa"/>
            <w:vAlign w:val="bottom"/>
            <w:tcBorders>
              <w:top w:val="single" w:sz="8" w:color="auto"/>
              <w:right w:val="single" w:sz="8" w:color="auto"/>
            </w:tcBorders>
          </w:tcPr>
          <w:p>
            <w:pPr>
              <w:jc w:val="right"/>
              <w:ind w:right="68"/>
              <w:spacing w:after="0" w:line="164" w:lineRule="exact"/>
              <w:rPr>
                <w:sz w:val="20"/>
                <w:szCs w:val="20"/>
                <w:color w:val="auto"/>
              </w:rPr>
            </w:pPr>
            <w:r>
              <w:rPr>
                <w:rFonts w:ascii="Calibri" w:cs="Calibri" w:eastAsia="Calibri" w:hAnsi="Calibri"/>
                <w:sz w:val="14"/>
                <w:szCs w:val="14"/>
                <w:color w:val="auto"/>
              </w:rPr>
              <w:t>—</w:t>
            </w:r>
          </w:p>
        </w:tc>
        <w:tc>
          <w:tcPr>
            <w:tcW w:w="8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1360" w:type="dxa"/>
            <w:vAlign w:val="bottom"/>
            <w:tcBorders>
              <w:top w:val="single" w:sz="8" w:color="auto"/>
              <w:right w:val="single" w:sz="8" w:color="auto"/>
            </w:tcBorders>
          </w:tcPr>
          <w:p>
            <w:pPr>
              <w:jc w:val="right"/>
              <w:ind w:right="68"/>
              <w:spacing w:after="0" w:line="164" w:lineRule="exact"/>
              <w:rPr>
                <w:sz w:val="20"/>
                <w:szCs w:val="20"/>
                <w:color w:val="auto"/>
              </w:rPr>
            </w:pPr>
            <w:r>
              <w:rPr>
                <w:rFonts w:ascii="Calibri" w:cs="Calibri" w:eastAsia="Calibri" w:hAnsi="Calibri"/>
                <w:sz w:val="14"/>
                <w:szCs w:val="14"/>
                <w:color w:val="auto"/>
              </w:rPr>
              <w:t>104,782</w:t>
            </w:r>
          </w:p>
        </w:tc>
        <w:tc>
          <w:tcPr>
            <w:tcW w:w="180" w:type="dxa"/>
            <w:vAlign w:val="bottom"/>
            <w:tcBorders>
              <w:top w:val="single" w:sz="8" w:color="auto"/>
            </w:tcBorders>
          </w:tcPr>
          <w:p>
            <w:pPr>
              <w:jc w:val="right"/>
              <w:ind w:right="28"/>
              <w:spacing w:after="0" w:line="164" w:lineRule="exact"/>
              <w:rPr>
                <w:sz w:val="20"/>
                <w:szCs w:val="20"/>
                <w:color w:val="auto"/>
              </w:rPr>
            </w:pPr>
            <w:r>
              <w:rPr>
                <w:rFonts w:ascii="Calibri" w:cs="Calibri" w:eastAsia="Calibri" w:hAnsi="Calibri"/>
                <w:sz w:val="14"/>
                <w:szCs w:val="14"/>
                <w:color w:val="auto"/>
                <w:w w:val="83"/>
              </w:rPr>
              <w:t>$</w:t>
            </w:r>
          </w:p>
        </w:tc>
        <w:tc>
          <w:tcPr>
            <w:tcW w:w="1260" w:type="dxa"/>
            <w:vAlign w:val="bottom"/>
            <w:tcBorders>
              <w:top w:val="single" w:sz="8" w:color="auto"/>
              <w:right w:val="single" w:sz="8" w:color="auto"/>
            </w:tcBorders>
          </w:tcPr>
          <w:p>
            <w:pPr>
              <w:ind w:left="1000"/>
              <w:spacing w:after="0" w:line="164" w:lineRule="exact"/>
              <w:rPr>
                <w:sz w:val="20"/>
                <w:szCs w:val="20"/>
                <w:color w:val="auto"/>
              </w:rPr>
            </w:pPr>
            <w:r>
              <w:rPr>
                <w:rFonts w:ascii="Calibri" w:cs="Calibri" w:eastAsia="Calibri" w:hAnsi="Calibri"/>
                <w:sz w:val="14"/>
                <w:szCs w:val="14"/>
                <w:color w:val="auto"/>
              </w:rPr>
              <w:t>—</w:t>
            </w:r>
          </w:p>
        </w:tc>
        <w:tc>
          <w:tcPr>
            <w:tcW w:w="220" w:type="dxa"/>
            <w:vAlign w:val="bottom"/>
            <w:tcBorders>
              <w:top w:val="single" w:sz="8" w:color="auto"/>
            </w:tcBorders>
          </w:tcPr>
          <w:p>
            <w:pPr>
              <w:jc w:val="right"/>
              <w:ind w:right="68"/>
              <w:spacing w:after="0" w:line="164" w:lineRule="exact"/>
              <w:rPr>
                <w:sz w:val="20"/>
                <w:szCs w:val="20"/>
                <w:color w:val="auto"/>
              </w:rPr>
            </w:pPr>
            <w:r>
              <w:rPr>
                <w:rFonts w:ascii="Calibri" w:cs="Calibri" w:eastAsia="Calibri" w:hAnsi="Calibri"/>
                <w:sz w:val="14"/>
                <w:szCs w:val="14"/>
                <w:color w:val="auto"/>
                <w:w w:val="83"/>
              </w:rPr>
              <w:t>$</w:t>
            </w:r>
          </w:p>
        </w:tc>
        <w:tc>
          <w:tcPr>
            <w:tcW w:w="1220" w:type="dxa"/>
            <w:vAlign w:val="bottom"/>
            <w:tcBorders>
              <w:top w:val="single" w:sz="8" w:color="auto"/>
              <w:right w:val="single" w:sz="8" w:color="auto"/>
            </w:tcBorders>
          </w:tcPr>
          <w:p>
            <w:pPr>
              <w:jc w:val="right"/>
              <w:ind w:right="48"/>
              <w:spacing w:after="0" w:line="164" w:lineRule="exact"/>
              <w:rPr>
                <w:sz w:val="20"/>
                <w:szCs w:val="20"/>
                <w:color w:val="auto"/>
              </w:rPr>
            </w:pPr>
            <w:r>
              <w:rPr>
                <w:rFonts w:ascii="Calibri" w:cs="Calibri" w:eastAsia="Calibri" w:hAnsi="Calibri"/>
                <w:sz w:val="14"/>
                <w:szCs w:val="14"/>
                <w:color w:val="auto"/>
              </w:rPr>
              <w:t>661,593</w:t>
            </w:r>
          </w:p>
        </w:tc>
      </w:tr>
      <w:tr>
        <w:trPr>
          <w:trHeight w:val="33"/>
        </w:trPr>
        <w:tc>
          <w:tcPr>
            <w:tcW w:w="3980" w:type="dxa"/>
            <w:vAlign w:val="bottom"/>
            <w:tcBorders>
              <w:left w:val="single" w:sz="8" w:color="auto"/>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r>
      <w:tr>
        <w:trPr>
          <w:trHeight w:val="176"/>
        </w:trPr>
        <w:tc>
          <w:tcPr>
            <w:tcW w:w="3980" w:type="dxa"/>
            <w:vAlign w:val="bottom"/>
            <w:tcBorders>
              <w:left w:val="single" w:sz="8" w:color="auto"/>
              <w:bottom w:val="single" w:sz="8" w:color="E7E6E6"/>
              <w:right w:val="single" w:sz="8" w:color="auto"/>
            </w:tcBorders>
            <w:shd w:val="clear" w:color="auto" w:fill="E7E6E6"/>
          </w:tcPr>
          <w:p>
            <w:pPr>
              <w:ind w:left="40"/>
              <w:spacing w:after="0" w:line="164" w:lineRule="exact"/>
              <w:rPr>
                <w:sz w:val="20"/>
                <w:szCs w:val="20"/>
                <w:color w:val="auto"/>
              </w:rPr>
            </w:pPr>
            <w:r>
              <w:rPr>
                <w:rFonts w:ascii="Calibri" w:cs="Calibri" w:eastAsia="Calibri" w:hAnsi="Calibri"/>
                <w:sz w:val="14"/>
                <w:szCs w:val="14"/>
                <w:color w:val="auto"/>
              </w:rPr>
              <w:t>C. McQuiston</w:t>
            </w:r>
          </w:p>
        </w:tc>
        <w:tc>
          <w:tcPr>
            <w:tcW w:w="180" w:type="dxa"/>
            <w:vAlign w:val="bottom"/>
            <w:tcBorders>
              <w:bottom w:val="single" w:sz="8" w:color="E7E6E6"/>
            </w:tcBorders>
            <w:shd w:val="clear" w:color="auto" w:fill="E7E6E6"/>
          </w:tcPr>
          <w:p>
            <w:pPr>
              <w:jc w:val="right"/>
              <w:ind w:right="28"/>
              <w:spacing w:after="0" w:line="164" w:lineRule="exact"/>
              <w:rPr>
                <w:sz w:val="20"/>
                <w:szCs w:val="20"/>
                <w:color w:val="auto"/>
              </w:rPr>
            </w:pPr>
            <w:r>
              <w:rPr>
                <w:rFonts w:ascii="Calibri" w:cs="Calibri" w:eastAsia="Calibri" w:hAnsi="Calibri"/>
                <w:sz w:val="14"/>
                <w:szCs w:val="14"/>
                <w:color w:val="auto"/>
                <w:w w:val="83"/>
              </w:rPr>
              <w:t>$</w:t>
            </w:r>
          </w:p>
        </w:tc>
        <w:tc>
          <w:tcPr>
            <w:tcW w:w="1300" w:type="dxa"/>
            <w:vAlign w:val="bottom"/>
            <w:tcBorders>
              <w:bottom w:val="single" w:sz="8" w:color="E7E6E6"/>
              <w:right w:val="single" w:sz="8" w:color="auto"/>
            </w:tcBorders>
            <w:shd w:val="clear" w:color="auto" w:fill="E7E6E6"/>
          </w:tcPr>
          <w:p>
            <w:pPr>
              <w:jc w:val="right"/>
              <w:ind w:right="68"/>
              <w:spacing w:after="0" w:line="164" w:lineRule="exact"/>
              <w:rPr>
                <w:sz w:val="20"/>
                <w:szCs w:val="20"/>
                <w:color w:val="auto"/>
              </w:rPr>
            </w:pPr>
            <w:r>
              <w:rPr>
                <w:rFonts w:ascii="Calibri" w:cs="Calibri" w:eastAsia="Calibri" w:hAnsi="Calibri"/>
                <w:sz w:val="14"/>
                <w:szCs w:val="14"/>
                <w:color w:val="auto"/>
              </w:rPr>
              <w:t>8,555</w:t>
            </w:r>
          </w:p>
        </w:tc>
        <w:tc>
          <w:tcPr>
            <w:tcW w:w="180" w:type="dxa"/>
            <w:vAlign w:val="bottom"/>
            <w:tcBorders>
              <w:bottom w:val="single" w:sz="8" w:color="E7E6E6"/>
            </w:tcBorders>
            <w:shd w:val="clear" w:color="auto" w:fill="E7E6E6"/>
          </w:tcPr>
          <w:p>
            <w:pPr>
              <w:jc w:val="right"/>
              <w:ind w:right="28"/>
              <w:spacing w:after="0" w:line="164" w:lineRule="exact"/>
              <w:rPr>
                <w:sz w:val="20"/>
                <w:szCs w:val="20"/>
                <w:color w:val="auto"/>
              </w:rPr>
            </w:pPr>
            <w:r>
              <w:rPr>
                <w:rFonts w:ascii="Calibri" w:cs="Calibri" w:eastAsia="Calibri" w:hAnsi="Calibri"/>
                <w:sz w:val="14"/>
                <w:szCs w:val="14"/>
                <w:color w:val="auto"/>
                <w:w w:val="83"/>
              </w:rPr>
              <w:t>$</w:t>
            </w:r>
          </w:p>
        </w:tc>
        <w:tc>
          <w:tcPr>
            <w:tcW w:w="1280" w:type="dxa"/>
            <w:vAlign w:val="bottom"/>
            <w:tcBorders>
              <w:bottom w:val="single" w:sz="8" w:color="E7E6E6"/>
              <w:right w:val="single" w:sz="8" w:color="auto"/>
            </w:tcBorders>
            <w:shd w:val="clear" w:color="auto" w:fill="E7E6E6"/>
          </w:tcPr>
          <w:p>
            <w:pPr>
              <w:jc w:val="right"/>
              <w:ind w:right="68"/>
              <w:spacing w:after="0" w:line="164" w:lineRule="exact"/>
              <w:rPr>
                <w:sz w:val="20"/>
                <w:szCs w:val="20"/>
                <w:color w:val="auto"/>
              </w:rPr>
            </w:pPr>
            <w:r>
              <w:rPr>
                <w:rFonts w:ascii="Calibri" w:cs="Calibri" w:eastAsia="Calibri" w:hAnsi="Calibri"/>
                <w:sz w:val="14"/>
                <w:szCs w:val="14"/>
                <w:color w:val="auto"/>
              </w:rPr>
              <w:t>17,109</w:t>
            </w:r>
          </w:p>
        </w:tc>
        <w:tc>
          <w:tcPr>
            <w:tcW w:w="80" w:type="dxa"/>
            <w:vAlign w:val="bottom"/>
            <w:tcBorders>
              <w:bottom w:val="single" w:sz="8" w:color="E7E6E6"/>
            </w:tcBorders>
            <w:shd w:val="clear" w:color="auto" w:fill="E7E6E6"/>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1360" w:type="dxa"/>
            <w:vAlign w:val="bottom"/>
            <w:tcBorders>
              <w:bottom w:val="single" w:sz="8" w:color="E7E6E6"/>
              <w:right w:val="single" w:sz="8" w:color="auto"/>
            </w:tcBorders>
            <w:shd w:val="clear" w:color="auto" w:fill="E7E6E6"/>
          </w:tcPr>
          <w:p>
            <w:pPr>
              <w:jc w:val="right"/>
              <w:ind w:right="68"/>
              <w:spacing w:after="0" w:line="164" w:lineRule="exact"/>
              <w:rPr>
                <w:sz w:val="20"/>
                <w:szCs w:val="20"/>
                <w:color w:val="auto"/>
              </w:rPr>
            </w:pPr>
            <w:r>
              <w:rPr>
                <w:rFonts w:ascii="Calibri" w:cs="Calibri" w:eastAsia="Calibri" w:hAnsi="Calibri"/>
                <w:sz w:val="14"/>
                <w:szCs w:val="14"/>
                <w:color w:val="auto"/>
              </w:rPr>
              <w:t>144,723</w:t>
            </w:r>
          </w:p>
        </w:tc>
        <w:tc>
          <w:tcPr>
            <w:tcW w:w="180" w:type="dxa"/>
            <w:vAlign w:val="bottom"/>
            <w:tcBorders>
              <w:bottom w:val="single" w:sz="8" w:color="E7E6E6"/>
            </w:tcBorders>
            <w:shd w:val="clear" w:color="auto" w:fill="E7E6E6"/>
          </w:tcPr>
          <w:p>
            <w:pPr>
              <w:jc w:val="right"/>
              <w:ind w:right="28"/>
              <w:spacing w:after="0" w:line="164" w:lineRule="exact"/>
              <w:rPr>
                <w:sz w:val="20"/>
                <w:szCs w:val="20"/>
                <w:color w:val="auto"/>
              </w:rPr>
            </w:pPr>
            <w:r>
              <w:rPr>
                <w:rFonts w:ascii="Calibri" w:cs="Calibri" w:eastAsia="Calibri" w:hAnsi="Calibri"/>
                <w:sz w:val="14"/>
                <w:szCs w:val="14"/>
                <w:color w:val="auto"/>
                <w:w w:val="83"/>
              </w:rPr>
              <w:t>$</w:t>
            </w:r>
          </w:p>
        </w:tc>
        <w:tc>
          <w:tcPr>
            <w:tcW w:w="1260" w:type="dxa"/>
            <w:vAlign w:val="bottom"/>
            <w:tcBorders>
              <w:bottom w:val="single" w:sz="8" w:color="E7E6E6"/>
              <w:right w:val="single" w:sz="8" w:color="auto"/>
            </w:tcBorders>
            <w:shd w:val="clear" w:color="auto" w:fill="E7E6E6"/>
          </w:tcPr>
          <w:p>
            <w:pPr>
              <w:ind w:left="1000"/>
              <w:spacing w:after="0" w:line="164" w:lineRule="exact"/>
              <w:rPr>
                <w:sz w:val="20"/>
                <w:szCs w:val="20"/>
                <w:color w:val="auto"/>
              </w:rPr>
            </w:pPr>
            <w:r>
              <w:rPr>
                <w:rFonts w:ascii="Calibri" w:cs="Calibri" w:eastAsia="Calibri" w:hAnsi="Calibri"/>
                <w:sz w:val="14"/>
                <w:szCs w:val="14"/>
                <w:color w:val="auto"/>
              </w:rPr>
              <w:t>—</w:t>
            </w:r>
          </w:p>
        </w:tc>
        <w:tc>
          <w:tcPr>
            <w:tcW w:w="220" w:type="dxa"/>
            <w:vAlign w:val="bottom"/>
            <w:tcBorders>
              <w:bottom w:val="single" w:sz="8" w:color="E7E6E6"/>
            </w:tcBorders>
            <w:shd w:val="clear" w:color="auto" w:fill="E7E6E6"/>
          </w:tcPr>
          <w:p>
            <w:pPr>
              <w:jc w:val="right"/>
              <w:ind w:right="68"/>
              <w:spacing w:after="0" w:line="164" w:lineRule="exact"/>
              <w:rPr>
                <w:sz w:val="20"/>
                <w:szCs w:val="20"/>
                <w:color w:val="auto"/>
              </w:rPr>
            </w:pPr>
            <w:r>
              <w:rPr>
                <w:rFonts w:ascii="Calibri" w:cs="Calibri" w:eastAsia="Calibri" w:hAnsi="Calibri"/>
                <w:sz w:val="14"/>
                <w:szCs w:val="14"/>
                <w:color w:val="auto"/>
                <w:w w:val="83"/>
              </w:rPr>
              <w:t>$</w:t>
            </w:r>
          </w:p>
        </w:tc>
        <w:tc>
          <w:tcPr>
            <w:tcW w:w="1220" w:type="dxa"/>
            <w:vAlign w:val="bottom"/>
            <w:tcBorders>
              <w:bottom w:val="single" w:sz="8" w:color="E7E6E6"/>
              <w:right w:val="single" w:sz="8" w:color="auto"/>
            </w:tcBorders>
            <w:shd w:val="clear" w:color="auto" w:fill="E7E6E6"/>
          </w:tcPr>
          <w:p>
            <w:pPr>
              <w:jc w:val="right"/>
              <w:ind w:right="48"/>
              <w:spacing w:after="0" w:line="164" w:lineRule="exact"/>
              <w:rPr>
                <w:sz w:val="20"/>
                <w:szCs w:val="20"/>
                <w:color w:val="auto"/>
              </w:rPr>
            </w:pPr>
            <w:r>
              <w:rPr>
                <w:rFonts w:ascii="Calibri" w:cs="Calibri" w:eastAsia="Calibri" w:hAnsi="Calibri"/>
                <w:sz w:val="14"/>
                <w:szCs w:val="14"/>
                <w:color w:val="auto"/>
              </w:rPr>
              <w:t>1,838,721</w:t>
            </w:r>
          </w:p>
        </w:tc>
      </w:tr>
      <w:tr>
        <w:trPr>
          <w:trHeight w:val="20"/>
        </w:trPr>
        <w:tc>
          <w:tcPr>
            <w:tcW w:w="39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tcBorders>
              <w:right w:val="single" w:sz="8" w:color="auto"/>
            </w:tcBorders>
            <w:shd w:val="clear" w:color="auto" w:fill="000000"/>
          </w:tcPr>
          <w:p>
            <w:pPr>
              <w:spacing w:after="0" w:line="20" w:lineRule="exact"/>
              <w:rPr>
                <w:sz w:val="1"/>
                <w:szCs w:val="1"/>
                <w:color w:val="auto"/>
              </w:rPr>
            </w:pPr>
          </w:p>
        </w:tc>
      </w:tr>
    </w:tbl>
    <w:p>
      <w:pPr>
        <w:jc w:val="both"/>
        <w:ind w:left="380" w:hanging="372"/>
        <w:spacing w:after="0" w:line="227" w:lineRule="auto"/>
        <w:tabs>
          <w:tab w:leader="none" w:pos="380" w:val="left"/>
        </w:tabs>
        <w:numPr>
          <w:ilvl w:val="0"/>
          <w:numId w:val="51"/>
        </w:numPr>
        <w:rPr>
          <w:rFonts w:ascii="Calibri" w:cs="Calibri" w:eastAsia="Calibri" w:hAnsi="Calibri"/>
          <w:sz w:val="18"/>
          <w:szCs w:val="18"/>
          <w:color w:val="auto"/>
        </w:rPr>
      </w:pPr>
      <w:r>
        <w:rPr>
          <w:rFonts w:ascii="Calibri" w:cs="Calibri" w:eastAsia="Calibri" w:hAnsi="Calibri"/>
          <w:sz w:val="18"/>
          <w:szCs w:val="18"/>
          <w:color w:val="auto"/>
        </w:rPr>
        <w:t>All executve and registrant contributons in the last fscal year are reported as compensaton to such executve ofcer in the Summary Compensaton Table on page 43. The specifc aggregate amounts reported for each of such ofcers is: S. Trauschke, $584,240; B. Buckler, $176,872; W. Sultemeier, $63,144; D. Jones, $0 and C. McQuiston, $25,664.</w:t>
      </w:r>
    </w:p>
    <w:p>
      <w:pPr>
        <w:spacing w:after="0" w:line="2" w:lineRule="exact"/>
        <w:rPr>
          <w:rFonts w:ascii="Calibri" w:cs="Calibri" w:eastAsia="Calibri" w:hAnsi="Calibri"/>
          <w:sz w:val="18"/>
          <w:szCs w:val="18"/>
          <w:color w:val="auto"/>
        </w:rPr>
      </w:pPr>
    </w:p>
    <w:p>
      <w:pPr>
        <w:jc w:val="both"/>
        <w:ind w:left="380" w:hanging="372"/>
        <w:spacing w:after="0" w:line="235" w:lineRule="auto"/>
        <w:tabs>
          <w:tab w:leader="none" w:pos="380" w:val="left"/>
        </w:tabs>
        <w:numPr>
          <w:ilvl w:val="0"/>
          <w:numId w:val="51"/>
        </w:numPr>
        <w:rPr>
          <w:rFonts w:ascii="Calibri" w:cs="Calibri" w:eastAsia="Calibri" w:hAnsi="Calibri"/>
          <w:sz w:val="18"/>
          <w:szCs w:val="18"/>
          <w:color w:val="auto"/>
        </w:rPr>
      </w:pPr>
      <w:r>
        <w:rPr>
          <w:rFonts w:ascii="Calibri" w:cs="Calibri" w:eastAsia="Calibri" w:hAnsi="Calibri"/>
          <w:sz w:val="18"/>
          <w:szCs w:val="18"/>
          <w:color w:val="auto"/>
        </w:rPr>
        <w:t>Refects the following amounts for each of the following executve ofcers that were reported as compensaton to such executve ofcer in prior Summary Compensaton Tables: S. Trauschke, $5,075,043; B. Buckler, $62,100; W. Sultemeier, $318,666; D. Jones, $556,811 and C. McQuiston, $1,668,334.</w:t>
      </w:r>
    </w:p>
    <w:p>
      <w:pPr>
        <w:spacing w:after="0" w:line="232"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The Company provides a nonqualifed deferred compensaton plan which is intended to be an unfunded plan. The plan's primary purpose is to provide a tax-deferred capital accumulaton vehicle for a select group of management, highly compensated employees and non-employee members of the Board of Directors of the Company and to supplement such employees' 401(k) Plan contributons as well as ofering this plan to be compettve in the marketplace. Eligible employees who enroll in the plan have the following deferral optons: (i) eligible employees may elect to defer up to a maximum of 70 percent of base salary and 100 percent of annual incentve awards; or (ii) eligible employees may elect a deferral percentage of base</w:t>
      </w:r>
    </w:p>
    <w:p>
      <w:pPr>
        <w:spacing w:after="0" w:line="350" w:lineRule="exact"/>
        <w:rPr>
          <w:sz w:val="20"/>
          <w:szCs w:val="20"/>
          <w:color w:val="auto"/>
        </w:rPr>
      </w:pPr>
    </w:p>
    <w:p>
      <w:pPr>
        <w:spacing w:after="0"/>
        <w:tabs>
          <w:tab w:leader="none" w:pos="660" w:val="left"/>
        </w:tabs>
        <w:rPr>
          <w:sz w:val="20"/>
          <w:szCs w:val="20"/>
          <w:color w:val="auto"/>
        </w:rPr>
      </w:pPr>
      <w:r>
        <w:rPr>
          <w:rFonts w:ascii="Calibri" w:cs="Calibri" w:eastAsia="Calibri" w:hAnsi="Calibri"/>
          <w:sz w:val="18"/>
          <w:szCs w:val="18"/>
          <w:color w:val="auto"/>
        </w:rPr>
        <w:t>47</w:t>
      </w:r>
      <w:r>
        <w:rPr>
          <w:sz w:val="20"/>
          <w:szCs w:val="20"/>
          <w:color w:val="auto"/>
        </w:rPr>
        <w:tab/>
      </w:r>
      <w:r>
        <w:rPr>
          <w:rFonts w:ascii="Calibri" w:cs="Calibri" w:eastAsia="Calibri" w:hAnsi="Calibri"/>
          <w:sz w:val="18"/>
          <w:szCs w:val="18"/>
          <w:b w:val="1"/>
          <w:bCs w:val="1"/>
          <w:color w:val="EE2724"/>
        </w:rPr>
        <w:t xml:space="preserve">OGE Energy Corp. </w:t>
      </w:r>
      <w:r>
        <w:rPr>
          <w:rFonts w:ascii="Calibri" w:cs="Calibri" w:eastAsia="Calibri" w:hAnsi="Calibri"/>
          <w:sz w:val="18"/>
          <w:szCs w:val="18"/>
          <w:color w:val="00000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53" w:name="page54"/>
    <w:bookmarkEnd w:id="53"/>
    <w:p>
      <w:pPr>
        <w:jc w:val="both"/>
        <w:spacing w:after="0" w:line="235" w:lineRule="auto"/>
        <w:rPr>
          <w:sz w:val="20"/>
          <w:szCs w:val="20"/>
          <w:color w:val="auto"/>
        </w:rPr>
      </w:pPr>
      <w:r>
        <w:rPr>
          <w:rFonts w:ascii="Calibri" w:cs="Calibri" w:eastAsia="Calibri" w:hAnsi="Calibri"/>
          <w:sz w:val="18"/>
          <w:szCs w:val="18"/>
          <w:color w:val="auto"/>
        </w:rPr>
        <w:t>salary and annual incentve awards based on the deferral percentage elected for a year under the 401(k) Plan with such deferrals to start when maximum deferrals to the qualifed 401(k) Plan have been made because of limitatons in that plan. Eligible directors may also elect to defer up to a maximum of 100 percent of directors' annual cash retainer.</w:t>
      </w:r>
    </w:p>
    <w:p>
      <w:pPr>
        <w:spacing w:after="0" w:line="178"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The Company matches employee (but not non-employee director) deferrals to make up for any match lost in the 401(k) Plan because of deferrals to the deferred compensaton plan and to allow for a match that would have been made under the 401(k) Plan on that porton of either the frst six percent of total compensaton or the frst fve percent of total compensaton, as applicable, depending on prior partcipant electons, deferred that exceeds the limits allowed in the 401(k) Plan. Matching credits vest based on years of service, with full vestng afer three years or, if earlier, on retrement, disability, death, a change in control of the Company or terminaton of the plan.</w:t>
      </w:r>
    </w:p>
    <w:p>
      <w:pPr>
        <w:spacing w:after="0" w:line="180"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Deferrals, plus any Company match, are credited to a recordkeeping account in the partcipant's name. Earnings on the deferrals are indexed to the assumed investment funds selected by the partcipant. In 2023, those investment optons (and investment returns) included:</w:t>
      </w:r>
    </w:p>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9000" w:type="dxa"/>
            <w:vAlign w:val="bottom"/>
            <w:tcBorders>
              <w:top w:val="single" w:sz="8" w:color="auto"/>
              <w:left w:val="single" w:sz="8" w:color="auto"/>
              <w:right w:val="single" w:sz="8" w:color="auto"/>
            </w:tcBorders>
          </w:tcPr>
          <w:p>
            <w:pPr>
              <w:ind w:left="120"/>
              <w:spacing w:after="0"/>
              <w:rPr>
                <w:sz w:val="20"/>
                <w:szCs w:val="20"/>
                <w:color w:val="auto"/>
              </w:rPr>
            </w:pPr>
            <w:r>
              <w:rPr>
                <w:rFonts w:ascii="Calibri" w:cs="Calibri" w:eastAsia="Calibri" w:hAnsi="Calibri"/>
                <w:sz w:val="18"/>
                <w:szCs w:val="18"/>
                <w:color w:val="auto"/>
              </w:rPr>
              <w:t>Investment Fund Opton</w:t>
            </w:r>
          </w:p>
        </w:tc>
        <w:tc>
          <w:tcPr>
            <w:tcW w:w="2240" w:type="dxa"/>
            <w:vAlign w:val="bottom"/>
            <w:tcBorders>
              <w:top w:val="single" w:sz="8" w:color="auto"/>
              <w:right w:val="single" w:sz="8" w:color="auto"/>
            </w:tcBorders>
          </w:tcPr>
          <w:p>
            <w:pPr>
              <w:jc w:val="right"/>
              <w:ind w:right="390"/>
              <w:spacing w:after="0"/>
              <w:rPr>
                <w:sz w:val="20"/>
                <w:szCs w:val="20"/>
                <w:color w:val="auto"/>
              </w:rPr>
            </w:pPr>
            <w:r>
              <w:rPr>
                <w:rFonts w:ascii="Calibri" w:cs="Calibri" w:eastAsia="Calibri" w:hAnsi="Calibri"/>
                <w:sz w:val="18"/>
                <w:szCs w:val="18"/>
                <w:color w:val="auto"/>
              </w:rPr>
              <w:t>Investment Return</w:t>
            </w:r>
          </w:p>
        </w:tc>
      </w:tr>
      <w:tr>
        <w:trPr>
          <w:trHeight w:val="61"/>
        </w:trPr>
        <w:tc>
          <w:tcPr>
            <w:tcW w:w="9000" w:type="dxa"/>
            <w:vAlign w:val="bottom"/>
            <w:tcBorders>
              <w:left w:val="single" w:sz="8" w:color="auto"/>
              <w:bottom w:val="single" w:sz="8" w:color="auto"/>
              <w:right w:val="single" w:sz="8" w:color="auto"/>
            </w:tcBorders>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r>
      <w:tr>
        <w:trPr>
          <w:trHeight w:val="257"/>
        </w:trPr>
        <w:tc>
          <w:tcPr>
            <w:tcW w:w="9000" w:type="dxa"/>
            <w:vAlign w:val="bottom"/>
            <w:tcBorders>
              <w:left w:val="single" w:sz="8" w:color="auto"/>
              <w:right w:val="single" w:sz="8" w:color="auto"/>
            </w:tcBorders>
            <w:shd w:val="clear" w:color="auto" w:fill="DBDBDB"/>
          </w:tcPr>
          <w:p>
            <w:pPr>
              <w:ind w:left="380"/>
              <w:spacing w:after="0"/>
              <w:rPr>
                <w:sz w:val="20"/>
                <w:szCs w:val="20"/>
                <w:color w:val="auto"/>
              </w:rPr>
            </w:pPr>
            <w:r>
              <w:rPr>
                <w:rFonts w:ascii="Calibri" w:cs="Calibri" w:eastAsia="Calibri" w:hAnsi="Calibri"/>
                <w:sz w:val="18"/>
                <w:szCs w:val="18"/>
                <w:color w:val="auto"/>
              </w:rPr>
              <w:t>Company Common Stock Fund</w:t>
            </w:r>
          </w:p>
        </w:tc>
        <w:tc>
          <w:tcPr>
            <w:tcW w:w="2240" w:type="dxa"/>
            <w:vAlign w:val="bottom"/>
            <w:tcBorders>
              <w:right w:val="single" w:sz="8" w:color="auto"/>
            </w:tcBorders>
            <w:shd w:val="clear" w:color="auto" w:fill="DBDBDB"/>
          </w:tcPr>
          <w:p>
            <w:pPr>
              <w:jc w:val="right"/>
              <w:ind w:right="30"/>
              <w:spacing w:after="0"/>
              <w:rPr>
                <w:sz w:val="20"/>
                <w:szCs w:val="20"/>
                <w:color w:val="auto"/>
              </w:rPr>
            </w:pPr>
            <w:r>
              <w:rPr>
                <w:rFonts w:ascii="Calibri" w:cs="Calibri" w:eastAsia="Calibri" w:hAnsi="Calibri"/>
                <w:sz w:val="18"/>
                <w:szCs w:val="18"/>
                <w:color w:val="auto"/>
              </w:rPr>
              <w:t>(7.57%)</w:t>
            </w:r>
          </w:p>
        </w:tc>
      </w:tr>
      <w:tr>
        <w:trPr>
          <w:trHeight w:val="64"/>
        </w:trPr>
        <w:tc>
          <w:tcPr>
            <w:tcW w:w="9000" w:type="dxa"/>
            <w:vAlign w:val="bottom"/>
            <w:tcBorders>
              <w:left w:val="single" w:sz="8" w:color="auto"/>
              <w:right w:val="single" w:sz="8" w:color="auto"/>
            </w:tcBorders>
            <w:shd w:val="clear" w:color="auto" w:fill="DBDBDB"/>
          </w:tcPr>
          <w:p>
            <w:pPr>
              <w:spacing w:after="0"/>
              <w:rPr>
                <w:sz w:val="5"/>
                <w:szCs w:val="5"/>
                <w:color w:val="auto"/>
              </w:rPr>
            </w:pPr>
          </w:p>
        </w:tc>
        <w:tc>
          <w:tcPr>
            <w:tcW w:w="2240" w:type="dxa"/>
            <w:vAlign w:val="bottom"/>
            <w:tcBorders>
              <w:right w:val="single" w:sz="8" w:color="auto"/>
            </w:tcBorders>
            <w:shd w:val="clear" w:color="auto" w:fill="DBDBDB"/>
          </w:tcPr>
          <w:p>
            <w:pPr>
              <w:spacing w:after="0"/>
              <w:rPr>
                <w:sz w:val="5"/>
                <w:szCs w:val="5"/>
                <w:color w:val="auto"/>
              </w:rPr>
            </w:pPr>
          </w:p>
        </w:tc>
      </w:tr>
      <w:tr>
        <w:trPr>
          <w:trHeight w:val="273"/>
        </w:trPr>
        <w:tc>
          <w:tcPr>
            <w:tcW w:w="9000" w:type="dxa"/>
            <w:vAlign w:val="bottom"/>
            <w:tcBorders>
              <w:left w:val="single" w:sz="8" w:color="auto"/>
              <w:right w:val="single" w:sz="8" w:color="auto"/>
            </w:tcBorders>
          </w:tcPr>
          <w:p>
            <w:pPr>
              <w:ind w:left="380"/>
              <w:spacing w:after="0"/>
              <w:rPr>
                <w:sz w:val="20"/>
                <w:szCs w:val="20"/>
                <w:color w:val="auto"/>
              </w:rPr>
            </w:pPr>
            <w:r>
              <w:rPr>
                <w:rFonts w:ascii="Calibri" w:cs="Calibri" w:eastAsia="Calibri" w:hAnsi="Calibri"/>
                <w:sz w:val="18"/>
                <w:szCs w:val="18"/>
                <w:color w:val="auto"/>
              </w:rPr>
              <w:t>VIF Money Market (Goldman Sachs)</w:t>
            </w:r>
          </w:p>
        </w:tc>
        <w:tc>
          <w:tcPr>
            <w:tcW w:w="2240" w:type="dxa"/>
            <w:vAlign w:val="bottom"/>
            <w:tcBorders>
              <w:right w:val="single" w:sz="8" w:color="auto"/>
            </w:tcBorders>
          </w:tcPr>
          <w:p>
            <w:pPr>
              <w:jc w:val="right"/>
              <w:ind w:right="30"/>
              <w:spacing w:after="0"/>
              <w:rPr>
                <w:sz w:val="20"/>
                <w:szCs w:val="20"/>
                <w:color w:val="auto"/>
              </w:rPr>
            </w:pPr>
            <w:r>
              <w:rPr>
                <w:rFonts w:ascii="Calibri" w:cs="Calibri" w:eastAsia="Calibri" w:hAnsi="Calibri"/>
                <w:sz w:val="18"/>
                <w:szCs w:val="18"/>
                <w:color w:val="auto"/>
              </w:rPr>
              <w:t>5.05%</w:t>
            </w:r>
          </w:p>
        </w:tc>
      </w:tr>
      <w:tr>
        <w:trPr>
          <w:trHeight w:val="64"/>
        </w:trPr>
        <w:tc>
          <w:tcPr>
            <w:tcW w:w="9000" w:type="dxa"/>
            <w:vAlign w:val="bottom"/>
            <w:tcBorders>
              <w:left w:val="single" w:sz="8" w:color="auto"/>
              <w:right w:val="single" w:sz="8" w:color="auto"/>
            </w:tcBorders>
          </w:tcPr>
          <w:p>
            <w:pPr>
              <w:spacing w:after="0"/>
              <w:rPr>
                <w:sz w:val="5"/>
                <w:szCs w:val="5"/>
                <w:color w:val="auto"/>
              </w:rPr>
            </w:pPr>
          </w:p>
        </w:tc>
        <w:tc>
          <w:tcPr>
            <w:tcW w:w="2240" w:type="dxa"/>
            <w:vAlign w:val="bottom"/>
            <w:tcBorders>
              <w:right w:val="single" w:sz="8" w:color="auto"/>
            </w:tcBorders>
          </w:tcPr>
          <w:p>
            <w:pPr>
              <w:spacing w:after="0"/>
              <w:rPr>
                <w:sz w:val="5"/>
                <w:szCs w:val="5"/>
                <w:color w:val="auto"/>
              </w:rPr>
            </w:pPr>
          </w:p>
        </w:tc>
      </w:tr>
      <w:tr>
        <w:trPr>
          <w:trHeight w:val="273"/>
        </w:trPr>
        <w:tc>
          <w:tcPr>
            <w:tcW w:w="9000" w:type="dxa"/>
            <w:vAlign w:val="bottom"/>
            <w:tcBorders>
              <w:left w:val="single" w:sz="8" w:color="auto"/>
              <w:right w:val="single" w:sz="8" w:color="auto"/>
            </w:tcBorders>
            <w:shd w:val="clear" w:color="auto" w:fill="DBDBDB"/>
          </w:tcPr>
          <w:p>
            <w:pPr>
              <w:ind w:left="380"/>
              <w:spacing w:after="0"/>
              <w:rPr>
                <w:sz w:val="20"/>
                <w:szCs w:val="20"/>
                <w:color w:val="auto"/>
              </w:rPr>
            </w:pPr>
            <w:r>
              <w:rPr>
                <w:rFonts w:ascii="Calibri" w:cs="Calibri" w:eastAsia="Calibri" w:hAnsi="Calibri"/>
                <w:sz w:val="18"/>
                <w:szCs w:val="18"/>
                <w:color w:val="auto"/>
              </w:rPr>
              <w:t>VIT Total Return Admin (PIMCO)</w:t>
            </w:r>
          </w:p>
        </w:tc>
        <w:tc>
          <w:tcPr>
            <w:tcW w:w="2240" w:type="dxa"/>
            <w:vAlign w:val="bottom"/>
            <w:tcBorders>
              <w:right w:val="single" w:sz="8" w:color="auto"/>
            </w:tcBorders>
            <w:shd w:val="clear" w:color="auto" w:fill="DBDBDB"/>
          </w:tcPr>
          <w:p>
            <w:pPr>
              <w:jc w:val="right"/>
              <w:ind w:right="30"/>
              <w:spacing w:after="0"/>
              <w:rPr>
                <w:sz w:val="20"/>
                <w:szCs w:val="20"/>
                <w:color w:val="auto"/>
              </w:rPr>
            </w:pPr>
            <w:r>
              <w:rPr>
                <w:rFonts w:ascii="Calibri" w:cs="Calibri" w:eastAsia="Calibri" w:hAnsi="Calibri"/>
                <w:sz w:val="18"/>
                <w:szCs w:val="18"/>
                <w:color w:val="auto"/>
              </w:rPr>
              <w:t>5.93%</w:t>
            </w:r>
          </w:p>
        </w:tc>
      </w:tr>
      <w:tr>
        <w:trPr>
          <w:trHeight w:val="64"/>
        </w:trPr>
        <w:tc>
          <w:tcPr>
            <w:tcW w:w="9000" w:type="dxa"/>
            <w:vAlign w:val="bottom"/>
            <w:tcBorders>
              <w:left w:val="single" w:sz="8" w:color="auto"/>
              <w:right w:val="single" w:sz="8" w:color="auto"/>
            </w:tcBorders>
            <w:shd w:val="clear" w:color="auto" w:fill="DBDBDB"/>
          </w:tcPr>
          <w:p>
            <w:pPr>
              <w:spacing w:after="0"/>
              <w:rPr>
                <w:sz w:val="5"/>
                <w:szCs w:val="5"/>
                <w:color w:val="auto"/>
              </w:rPr>
            </w:pPr>
          </w:p>
        </w:tc>
        <w:tc>
          <w:tcPr>
            <w:tcW w:w="2240" w:type="dxa"/>
            <w:vAlign w:val="bottom"/>
            <w:tcBorders>
              <w:right w:val="single" w:sz="8" w:color="auto"/>
            </w:tcBorders>
            <w:shd w:val="clear" w:color="auto" w:fill="DBDBDB"/>
          </w:tcPr>
          <w:p>
            <w:pPr>
              <w:spacing w:after="0"/>
              <w:rPr>
                <w:sz w:val="5"/>
                <w:szCs w:val="5"/>
                <w:color w:val="auto"/>
              </w:rPr>
            </w:pPr>
          </w:p>
        </w:tc>
      </w:tr>
      <w:tr>
        <w:trPr>
          <w:trHeight w:val="273"/>
        </w:trPr>
        <w:tc>
          <w:tcPr>
            <w:tcW w:w="9000" w:type="dxa"/>
            <w:vAlign w:val="bottom"/>
            <w:tcBorders>
              <w:left w:val="single" w:sz="8" w:color="auto"/>
              <w:right w:val="single" w:sz="8" w:color="auto"/>
            </w:tcBorders>
          </w:tcPr>
          <w:p>
            <w:pPr>
              <w:ind w:left="380"/>
              <w:spacing w:after="0"/>
              <w:rPr>
                <w:sz w:val="20"/>
                <w:szCs w:val="20"/>
                <w:color w:val="auto"/>
              </w:rPr>
            </w:pPr>
            <w:r>
              <w:rPr>
                <w:rFonts w:ascii="Calibri" w:cs="Calibri" w:eastAsia="Calibri" w:hAnsi="Calibri"/>
                <w:sz w:val="18"/>
                <w:szCs w:val="18"/>
                <w:color w:val="auto"/>
              </w:rPr>
              <w:t>American Century VP</w:t>
            </w:r>
          </w:p>
        </w:tc>
        <w:tc>
          <w:tcPr>
            <w:tcW w:w="2240" w:type="dxa"/>
            <w:vAlign w:val="bottom"/>
            <w:tcBorders>
              <w:right w:val="single" w:sz="8" w:color="auto"/>
            </w:tcBorders>
          </w:tcPr>
          <w:p>
            <w:pPr>
              <w:jc w:val="right"/>
              <w:ind w:right="30"/>
              <w:spacing w:after="0"/>
              <w:rPr>
                <w:sz w:val="20"/>
                <w:szCs w:val="20"/>
                <w:color w:val="auto"/>
              </w:rPr>
            </w:pPr>
            <w:r>
              <w:rPr>
                <w:rFonts w:ascii="Calibri" w:cs="Calibri" w:eastAsia="Calibri" w:hAnsi="Calibri"/>
                <w:sz w:val="18"/>
                <w:szCs w:val="18"/>
                <w:color w:val="auto"/>
              </w:rPr>
              <w:t>3.40%</w:t>
            </w:r>
          </w:p>
        </w:tc>
      </w:tr>
      <w:tr>
        <w:trPr>
          <w:trHeight w:val="64"/>
        </w:trPr>
        <w:tc>
          <w:tcPr>
            <w:tcW w:w="9000" w:type="dxa"/>
            <w:vAlign w:val="bottom"/>
            <w:tcBorders>
              <w:left w:val="single" w:sz="8" w:color="auto"/>
              <w:right w:val="single" w:sz="8" w:color="auto"/>
            </w:tcBorders>
          </w:tcPr>
          <w:p>
            <w:pPr>
              <w:spacing w:after="0"/>
              <w:rPr>
                <w:sz w:val="5"/>
                <w:szCs w:val="5"/>
                <w:color w:val="auto"/>
              </w:rPr>
            </w:pPr>
          </w:p>
        </w:tc>
        <w:tc>
          <w:tcPr>
            <w:tcW w:w="2240" w:type="dxa"/>
            <w:vAlign w:val="bottom"/>
            <w:tcBorders>
              <w:right w:val="single" w:sz="8" w:color="auto"/>
            </w:tcBorders>
          </w:tcPr>
          <w:p>
            <w:pPr>
              <w:spacing w:after="0"/>
              <w:rPr>
                <w:sz w:val="5"/>
                <w:szCs w:val="5"/>
                <w:color w:val="auto"/>
              </w:rPr>
            </w:pPr>
          </w:p>
        </w:tc>
      </w:tr>
      <w:tr>
        <w:trPr>
          <w:trHeight w:val="273"/>
        </w:trPr>
        <w:tc>
          <w:tcPr>
            <w:tcW w:w="9000" w:type="dxa"/>
            <w:vAlign w:val="bottom"/>
            <w:tcBorders>
              <w:left w:val="single" w:sz="8" w:color="auto"/>
              <w:right w:val="single" w:sz="8" w:color="auto"/>
            </w:tcBorders>
            <w:shd w:val="clear" w:color="auto" w:fill="DBDBDB"/>
          </w:tcPr>
          <w:p>
            <w:pPr>
              <w:ind w:left="380"/>
              <w:spacing w:after="0"/>
              <w:rPr>
                <w:sz w:val="20"/>
                <w:szCs w:val="20"/>
                <w:color w:val="auto"/>
              </w:rPr>
            </w:pPr>
            <w:r>
              <w:rPr>
                <w:rFonts w:ascii="Calibri" w:cs="Calibri" w:eastAsia="Calibri" w:hAnsi="Calibri"/>
                <w:sz w:val="18"/>
                <w:szCs w:val="18"/>
                <w:color w:val="auto"/>
              </w:rPr>
              <w:t>VIT Value Svc (MFS)</w:t>
            </w:r>
          </w:p>
        </w:tc>
        <w:tc>
          <w:tcPr>
            <w:tcW w:w="2240" w:type="dxa"/>
            <w:vAlign w:val="bottom"/>
            <w:tcBorders>
              <w:right w:val="single" w:sz="8" w:color="auto"/>
            </w:tcBorders>
            <w:shd w:val="clear" w:color="auto" w:fill="DBDBDB"/>
          </w:tcPr>
          <w:p>
            <w:pPr>
              <w:jc w:val="right"/>
              <w:ind w:right="30"/>
              <w:spacing w:after="0"/>
              <w:rPr>
                <w:sz w:val="20"/>
                <w:szCs w:val="20"/>
                <w:color w:val="auto"/>
              </w:rPr>
            </w:pPr>
            <w:r>
              <w:rPr>
                <w:rFonts w:ascii="Calibri" w:cs="Calibri" w:eastAsia="Calibri" w:hAnsi="Calibri"/>
                <w:sz w:val="18"/>
                <w:szCs w:val="18"/>
                <w:color w:val="auto"/>
              </w:rPr>
              <w:t>7.63%</w:t>
            </w:r>
          </w:p>
        </w:tc>
      </w:tr>
      <w:tr>
        <w:trPr>
          <w:trHeight w:val="64"/>
        </w:trPr>
        <w:tc>
          <w:tcPr>
            <w:tcW w:w="9000" w:type="dxa"/>
            <w:vAlign w:val="bottom"/>
            <w:tcBorders>
              <w:left w:val="single" w:sz="8" w:color="auto"/>
              <w:right w:val="single" w:sz="8" w:color="auto"/>
            </w:tcBorders>
            <w:shd w:val="clear" w:color="auto" w:fill="DBDBDB"/>
          </w:tcPr>
          <w:p>
            <w:pPr>
              <w:spacing w:after="0"/>
              <w:rPr>
                <w:sz w:val="5"/>
                <w:szCs w:val="5"/>
                <w:color w:val="auto"/>
              </w:rPr>
            </w:pPr>
          </w:p>
        </w:tc>
        <w:tc>
          <w:tcPr>
            <w:tcW w:w="2240" w:type="dxa"/>
            <w:vAlign w:val="bottom"/>
            <w:tcBorders>
              <w:right w:val="single" w:sz="8" w:color="auto"/>
            </w:tcBorders>
            <w:shd w:val="clear" w:color="auto" w:fill="DBDBDB"/>
          </w:tcPr>
          <w:p>
            <w:pPr>
              <w:spacing w:after="0"/>
              <w:rPr>
                <w:sz w:val="5"/>
                <w:szCs w:val="5"/>
                <w:color w:val="auto"/>
              </w:rPr>
            </w:pPr>
          </w:p>
        </w:tc>
      </w:tr>
      <w:tr>
        <w:trPr>
          <w:trHeight w:val="273"/>
        </w:trPr>
        <w:tc>
          <w:tcPr>
            <w:tcW w:w="9000" w:type="dxa"/>
            <w:vAlign w:val="bottom"/>
            <w:tcBorders>
              <w:left w:val="single" w:sz="8" w:color="auto"/>
              <w:right w:val="single" w:sz="8" w:color="auto"/>
            </w:tcBorders>
          </w:tcPr>
          <w:p>
            <w:pPr>
              <w:ind w:left="380"/>
              <w:spacing w:after="0"/>
              <w:rPr>
                <w:sz w:val="20"/>
                <w:szCs w:val="20"/>
                <w:color w:val="auto"/>
              </w:rPr>
            </w:pPr>
            <w:r>
              <w:rPr>
                <w:rFonts w:ascii="Calibri" w:cs="Calibri" w:eastAsia="Calibri" w:hAnsi="Calibri"/>
                <w:sz w:val="18"/>
                <w:szCs w:val="18"/>
                <w:color w:val="auto"/>
              </w:rPr>
              <w:t>Stock Index Inital (BNY Mellon)</w:t>
            </w:r>
          </w:p>
        </w:tc>
        <w:tc>
          <w:tcPr>
            <w:tcW w:w="2240" w:type="dxa"/>
            <w:vAlign w:val="bottom"/>
            <w:tcBorders>
              <w:right w:val="single" w:sz="8" w:color="auto"/>
            </w:tcBorders>
          </w:tcPr>
          <w:p>
            <w:pPr>
              <w:jc w:val="right"/>
              <w:ind w:right="30"/>
              <w:spacing w:after="0"/>
              <w:rPr>
                <w:sz w:val="20"/>
                <w:szCs w:val="20"/>
                <w:color w:val="auto"/>
              </w:rPr>
            </w:pPr>
            <w:r>
              <w:rPr>
                <w:rFonts w:ascii="Calibri" w:cs="Calibri" w:eastAsia="Calibri" w:hAnsi="Calibri"/>
                <w:sz w:val="18"/>
                <w:szCs w:val="18"/>
                <w:color w:val="auto"/>
              </w:rPr>
              <w:t>25.93%</w:t>
            </w:r>
          </w:p>
        </w:tc>
      </w:tr>
      <w:tr>
        <w:trPr>
          <w:trHeight w:val="64"/>
        </w:trPr>
        <w:tc>
          <w:tcPr>
            <w:tcW w:w="9000" w:type="dxa"/>
            <w:vAlign w:val="bottom"/>
            <w:tcBorders>
              <w:left w:val="single" w:sz="8" w:color="auto"/>
              <w:right w:val="single" w:sz="8" w:color="auto"/>
            </w:tcBorders>
          </w:tcPr>
          <w:p>
            <w:pPr>
              <w:spacing w:after="0"/>
              <w:rPr>
                <w:sz w:val="5"/>
                <w:szCs w:val="5"/>
                <w:color w:val="auto"/>
              </w:rPr>
            </w:pPr>
          </w:p>
        </w:tc>
        <w:tc>
          <w:tcPr>
            <w:tcW w:w="2240" w:type="dxa"/>
            <w:vAlign w:val="bottom"/>
            <w:tcBorders>
              <w:right w:val="single" w:sz="8" w:color="auto"/>
            </w:tcBorders>
          </w:tcPr>
          <w:p>
            <w:pPr>
              <w:spacing w:after="0"/>
              <w:rPr>
                <w:sz w:val="5"/>
                <w:szCs w:val="5"/>
                <w:color w:val="auto"/>
              </w:rPr>
            </w:pPr>
          </w:p>
        </w:tc>
      </w:tr>
      <w:tr>
        <w:trPr>
          <w:trHeight w:val="273"/>
        </w:trPr>
        <w:tc>
          <w:tcPr>
            <w:tcW w:w="9000" w:type="dxa"/>
            <w:vAlign w:val="bottom"/>
            <w:tcBorders>
              <w:left w:val="single" w:sz="8" w:color="auto"/>
              <w:right w:val="single" w:sz="8" w:color="auto"/>
            </w:tcBorders>
            <w:shd w:val="clear" w:color="auto" w:fill="DBDBDB"/>
          </w:tcPr>
          <w:p>
            <w:pPr>
              <w:ind w:left="380"/>
              <w:spacing w:after="0"/>
              <w:rPr>
                <w:sz w:val="20"/>
                <w:szCs w:val="20"/>
                <w:color w:val="auto"/>
              </w:rPr>
            </w:pPr>
            <w:r>
              <w:rPr>
                <w:rFonts w:ascii="Calibri" w:cs="Calibri" w:eastAsia="Calibri" w:hAnsi="Calibri"/>
                <w:sz w:val="18"/>
                <w:szCs w:val="18"/>
                <w:color w:val="auto"/>
              </w:rPr>
              <w:t>IS Growth 2 (American Funds)</w:t>
            </w:r>
          </w:p>
        </w:tc>
        <w:tc>
          <w:tcPr>
            <w:tcW w:w="2240" w:type="dxa"/>
            <w:vAlign w:val="bottom"/>
            <w:tcBorders>
              <w:right w:val="single" w:sz="8" w:color="auto"/>
            </w:tcBorders>
            <w:shd w:val="clear" w:color="auto" w:fill="DBDBDB"/>
          </w:tcPr>
          <w:p>
            <w:pPr>
              <w:jc w:val="right"/>
              <w:ind w:right="30"/>
              <w:spacing w:after="0"/>
              <w:rPr>
                <w:sz w:val="20"/>
                <w:szCs w:val="20"/>
                <w:color w:val="auto"/>
              </w:rPr>
            </w:pPr>
            <w:r>
              <w:rPr>
                <w:rFonts w:ascii="Calibri" w:cs="Calibri" w:eastAsia="Calibri" w:hAnsi="Calibri"/>
                <w:sz w:val="18"/>
                <w:szCs w:val="18"/>
                <w:color w:val="auto"/>
              </w:rPr>
              <w:t>38.48%</w:t>
            </w:r>
          </w:p>
        </w:tc>
      </w:tr>
      <w:tr>
        <w:trPr>
          <w:trHeight w:val="64"/>
        </w:trPr>
        <w:tc>
          <w:tcPr>
            <w:tcW w:w="9000" w:type="dxa"/>
            <w:vAlign w:val="bottom"/>
            <w:tcBorders>
              <w:left w:val="single" w:sz="8" w:color="auto"/>
              <w:right w:val="single" w:sz="8" w:color="auto"/>
            </w:tcBorders>
            <w:shd w:val="clear" w:color="auto" w:fill="DBDBDB"/>
          </w:tcPr>
          <w:p>
            <w:pPr>
              <w:spacing w:after="0"/>
              <w:rPr>
                <w:sz w:val="5"/>
                <w:szCs w:val="5"/>
                <w:color w:val="auto"/>
              </w:rPr>
            </w:pPr>
          </w:p>
        </w:tc>
        <w:tc>
          <w:tcPr>
            <w:tcW w:w="2240" w:type="dxa"/>
            <w:vAlign w:val="bottom"/>
            <w:tcBorders>
              <w:right w:val="single" w:sz="8" w:color="auto"/>
            </w:tcBorders>
            <w:shd w:val="clear" w:color="auto" w:fill="DBDBDB"/>
          </w:tcPr>
          <w:p>
            <w:pPr>
              <w:spacing w:after="0"/>
              <w:rPr>
                <w:sz w:val="5"/>
                <w:szCs w:val="5"/>
                <w:color w:val="auto"/>
              </w:rPr>
            </w:pPr>
          </w:p>
        </w:tc>
      </w:tr>
      <w:tr>
        <w:trPr>
          <w:trHeight w:val="273"/>
        </w:trPr>
        <w:tc>
          <w:tcPr>
            <w:tcW w:w="9000" w:type="dxa"/>
            <w:vAlign w:val="bottom"/>
            <w:tcBorders>
              <w:left w:val="single" w:sz="8" w:color="auto"/>
              <w:right w:val="single" w:sz="8" w:color="auto"/>
            </w:tcBorders>
          </w:tcPr>
          <w:p>
            <w:pPr>
              <w:ind w:left="380"/>
              <w:spacing w:after="0"/>
              <w:rPr>
                <w:sz w:val="20"/>
                <w:szCs w:val="20"/>
                <w:color w:val="auto"/>
              </w:rPr>
            </w:pPr>
            <w:r>
              <w:rPr>
                <w:rFonts w:ascii="Calibri" w:cs="Calibri" w:eastAsia="Calibri" w:hAnsi="Calibri"/>
                <w:sz w:val="18"/>
                <w:szCs w:val="18"/>
                <w:color w:val="auto"/>
              </w:rPr>
              <w:t>Mid Cap Value Portolio (American Century)</w:t>
            </w:r>
          </w:p>
        </w:tc>
        <w:tc>
          <w:tcPr>
            <w:tcW w:w="2240" w:type="dxa"/>
            <w:vAlign w:val="bottom"/>
            <w:tcBorders>
              <w:right w:val="single" w:sz="8" w:color="auto"/>
            </w:tcBorders>
          </w:tcPr>
          <w:p>
            <w:pPr>
              <w:jc w:val="right"/>
              <w:ind w:right="30"/>
              <w:spacing w:after="0"/>
              <w:rPr>
                <w:sz w:val="20"/>
                <w:szCs w:val="20"/>
                <w:color w:val="auto"/>
              </w:rPr>
            </w:pPr>
            <w:r>
              <w:rPr>
                <w:rFonts w:ascii="Calibri" w:cs="Calibri" w:eastAsia="Calibri" w:hAnsi="Calibri"/>
                <w:sz w:val="18"/>
                <w:szCs w:val="18"/>
                <w:color w:val="auto"/>
              </w:rPr>
              <w:t>6.13%</w:t>
            </w:r>
          </w:p>
        </w:tc>
      </w:tr>
      <w:tr>
        <w:trPr>
          <w:trHeight w:val="64"/>
        </w:trPr>
        <w:tc>
          <w:tcPr>
            <w:tcW w:w="9000" w:type="dxa"/>
            <w:vAlign w:val="bottom"/>
            <w:tcBorders>
              <w:left w:val="single" w:sz="8" w:color="auto"/>
              <w:right w:val="single" w:sz="8" w:color="auto"/>
            </w:tcBorders>
          </w:tcPr>
          <w:p>
            <w:pPr>
              <w:spacing w:after="0"/>
              <w:rPr>
                <w:sz w:val="5"/>
                <w:szCs w:val="5"/>
                <w:color w:val="auto"/>
              </w:rPr>
            </w:pPr>
          </w:p>
        </w:tc>
        <w:tc>
          <w:tcPr>
            <w:tcW w:w="2240" w:type="dxa"/>
            <w:vAlign w:val="bottom"/>
            <w:tcBorders>
              <w:right w:val="single" w:sz="8" w:color="auto"/>
            </w:tcBorders>
          </w:tcPr>
          <w:p>
            <w:pPr>
              <w:spacing w:after="0"/>
              <w:rPr>
                <w:sz w:val="5"/>
                <w:szCs w:val="5"/>
                <w:color w:val="auto"/>
              </w:rPr>
            </w:pPr>
          </w:p>
        </w:tc>
      </w:tr>
      <w:tr>
        <w:trPr>
          <w:trHeight w:val="274"/>
        </w:trPr>
        <w:tc>
          <w:tcPr>
            <w:tcW w:w="9000" w:type="dxa"/>
            <w:vAlign w:val="bottom"/>
            <w:tcBorders>
              <w:left w:val="single" w:sz="8" w:color="auto"/>
              <w:right w:val="single" w:sz="8" w:color="auto"/>
            </w:tcBorders>
            <w:shd w:val="clear" w:color="auto" w:fill="DBDBDB"/>
          </w:tcPr>
          <w:p>
            <w:pPr>
              <w:ind w:left="380"/>
              <w:spacing w:after="0"/>
              <w:rPr>
                <w:sz w:val="20"/>
                <w:szCs w:val="20"/>
                <w:color w:val="auto"/>
              </w:rPr>
            </w:pPr>
            <w:r>
              <w:rPr>
                <w:rFonts w:ascii="Calibri" w:cs="Calibri" w:eastAsia="Calibri" w:hAnsi="Calibri"/>
                <w:sz w:val="18"/>
                <w:szCs w:val="18"/>
                <w:color w:val="auto"/>
              </w:rPr>
              <w:t>Janus Henderson VIT</w:t>
            </w:r>
          </w:p>
        </w:tc>
        <w:tc>
          <w:tcPr>
            <w:tcW w:w="2240" w:type="dxa"/>
            <w:vAlign w:val="bottom"/>
            <w:tcBorders>
              <w:right w:val="single" w:sz="8" w:color="auto"/>
            </w:tcBorders>
            <w:shd w:val="clear" w:color="auto" w:fill="DBDBDB"/>
          </w:tcPr>
          <w:p>
            <w:pPr>
              <w:jc w:val="right"/>
              <w:ind w:right="30"/>
              <w:spacing w:after="0"/>
              <w:rPr>
                <w:sz w:val="20"/>
                <w:szCs w:val="20"/>
                <w:color w:val="auto"/>
              </w:rPr>
            </w:pPr>
            <w:r>
              <w:rPr>
                <w:rFonts w:ascii="Calibri" w:cs="Calibri" w:eastAsia="Calibri" w:hAnsi="Calibri"/>
                <w:sz w:val="18"/>
                <w:szCs w:val="18"/>
                <w:color w:val="auto"/>
              </w:rPr>
              <w:t>17.78%</w:t>
            </w:r>
          </w:p>
        </w:tc>
      </w:tr>
      <w:tr>
        <w:trPr>
          <w:trHeight w:val="64"/>
        </w:trPr>
        <w:tc>
          <w:tcPr>
            <w:tcW w:w="9000" w:type="dxa"/>
            <w:vAlign w:val="bottom"/>
            <w:tcBorders>
              <w:left w:val="single" w:sz="8" w:color="auto"/>
              <w:right w:val="single" w:sz="8" w:color="auto"/>
            </w:tcBorders>
            <w:shd w:val="clear" w:color="auto" w:fill="DBDBDB"/>
          </w:tcPr>
          <w:p>
            <w:pPr>
              <w:spacing w:after="0"/>
              <w:rPr>
                <w:sz w:val="5"/>
                <w:szCs w:val="5"/>
                <w:color w:val="auto"/>
              </w:rPr>
            </w:pPr>
          </w:p>
        </w:tc>
        <w:tc>
          <w:tcPr>
            <w:tcW w:w="2240" w:type="dxa"/>
            <w:vAlign w:val="bottom"/>
            <w:tcBorders>
              <w:right w:val="single" w:sz="8" w:color="auto"/>
            </w:tcBorders>
            <w:shd w:val="clear" w:color="auto" w:fill="DBDBDB"/>
          </w:tcPr>
          <w:p>
            <w:pPr>
              <w:spacing w:after="0"/>
              <w:rPr>
                <w:sz w:val="5"/>
                <w:szCs w:val="5"/>
                <w:color w:val="auto"/>
              </w:rPr>
            </w:pPr>
          </w:p>
        </w:tc>
      </w:tr>
      <w:tr>
        <w:trPr>
          <w:trHeight w:val="274"/>
        </w:trPr>
        <w:tc>
          <w:tcPr>
            <w:tcW w:w="9000" w:type="dxa"/>
            <w:vAlign w:val="bottom"/>
            <w:tcBorders>
              <w:left w:val="single" w:sz="8" w:color="auto"/>
              <w:right w:val="single" w:sz="8" w:color="auto"/>
            </w:tcBorders>
          </w:tcPr>
          <w:p>
            <w:pPr>
              <w:ind w:left="380"/>
              <w:spacing w:after="0"/>
              <w:rPr>
                <w:sz w:val="20"/>
                <w:szCs w:val="20"/>
                <w:color w:val="auto"/>
              </w:rPr>
            </w:pPr>
            <w:r>
              <w:rPr>
                <w:rFonts w:ascii="Calibri" w:cs="Calibri" w:eastAsia="Calibri" w:hAnsi="Calibri"/>
                <w:sz w:val="18"/>
                <w:szCs w:val="18"/>
                <w:color w:val="auto"/>
              </w:rPr>
              <w:t>Small Cap (Dimensional Fund Advisors)</w:t>
            </w:r>
          </w:p>
        </w:tc>
        <w:tc>
          <w:tcPr>
            <w:tcW w:w="2240" w:type="dxa"/>
            <w:vAlign w:val="bottom"/>
            <w:tcBorders>
              <w:right w:val="single" w:sz="8" w:color="auto"/>
            </w:tcBorders>
          </w:tcPr>
          <w:p>
            <w:pPr>
              <w:jc w:val="right"/>
              <w:ind w:right="30"/>
              <w:spacing w:after="0"/>
              <w:rPr>
                <w:sz w:val="20"/>
                <w:szCs w:val="20"/>
                <w:color w:val="auto"/>
              </w:rPr>
            </w:pPr>
            <w:r>
              <w:rPr>
                <w:rFonts w:ascii="Calibri" w:cs="Calibri" w:eastAsia="Calibri" w:hAnsi="Calibri"/>
                <w:sz w:val="18"/>
                <w:szCs w:val="18"/>
                <w:color w:val="auto"/>
              </w:rPr>
              <w:t>20.03%</w:t>
            </w:r>
          </w:p>
        </w:tc>
      </w:tr>
      <w:tr>
        <w:trPr>
          <w:trHeight w:val="64"/>
        </w:trPr>
        <w:tc>
          <w:tcPr>
            <w:tcW w:w="9000" w:type="dxa"/>
            <w:vAlign w:val="bottom"/>
            <w:tcBorders>
              <w:left w:val="single" w:sz="8" w:color="auto"/>
              <w:right w:val="single" w:sz="8" w:color="auto"/>
            </w:tcBorders>
          </w:tcPr>
          <w:p>
            <w:pPr>
              <w:spacing w:after="0"/>
              <w:rPr>
                <w:sz w:val="5"/>
                <w:szCs w:val="5"/>
                <w:color w:val="auto"/>
              </w:rPr>
            </w:pPr>
          </w:p>
        </w:tc>
        <w:tc>
          <w:tcPr>
            <w:tcW w:w="2240" w:type="dxa"/>
            <w:vAlign w:val="bottom"/>
            <w:tcBorders>
              <w:right w:val="single" w:sz="8" w:color="auto"/>
            </w:tcBorders>
          </w:tcPr>
          <w:p>
            <w:pPr>
              <w:spacing w:after="0"/>
              <w:rPr>
                <w:sz w:val="5"/>
                <w:szCs w:val="5"/>
                <w:color w:val="auto"/>
              </w:rPr>
            </w:pPr>
          </w:p>
        </w:tc>
      </w:tr>
      <w:tr>
        <w:trPr>
          <w:trHeight w:val="274"/>
        </w:trPr>
        <w:tc>
          <w:tcPr>
            <w:tcW w:w="9000" w:type="dxa"/>
            <w:vAlign w:val="bottom"/>
            <w:tcBorders>
              <w:left w:val="single" w:sz="8" w:color="auto"/>
              <w:right w:val="single" w:sz="8" w:color="auto"/>
            </w:tcBorders>
            <w:shd w:val="clear" w:color="auto" w:fill="DBDBDB"/>
          </w:tcPr>
          <w:p>
            <w:pPr>
              <w:ind w:left="380"/>
              <w:spacing w:after="0"/>
              <w:rPr>
                <w:sz w:val="20"/>
                <w:szCs w:val="20"/>
                <w:color w:val="auto"/>
              </w:rPr>
            </w:pPr>
            <w:r>
              <w:rPr>
                <w:rFonts w:ascii="Calibri" w:cs="Calibri" w:eastAsia="Calibri" w:hAnsi="Calibri"/>
                <w:sz w:val="18"/>
                <w:szCs w:val="18"/>
                <w:color w:val="auto"/>
              </w:rPr>
              <w:t>VIF Small Company Growth (Vanguard)</w:t>
            </w:r>
          </w:p>
        </w:tc>
        <w:tc>
          <w:tcPr>
            <w:tcW w:w="2240" w:type="dxa"/>
            <w:vAlign w:val="bottom"/>
            <w:tcBorders>
              <w:right w:val="single" w:sz="8" w:color="auto"/>
            </w:tcBorders>
            <w:shd w:val="clear" w:color="auto" w:fill="DBDBDB"/>
          </w:tcPr>
          <w:p>
            <w:pPr>
              <w:jc w:val="right"/>
              <w:ind w:right="30"/>
              <w:spacing w:after="0"/>
              <w:rPr>
                <w:sz w:val="20"/>
                <w:szCs w:val="20"/>
                <w:color w:val="auto"/>
              </w:rPr>
            </w:pPr>
            <w:r>
              <w:rPr>
                <w:rFonts w:ascii="Calibri" w:cs="Calibri" w:eastAsia="Calibri" w:hAnsi="Calibri"/>
                <w:sz w:val="18"/>
                <w:szCs w:val="18"/>
                <w:color w:val="auto"/>
              </w:rPr>
              <w:t>19.65%</w:t>
            </w:r>
          </w:p>
        </w:tc>
      </w:tr>
      <w:tr>
        <w:trPr>
          <w:trHeight w:val="64"/>
        </w:trPr>
        <w:tc>
          <w:tcPr>
            <w:tcW w:w="9000" w:type="dxa"/>
            <w:vAlign w:val="bottom"/>
            <w:tcBorders>
              <w:left w:val="single" w:sz="8" w:color="auto"/>
              <w:right w:val="single" w:sz="8" w:color="auto"/>
            </w:tcBorders>
            <w:shd w:val="clear" w:color="auto" w:fill="DBDBDB"/>
          </w:tcPr>
          <w:p>
            <w:pPr>
              <w:spacing w:after="0"/>
              <w:rPr>
                <w:sz w:val="5"/>
                <w:szCs w:val="5"/>
                <w:color w:val="auto"/>
              </w:rPr>
            </w:pPr>
          </w:p>
        </w:tc>
        <w:tc>
          <w:tcPr>
            <w:tcW w:w="2240" w:type="dxa"/>
            <w:vAlign w:val="bottom"/>
            <w:tcBorders>
              <w:right w:val="single" w:sz="8" w:color="auto"/>
            </w:tcBorders>
            <w:shd w:val="clear" w:color="auto" w:fill="DBDBDB"/>
          </w:tcPr>
          <w:p>
            <w:pPr>
              <w:spacing w:after="0"/>
              <w:rPr>
                <w:sz w:val="5"/>
                <w:szCs w:val="5"/>
                <w:color w:val="auto"/>
              </w:rPr>
            </w:pPr>
          </w:p>
        </w:tc>
      </w:tr>
      <w:tr>
        <w:trPr>
          <w:trHeight w:val="274"/>
        </w:trPr>
        <w:tc>
          <w:tcPr>
            <w:tcW w:w="9000" w:type="dxa"/>
            <w:vAlign w:val="bottom"/>
            <w:tcBorders>
              <w:left w:val="single" w:sz="8" w:color="auto"/>
              <w:right w:val="single" w:sz="8" w:color="auto"/>
            </w:tcBorders>
          </w:tcPr>
          <w:p>
            <w:pPr>
              <w:ind w:left="380"/>
              <w:spacing w:after="0"/>
              <w:rPr>
                <w:sz w:val="20"/>
                <w:szCs w:val="20"/>
                <w:color w:val="auto"/>
              </w:rPr>
            </w:pPr>
            <w:r>
              <w:rPr>
                <w:rFonts w:ascii="Calibri" w:cs="Calibri" w:eastAsia="Calibri" w:hAnsi="Calibri"/>
                <w:sz w:val="18"/>
                <w:szCs w:val="18"/>
                <w:color w:val="auto"/>
              </w:rPr>
              <w:t>VIT II Internatonal Value Svc (MFS)</w:t>
            </w:r>
          </w:p>
        </w:tc>
        <w:tc>
          <w:tcPr>
            <w:tcW w:w="2240" w:type="dxa"/>
            <w:vAlign w:val="bottom"/>
            <w:tcBorders>
              <w:right w:val="single" w:sz="8" w:color="auto"/>
            </w:tcBorders>
          </w:tcPr>
          <w:p>
            <w:pPr>
              <w:jc w:val="right"/>
              <w:ind w:right="30"/>
              <w:spacing w:after="0"/>
              <w:rPr>
                <w:sz w:val="20"/>
                <w:szCs w:val="20"/>
                <w:color w:val="auto"/>
              </w:rPr>
            </w:pPr>
            <w:r>
              <w:rPr>
                <w:rFonts w:ascii="Calibri" w:cs="Calibri" w:eastAsia="Calibri" w:hAnsi="Calibri"/>
                <w:sz w:val="18"/>
                <w:szCs w:val="18"/>
                <w:color w:val="auto"/>
              </w:rPr>
              <w:t>17.37%</w:t>
            </w:r>
          </w:p>
        </w:tc>
      </w:tr>
      <w:tr>
        <w:trPr>
          <w:trHeight w:val="64"/>
        </w:trPr>
        <w:tc>
          <w:tcPr>
            <w:tcW w:w="9000" w:type="dxa"/>
            <w:vAlign w:val="bottom"/>
            <w:tcBorders>
              <w:left w:val="single" w:sz="8" w:color="auto"/>
              <w:right w:val="single" w:sz="8" w:color="auto"/>
            </w:tcBorders>
          </w:tcPr>
          <w:p>
            <w:pPr>
              <w:spacing w:after="0"/>
              <w:rPr>
                <w:sz w:val="5"/>
                <w:szCs w:val="5"/>
                <w:color w:val="auto"/>
              </w:rPr>
            </w:pPr>
          </w:p>
        </w:tc>
        <w:tc>
          <w:tcPr>
            <w:tcW w:w="2240" w:type="dxa"/>
            <w:vAlign w:val="bottom"/>
            <w:tcBorders>
              <w:right w:val="single" w:sz="8" w:color="auto"/>
            </w:tcBorders>
          </w:tcPr>
          <w:p>
            <w:pPr>
              <w:spacing w:after="0"/>
              <w:rPr>
                <w:sz w:val="5"/>
                <w:szCs w:val="5"/>
                <w:color w:val="auto"/>
              </w:rPr>
            </w:pPr>
          </w:p>
        </w:tc>
      </w:tr>
      <w:tr>
        <w:trPr>
          <w:trHeight w:val="274"/>
        </w:trPr>
        <w:tc>
          <w:tcPr>
            <w:tcW w:w="9000" w:type="dxa"/>
            <w:vAlign w:val="bottom"/>
            <w:tcBorders>
              <w:left w:val="single" w:sz="8" w:color="auto"/>
              <w:right w:val="single" w:sz="8" w:color="auto"/>
            </w:tcBorders>
            <w:shd w:val="clear" w:color="auto" w:fill="DBDBDB"/>
          </w:tcPr>
          <w:p>
            <w:pPr>
              <w:ind w:left="380"/>
              <w:spacing w:after="0"/>
              <w:rPr>
                <w:sz w:val="20"/>
                <w:szCs w:val="20"/>
                <w:color w:val="auto"/>
              </w:rPr>
            </w:pPr>
            <w:r>
              <w:rPr>
                <w:rFonts w:ascii="Calibri" w:cs="Calibri" w:eastAsia="Calibri" w:hAnsi="Calibri"/>
                <w:sz w:val="18"/>
                <w:szCs w:val="18"/>
                <w:color w:val="auto"/>
              </w:rPr>
              <w:t>IS Internatonal 2 (American Funds)</w:t>
            </w:r>
          </w:p>
        </w:tc>
        <w:tc>
          <w:tcPr>
            <w:tcW w:w="2240" w:type="dxa"/>
            <w:vAlign w:val="bottom"/>
            <w:tcBorders>
              <w:right w:val="single" w:sz="8" w:color="auto"/>
            </w:tcBorders>
            <w:shd w:val="clear" w:color="auto" w:fill="DBDBDB"/>
          </w:tcPr>
          <w:p>
            <w:pPr>
              <w:jc w:val="right"/>
              <w:ind w:right="30"/>
              <w:spacing w:after="0"/>
              <w:rPr>
                <w:sz w:val="20"/>
                <w:szCs w:val="20"/>
                <w:color w:val="auto"/>
              </w:rPr>
            </w:pPr>
            <w:r>
              <w:rPr>
                <w:rFonts w:ascii="Calibri" w:cs="Calibri" w:eastAsia="Calibri" w:hAnsi="Calibri"/>
                <w:sz w:val="18"/>
                <w:szCs w:val="18"/>
                <w:color w:val="auto"/>
              </w:rPr>
              <w:t>15.84%</w:t>
            </w:r>
          </w:p>
        </w:tc>
      </w:tr>
      <w:tr>
        <w:trPr>
          <w:trHeight w:val="64"/>
        </w:trPr>
        <w:tc>
          <w:tcPr>
            <w:tcW w:w="9000" w:type="dxa"/>
            <w:vAlign w:val="bottom"/>
            <w:tcBorders>
              <w:left w:val="single" w:sz="8" w:color="auto"/>
              <w:right w:val="single" w:sz="8" w:color="auto"/>
            </w:tcBorders>
            <w:shd w:val="clear" w:color="auto" w:fill="DBDBDB"/>
          </w:tcPr>
          <w:p>
            <w:pPr>
              <w:spacing w:after="0"/>
              <w:rPr>
                <w:sz w:val="5"/>
                <w:szCs w:val="5"/>
                <w:color w:val="auto"/>
              </w:rPr>
            </w:pPr>
          </w:p>
        </w:tc>
        <w:tc>
          <w:tcPr>
            <w:tcW w:w="2240" w:type="dxa"/>
            <w:vAlign w:val="bottom"/>
            <w:tcBorders>
              <w:right w:val="single" w:sz="8" w:color="auto"/>
            </w:tcBorders>
            <w:shd w:val="clear" w:color="auto" w:fill="DBDBDB"/>
          </w:tcPr>
          <w:p>
            <w:pPr>
              <w:spacing w:after="0"/>
              <w:rPr>
                <w:sz w:val="5"/>
                <w:szCs w:val="5"/>
                <w:color w:val="auto"/>
              </w:rPr>
            </w:pPr>
          </w:p>
        </w:tc>
      </w:tr>
      <w:tr>
        <w:trPr>
          <w:trHeight w:val="274"/>
        </w:trPr>
        <w:tc>
          <w:tcPr>
            <w:tcW w:w="9000" w:type="dxa"/>
            <w:vAlign w:val="bottom"/>
            <w:tcBorders>
              <w:left w:val="single" w:sz="8" w:color="auto"/>
              <w:right w:val="single" w:sz="8" w:color="auto"/>
            </w:tcBorders>
          </w:tcPr>
          <w:p>
            <w:pPr>
              <w:ind w:left="380"/>
              <w:spacing w:after="0"/>
              <w:rPr>
                <w:sz w:val="20"/>
                <w:szCs w:val="20"/>
                <w:color w:val="auto"/>
              </w:rPr>
            </w:pPr>
            <w:r>
              <w:rPr>
                <w:rFonts w:ascii="Calibri" w:cs="Calibri" w:eastAsia="Calibri" w:hAnsi="Calibri"/>
                <w:sz w:val="18"/>
                <w:szCs w:val="18"/>
                <w:color w:val="auto"/>
              </w:rPr>
              <w:t>Model Portolio – Conservatve (The Newport Group)</w:t>
            </w:r>
          </w:p>
        </w:tc>
        <w:tc>
          <w:tcPr>
            <w:tcW w:w="2240" w:type="dxa"/>
            <w:vAlign w:val="bottom"/>
            <w:tcBorders>
              <w:right w:val="single" w:sz="8" w:color="auto"/>
            </w:tcBorders>
          </w:tcPr>
          <w:p>
            <w:pPr>
              <w:jc w:val="right"/>
              <w:ind w:right="30"/>
              <w:spacing w:after="0"/>
              <w:rPr>
                <w:sz w:val="20"/>
                <w:szCs w:val="20"/>
                <w:color w:val="auto"/>
              </w:rPr>
            </w:pPr>
            <w:r>
              <w:rPr>
                <w:rFonts w:ascii="Calibri" w:cs="Calibri" w:eastAsia="Calibri" w:hAnsi="Calibri"/>
                <w:sz w:val="18"/>
                <w:szCs w:val="18"/>
                <w:color w:val="auto"/>
              </w:rPr>
              <w:t>7.84%</w:t>
            </w:r>
          </w:p>
        </w:tc>
      </w:tr>
      <w:tr>
        <w:trPr>
          <w:trHeight w:val="64"/>
        </w:trPr>
        <w:tc>
          <w:tcPr>
            <w:tcW w:w="9000" w:type="dxa"/>
            <w:vAlign w:val="bottom"/>
            <w:tcBorders>
              <w:left w:val="single" w:sz="8" w:color="auto"/>
              <w:right w:val="single" w:sz="8" w:color="auto"/>
            </w:tcBorders>
          </w:tcPr>
          <w:p>
            <w:pPr>
              <w:spacing w:after="0"/>
              <w:rPr>
                <w:sz w:val="5"/>
                <w:szCs w:val="5"/>
                <w:color w:val="auto"/>
              </w:rPr>
            </w:pPr>
          </w:p>
        </w:tc>
        <w:tc>
          <w:tcPr>
            <w:tcW w:w="2240" w:type="dxa"/>
            <w:vAlign w:val="bottom"/>
            <w:tcBorders>
              <w:right w:val="single" w:sz="8" w:color="auto"/>
            </w:tcBorders>
          </w:tcPr>
          <w:p>
            <w:pPr>
              <w:spacing w:after="0"/>
              <w:rPr>
                <w:sz w:val="5"/>
                <w:szCs w:val="5"/>
                <w:color w:val="auto"/>
              </w:rPr>
            </w:pPr>
          </w:p>
        </w:tc>
      </w:tr>
      <w:tr>
        <w:trPr>
          <w:trHeight w:val="274"/>
        </w:trPr>
        <w:tc>
          <w:tcPr>
            <w:tcW w:w="9000" w:type="dxa"/>
            <w:vAlign w:val="bottom"/>
            <w:tcBorders>
              <w:left w:val="single" w:sz="8" w:color="auto"/>
              <w:right w:val="single" w:sz="8" w:color="auto"/>
            </w:tcBorders>
            <w:shd w:val="clear" w:color="auto" w:fill="DBDBDB"/>
          </w:tcPr>
          <w:p>
            <w:pPr>
              <w:ind w:left="380"/>
              <w:spacing w:after="0"/>
              <w:rPr>
                <w:sz w:val="20"/>
                <w:szCs w:val="20"/>
                <w:color w:val="auto"/>
              </w:rPr>
            </w:pPr>
            <w:r>
              <w:rPr>
                <w:rFonts w:ascii="Calibri" w:cs="Calibri" w:eastAsia="Calibri" w:hAnsi="Calibri"/>
                <w:sz w:val="18"/>
                <w:szCs w:val="18"/>
                <w:color w:val="auto"/>
              </w:rPr>
              <w:t>Model Portolio – Moderate/Conservatve (The Newport Group)</w:t>
            </w:r>
          </w:p>
        </w:tc>
        <w:tc>
          <w:tcPr>
            <w:tcW w:w="2240" w:type="dxa"/>
            <w:vAlign w:val="bottom"/>
            <w:tcBorders>
              <w:right w:val="single" w:sz="8" w:color="auto"/>
            </w:tcBorders>
            <w:shd w:val="clear" w:color="auto" w:fill="DBDBDB"/>
          </w:tcPr>
          <w:p>
            <w:pPr>
              <w:jc w:val="right"/>
              <w:ind w:right="30"/>
              <w:spacing w:after="0"/>
              <w:rPr>
                <w:sz w:val="20"/>
                <w:szCs w:val="20"/>
                <w:color w:val="auto"/>
              </w:rPr>
            </w:pPr>
            <w:r>
              <w:rPr>
                <w:rFonts w:ascii="Calibri" w:cs="Calibri" w:eastAsia="Calibri" w:hAnsi="Calibri"/>
                <w:sz w:val="18"/>
                <w:szCs w:val="18"/>
                <w:color w:val="auto"/>
              </w:rPr>
              <w:t>11.02%</w:t>
            </w:r>
          </w:p>
        </w:tc>
      </w:tr>
      <w:tr>
        <w:trPr>
          <w:trHeight w:val="64"/>
        </w:trPr>
        <w:tc>
          <w:tcPr>
            <w:tcW w:w="9000" w:type="dxa"/>
            <w:vAlign w:val="bottom"/>
            <w:tcBorders>
              <w:left w:val="single" w:sz="8" w:color="auto"/>
              <w:right w:val="single" w:sz="8" w:color="auto"/>
            </w:tcBorders>
            <w:shd w:val="clear" w:color="auto" w:fill="DBDBDB"/>
          </w:tcPr>
          <w:p>
            <w:pPr>
              <w:spacing w:after="0"/>
              <w:rPr>
                <w:sz w:val="5"/>
                <w:szCs w:val="5"/>
                <w:color w:val="auto"/>
              </w:rPr>
            </w:pPr>
          </w:p>
        </w:tc>
        <w:tc>
          <w:tcPr>
            <w:tcW w:w="2240" w:type="dxa"/>
            <w:vAlign w:val="bottom"/>
            <w:tcBorders>
              <w:right w:val="single" w:sz="8" w:color="auto"/>
            </w:tcBorders>
            <w:shd w:val="clear" w:color="auto" w:fill="DBDBDB"/>
          </w:tcPr>
          <w:p>
            <w:pPr>
              <w:spacing w:after="0"/>
              <w:rPr>
                <w:sz w:val="5"/>
                <w:szCs w:val="5"/>
                <w:color w:val="auto"/>
              </w:rPr>
            </w:pPr>
          </w:p>
        </w:tc>
      </w:tr>
      <w:tr>
        <w:trPr>
          <w:trHeight w:val="274"/>
        </w:trPr>
        <w:tc>
          <w:tcPr>
            <w:tcW w:w="9000" w:type="dxa"/>
            <w:vAlign w:val="bottom"/>
            <w:tcBorders>
              <w:left w:val="single" w:sz="8" w:color="auto"/>
              <w:right w:val="single" w:sz="8" w:color="auto"/>
            </w:tcBorders>
          </w:tcPr>
          <w:p>
            <w:pPr>
              <w:ind w:left="380"/>
              <w:spacing w:after="0"/>
              <w:rPr>
                <w:sz w:val="20"/>
                <w:szCs w:val="20"/>
                <w:color w:val="auto"/>
              </w:rPr>
            </w:pPr>
            <w:r>
              <w:rPr>
                <w:rFonts w:ascii="Calibri" w:cs="Calibri" w:eastAsia="Calibri" w:hAnsi="Calibri"/>
                <w:sz w:val="18"/>
                <w:szCs w:val="18"/>
                <w:color w:val="auto"/>
              </w:rPr>
              <w:t>Model Portolio – Moderate (The Newport Group)</w:t>
            </w:r>
          </w:p>
        </w:tc>
        <w:tc>
          <w:tcPr>
            <w:tcW w:w="2240" w:type="dxa"/>
            <w:vAlign w:val="bottom"/>
            <w:tcBorders>
              <w:right w:val="single" w:sz="8" w:color="auto"/>
            </w:tcBorders>
          </w:tcPr>
          <w:p>
            <w:pPr>
              <w:jc w:val="right"/>
              <w:ind w:right="30"/>
              <w:spacing w:after="0"/>
              <w:rPr>
                <w:sz w:val="20"/>
                <w:szCs w:val="20"/>
                <w:color w:val="auto"/>
              </w:rPr>
            </w:pPr>
            <w:r>
              <w:rPr>
                <w:rFonts w:ascii="Calibri" w:cs="Calibri" w:eastAsia="Calibri" w:hAnsi="Calibri"/>
                <w:sz w:val="18"/>
                <w:szCs w:val="18"/>
                <w:color w:val="auto"/>
              </w:rPr>
              <w:t>13.91%</w:t>
            </w:r>
          </w:p>
        </w:tc>
      </w:tr>
      <w:tr>
        <w:trPr>
          <w:trHeight w:val="64"/>
        </w:trPr>
        <w:tc>
          <w:tcPr>
            <w:tcW w:w="9000" w:type="dxa"/>
            <w:vAlign w:val="bottom"/>
            <w:tcBorders>
              <w:left w:val="single" w:sz="8" w:color="auto"/>
              <w:right w:val="single" w:sz="8" w:color="auto"/>
            </w:tcBorders>
          </w:tcPr>
          <w:p>
            <w:pPr>
              <w:spacing w:after="0"/>
              <w:rPr>
                <w:sz w:val="5"/>
                <w:szCs w:val="5"/>
                <w:color w:val="auto"/>
              </w:rPr>
            </w:pPr>
          </w:p>
        </w:tc>
        <w:tc>
          <w:tcPr>
            <w:tcW w:w="2240" w:type="dxa"/>
            <w:vAlign w:val="bottom"/>
            <w:tcBorders>
              <w:right w:val="single" w:sz="8" w:color="auto"/>
            </w:tcBorders>
          </w:tcPr>
          <w:p>
            <w:pPr>
              <w:spacing w:after="0"/>
              <w:rPr>
                <w:sz w:val="5"/>
                <w:szCs w:val="5"/>
                <w:color w:val="auto"/>
              </w:rPr>
            </w:pPr>
          </w:p>
        </w:tc>
      </w:tr>
      <w:tr>
        <w:trPr>
          <w:trHeight w:val="273"/>
        </w:trPr>
        <w:tc>
          <w:tcPr>
            <w:tcW w:w="9000" w:type="dxa"/>
            <w:vAlign w:val="bottom"/>
            <w:tcBorders>
              <w:left w:val="single" w:sz="8" w:color="auto"/>
              <w:right w:val="single" w:sz="8" w:color="auto"/>
            </w:tcBorders>
            <w:shd w:val="clear" w:color="auto" w:fill="DBDBDB"/>
          </w:tcPr>
          <w:p>
            <w:pPr>
              <w:ind w:left="380"/>
              <w:spacing w:after="0"/>
              <w:rPr>
                <w:sz w:val="20"/>
                <w:szCs w:val="20"/>
                <w:color w:val="auto"/>
              </w:rPr>
            </w:pPr>
            <w:r>
              <w:rPr>
                <w:rFonts w:ascii="Calibri" w:cs="Calibri" w:eastAsia="Calibri" w:hAnsi="Calibri"/>
                <w:sz w:val="18"/>
                <w:szCs w:val="18"/>
                <w:color w:val="auto"/>
              </w:rPr>
              <w:t>Model Portolio – Moderate/Aggressive (The Newport Group)</w:t>
            </w:r>
          </w:p>
        </w:tc>
        <w:tc>
          <w:tcPr>
            <w:tcW w:w="2240" w:type="dxa"/>
            <w:vAlign w:val="bottom"/>
            <w:tcBorders>
              <w:right w:val="single" w:sz="8" w:color="auto"/>
            </w:tcBorders>
            <w:shd w:val="clear" w:color="auto" w:fill="DBDBDB"/>
          </w:tcPr>
          <w:p>
            <w:pPr>
              <w:jc w:val="right"/>
              <w:ind w:right="30"/>
              <w:spacing w:after="0"/>
              <w:rPr>
                <w:sz w:val="20"/>
                <w:szCs w:val="20"/>
                <w:color w:val="auto"/>
              </w:rPr>
            </w:pPr>
            <w:r>
              <w:rPr>
                <w:rFonts w:ascii="Calibri" w:cs="Calibri" w:eastAsia="Calibri" w:hAnsi="Calibri"/>
                <w:sz w:val="18"/>
                <w:szCs w:val="18"/>
                <w:color w:val="auto"/>
              </w:rPr>
              <w:t>16.24%</w:t>
            </w:r>
          </w:p>
        </w:tc>
      </w:tr>
      <w:tr>
        <w:trPr>
          <w:trHeight w:val="64"/>
        </w:trPr>
        <w:tc>
          <w:tcPr>
            <w:tcW w:w="9000" w:type="dxa"/>
            <w:vAlign w:val="bottom"/>
            <w:tcBorders>
              <w:left w:val="single" w:sz="8" w:color="auto"/>
              <w:right w:val="single" w:sz="8" w:color="auto"/>
            </w:tcBorders>
            <w:shd w:val="clear" w:color="auto" w:fill="DBDBDB"/>
          </w:tcPr>
          <w:p>
            <w:pPr>
              <w:spacing w:after="0"/>
              <w:rPr>
                <w:sz w:val="5"/>
                <w:szCs w:val="5"/>
                <w:color w:val="auto"/>
              </w:rPr>
            </w:pPr>
          </w:p>
        </w:tc>
        <w:tc>
          <w:tcPr>
            <w:tcW w:w="2240" w:type="dxa"/>
            <w:vAlign w:val="bottom"/>
            <w:tcBorders>
              <w:right w:val="single" w:sz="8" w:color="auto"/>
            </w:tcBorders>
            <w:shd w:val="clear" w:color="auto" w:fill="DBDBDB"/>
          </w:tcPr>
          <w:p>
            <w:pPr>
              <w:spacing w:after="0"/>
              <w:rPr>
                <w:sz w:val="5"/>
                <w:szCs w:val="5"/>
                <w:color w:val="auto"/>
              </w:rPr>
            </w:pPr>
          </w:p>
        </w:tc>
      </w:tr>
      <w:tr>
        <w:trPr>
          <w:trHeight w:val="273"/>
        </w:trPr>
        <w:tc>
          <w:tcPr>
            <w:tcW w:w="9000" w:type="dxa"/>
            <w:vAlign w:val="bottom"/>
            <w:tcBorders>
              <w:left w:val="single" w:sz="8" w:color="auto"/>
              <w:right w:val="single" w:sz="8" w:color="auto"/>
            </w:tcBorders>
          </w:tcPr>
          <w:p>
            <w:pPr>
              <w:ind w:left="380"/>
              <w:spacing w:after="0"/>
              <w:rPr>
                <w:sz w:val="20"/>
                <w:szCs w:val="20"/>
                <w:color w:val="auto"/>
              </w:rPr>
            </w:pPr>
            <w:r>
              <w:rPr>
                <w:rFonts w:ascii="Calibri" w:cs="Calibri" w:eastAsia="Calibri" w:hAnsi="Calibri"/>
                <w:sz w:val="18"/>
                <w:szCs w:val="18"/>
                <w:color w:val="auto"/>
              </w:rPr>
              <w:t>Model Portolio – Aggressive (The Newport Group)</w:t>
            </w:r>
          </w:p>
        </w:tc>
        <w:tc>
          <w:tcPr>
            <w:tcW w:w="2240" w:type="dxa"/>
            <w:vAlign w:val="bottom"/>
            <w:tcBorders>
              <w:right w:val="single" w:sz="8" w:color="auto"/>
            </w:tcBorders>
          </w:tcPr>
          <w:p>
            <w:pPr>
              <w:jc w:val="right"/>
              <w:ind w:right="30"/>
              <w:spacing w:after="0"/>
              <w:rPr>
                <w:sz w:val="20"/>
                <w:szCs w:val="20"/>
                <w:color w:val="auto"/>
              </w:rPr>
            </w:pPr>
            <w:r>
              <w:rPr>
                <w:rFonts w:ascii="Calibri" w:cs="Calibri" w:eastAsia="Calibri" w:hAnsi="Calibri"/>
                <w:sz w:val="18"/>
                <w:szCs w:val="18"/>
                <w:color w:val="auto"/>
              </w:rPr>
              <w:t>19.02%</w:t>
            </w:r>
          </w:p>
        </w:tc>
      </w:tr>
      <w:tr>
        <w:trPr>
          <w:trHeight w:val="64"/>
        </w:trPr>
        <w:tc>
          <w:tcPr>
            <w:tcW w:w="9000" w:type="dxa"/>
            <w:vAlign w:val="bottom"/>
            <w:tcBorders>
              <w:left w:val="single" w:sz="8" w:color="auto"/>
              <w:bottom w:val="single" w:sz="8" w:color="auto"/>
              <w:right w:val="single" w:sz="8" w:color="auto"/>
            </w:tcBorders>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r>
    </w:tbl>
    <w:p>
      <w:pPr>
        <w:spacing w:after="0" w:line="194"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As noted in the table above, The Newport Group, the administrator of the plan, provides fve model portolios using the investment optons in the Company's Deferred Compensaton Plan to span the risk profle from conservatve to aggressive. The conservatve portolio is constructed to provide higher expected returns than a money market fund while only taking 10 percent to 30 percent of the risks associated with the stock market. The moderate/conservatve portolio is designed to provide modest expected portolio growth while taking only 30 percent to 50 percent of the short-term risk associated with the stock market. The moderate portolio is managed to provide expected capital appreciaton over a market cycle. This portolio will experience 50 percent to 70 percent of the risks associated with the stock market. The moderate/aggressive portolio is managed to be a diversifed stock portolio that includes a fxed income component to reduce volatlity. The portolio will experience 70 percent to 90 percent of the risks associated with the stock market. Over the long term, the aggressive portolio is intended to provide for the maximum expected long-term growth of capital. This portolio will take 100 percent of the risks associated with the stock market.</w:t>
      </w:r>
    </w:p>
    <w:p>
      <w:pPr>
        <w:spacing w:after="0" w:line="367" w:lineRule="exact"/>
        <w:rPr>
          <w:sz w:val="20"/>
          <w:szCs w:val="20"/>
          <w:color w:val="auto"/>
        </w:rPr>
      </w:pPr>
    </w:p>
    <w:p>
      <w:pPr>
        <w:spacing w:after="0"/>
        <w:tabs>
          <w:tab w:leader="none" w:pos="660" w:val="left"/>
        </w:tabs>
        <w:rPr>
          <w:sz w:val="20"/>
          <w:szCs w:val="20"/>
          <w:color w:val="auto"/>
        </w:rPr>
      </w:pPr>
      <w:r>
        <w:rPr>
          <w:rFonts w:ascii="Calibri" w:cs="Calibri" w:eastAsia="Calibri" w:hAnsi="Calibri"/>
          <w:sz w:val="18"/>
          <w:szCs w:val="18"/>
          <w:color w:val="auto"/>
        </w:rPr>
        <w:t>48</w:t>
      </w:r>
      <w:r>
        <w:rPr>
          <w:sz w:val="20"/>
          <w:szCs w:val="20"/>
          <w:color w:val="auto"/>
        </w:rPr>
        <w:tab/>
      </w:r>
      <w:r>
        <w:rPr>
          <w:rFonts w:ascii="Calibri" w:cs="Calibri" w:eastAsia="Calibri" w:hAnsi="Calibri"/>
          <w:sz w:val="18"/>
          <w:szCs w:val="18"/>
          <w:b w:val="1"/>
          <w:bCs w:val="1"/>
          <w:color w:val="EE2724"/>
        </w:rPr>
        <w:t xml:space="preserve">OGE Energy Corp. </w:t>
      </w:r>
      <w:r>
        <w:rPr>
          <w:rFonts w:ascii="Calibri" w:cs="Calibri" w:eastAsia="Calibri" w:hAnsi="Calibri"/>
          <w:sz w:val="18"/>
          <w:szCs w:val="18"/>
          <w:color w:val="00000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54" w:name="page55"/>
    <w:bookmarkEnd w:id="54"/>
    <w:p>
      <w:pPr>
        <w:jc w:val="both"/>
        <w:ind w:firstLine="374"/>
        <w:spacing w:after="0" w:line="235" w:lineRule="auto"/>
        <w:rPr>
          <w:sz w:val="20"/>
          <w:szCs w:val="20"/>
          <w:color w:val="auto"/>
        </w:rPr>
      </w:pPr>
      <w:r>
        <w:rPr>
          <w:rFonts w:ascii="Calibri" w:cs="Calibri" w:eastAsia="Calibri" w:hAnsi="Calibri"/>
          <w:sz w:val="18"/>
          <w:szCs w:val="18"/>
          <w:color w:val="auto"/>
        </w:rPr>
        <w:t>Normally, payments under the deferred compensaton plan begin within one year afer retrement. For these purposes, normal retrement age is 65, and the minimum age to qualify for early retrement is age 55 with at least fve years of service. Benefts will be paid, at the electon of the partcipant, either in a lump sum or a stream of annual payments for up to 15 years, or a combinaton thereof. Partcipants whose employment terminates before they qualify for retrement will receive their vested account balance in one lump sum following terminaton as provided in the plan. Partcipants also will be enttled to pre-and post-retrement survivor benefts. If the partcipant dies while in employment before retrement, his or her benefciary will receive a payment of the account balance plus a supplemental survivor beneft equal to two tmes the total amount of base salary and annual incentve payments deferred under the plan. If the partcipant dies following retrement, his or her benefciary will contnue to receive the remaining vested account balance. Additonally, eligible surviving spouses will be enttled to a lifetme survivor annuity payable annually. The amount of the annuity is based on 50 percent of the partcipant's account balance at retrement, the spouse's age and actuarial assumptons established by the Company's Plan Administraton Commitee.</w:t>
      </w:r>
    </w:p>
    <w:p>
      <w:pPr>
        <w:spacing w:after="0" w:line="224"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At any tme prior to retrement, a partcipant may withdraw all or part of amounts atributable to his or her vested account balance under the deferred compensaton plan at December 31, 2004, subject to a penalty of 10 percent of the amount withdrawn. In additon, at the tme of the inital deferral electon, a partcipant may elect to receive one or more in-service distributons on specifed dates without penalty. Hardship withdrawals, without penalty, may also be permited at the discreton of the Company's Plan Administraton Commitee.</w:t>
      </w:r>
    </w:p>
    <w:p>
      <w:pPr>
        <w:spacing w:after="0" w:line="216"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auto"/>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8"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As required by recent changes to SEC rules, we are providing the following informaton about the relatonship between executve compensaton and certain measures of fnancial performance of our Company. SEC rules prescribe the disclosure included in this secton, and the informaton does not necessarily align with how the Company or the Compensaton Commitee view the link between the Company's performance and its NEOs' pay. The Compensaton Discussion and Analysis provides additonal informaton about our pay-for-performance philosophy and how we align executve compensaton with our performance. As described in more detail in our Compensaton Discussion and Analysis, the Company's annual incentve awards and a large porton of the long-term incentve awards that comprise a signifcant porton of an executve's compensaton are directly linked to performance. Payouts of these portons of an executve's compensaton are placed at risk and require the accomplishment of specifc results that are designed to beneft our shareholders and the Company, both in the long and short term. While the Company utlizes several performance measures to align executve compensaton with Company performance, all of those Company measures are not presented in the Pay Versus Performance table below. Moreover, the Company generally seeks to incentvize long-term performance and therefore does not specifcally align the Company's performance measures with compensaton that is actually paid (as computed in accordance with SEC rules) for a partcular year.</w:t>
      </w: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183"/>
        </w:trPr>
        <w:tc>
          <w:tcPr>
            <w:tcW w:w="1040" w:type="dxa"/>
            <w:vAlign w:val="bottom"/>
            <w:tcBorders>
              <w:top w:val="single" w:sz="8" w:color="auto"/>
              <w:left w:val="single" w:sz="8" w:color="auto"/>
              <w:right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00" w:type="dxa"/>
            <w:vAlign w:val="bottom"/>
            <w:tcBorders>
              <w:top w:val="single" w:sz="8" w:color="auto"/>
              <w:right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60" w:type="dxa"/>
            <w:vAlign w:val="bottom"/>
            <w:tcBorders>
              <w:top w:val="single" w:sz="8" w:color="auto"/>
              <w:right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320" w:type="dxa"/>
            <w:vAlign w:val="bottom"/>
            <w:tcBorders>
              <w:top w:val="single" w:sz="8" w:color="auto"/>
              <w:right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60" w:type="dxa"/>
            <w:vAlign w:val="bottom"/>
            <w:tcBorders>
              <w:top w:val="single" w:sz="8" w:color="auto"/>
              <w:right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880" w:type="dxa"/>
            <w:vAlign w:val="bottom"/>
            <w:tcBorders>
              <w:top w:val="single" w:sz="8" w:color="auto"/>
              <w:right w:val="single" w:sz="8" w:color="auto"/>
            </w:tcBorders>
            <w:gridSpan w:val="3"/>
          </w:tcPr>
          <w:p>
            <w:pPr>
              <w:jc w:val="right"/>
              <w:ind w:right="248"/>
              <w:spacing w:after="0"/>
              <w:rPr>
                <w:sz w:val="20"/>
                <w:szCs w:val="20"/>
                <w:color w:val="auto"/>
              </w:rPr>
            </w:pPr>
            <w:r>
              <w:rPr>
                <w:rFonts w:ascii="Calibri" w:cs="Calibri" w:eastAsia="Calibri" w:hAnsi="Calibri"/>
                <w:sz w:val="14"/>
                <w:szCs w:val="14"/>
                <w:color w:val="auto"/>
              </w:rPr>
              <w:t>Value of Inital Fixed $100</w:t>
            </w:r>
          </w:p>
        </w:tc>
        <w:tc>
          <w:tcPr>
            <w:tcW w:w="220" w:type="dxa"/>
            <w:vAlign w:val="bottom"/>
            <w:tcBorders>
              <w:top w:val="single" w:sz="8" w:color="auto"/>
            </w:tcBorders>
          </w:tcPr>
          <w:p>
            <w:pPr>
              <w:spacing w:after="0"/>
              <w:rPr>
                <w:sz w:val="15"/>
                <w:szCs w:val="15"/>
                <w:color w:val="auto"/>
              </w:rPr>
            </w:pPr>
          </w:p>
        </w:tc>
        <w:tc>
          <w:tcPr>
            <w:tcW w:w="1460" w:type="dxa"/>
            <w:vAlign w:val="bottom"/>
            <w:tcBorders>
              <w:top w:val="single" w:sz="8" w:color="auto"/>
              <w:right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40" w:type="dxa"/>
            <w:vAlign w:val="bottom"/>
            <w:tcBorders>
              <w:left w:val="single" w:sz="8" w:color="auto"/>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tcBorders>
              <w:right w:val="single" w:sz="8" w:color="auto"/>
            </w:tcBorders>
            <w:gridSpan w:val="3"/>
          </w:tcPr>
          <w:p>
            <w:pPr>
              <w:jc w:val="right"/>
              <w:ind w:right="348"/>
              <w:spacing w:after="0"/>
              <w:rPr>
                <w:sz w:val="20"/>
                <w:szCs w:val="20"/>
                <w:color w:val="auto"/>
              </w:rPr>
            </w:pPr>
            <w:r>
              <w:rPr>
                <w:rFonts w:ascii="Calibri" w:cs="Calibri" w:eastAsia="Calibri" w:hAnsi="Calibri"/>
                <w:sz w:val="14"/>
                <w:szCs w:val="14"/>
                <w:color w:val="auto"/>
              </w:rPr>
              <w:t>Investment Based On:</w:t>
            </w:r>
          </w:p>
        </w:tc>
        <w:tc>
          <w:tcPr>
            <w:tcW w:w="220" w:type="dxa"/>
            <w:vAlign w:val="bottom"/>
          </w:tcPr>
          <w:p>
            <w:pPr>
              <w:spacing w:after="0"/>
              <w:rPr>
                <w:sz w:val="15"/>
                <w:szCs w:val="15"/>
                <w:color w:val="auto"/>
              </w:rPr>
            </w:pPr>
          </w:p>
        </w:tc>
        <w:tc>
          <w:tcPr>
            <w:tcW w:w="14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1040" w:type="dxa"/>
            <w:vAlign w:val="bottom"/>
            <w:tcBorders>
              <w:left w:val="single" w:sz="8" w:color="auto"/>
              <w:right w:val="single" w:sz="8" w:color="auto"/>
            </w:tcBorders>
            <w:vMerge w:val="restart"/>
          </w:tcPr>
          <w:p>
            <w:pPr>
              <w:jc w:val="center"/>
              <w:spacing w:after="0"/>
              <w:rPr>
                <w:sz w:val="20"/>
                <w:szCs w:val="20"/>
                <w:color w:val="auto"/>
              </w:rPr>
            </w:pPr>
            <w:r>
              <w:rPr>
                <w:rFonts w:ascii="Calibri" w:cs="Calibri" w:eastAsia="Calibri" w:hAnsi="Calibri"/>
                <w:sz w:val="14"/>
                <w:szCs w:val="14"/>
                <w:color w:val="auto"/>
                <w:w w:val="94"/>
              </w:rPr>
              <w:t>Year</w:t>
            </w:r>
          </w:p>
        </w:tc>
        <w:tc>
          <w:tcPr>
            <w:tcW w:w="200" w:type="dxa"/>
            <w:vAlign w:val="bottom"/>
          </w:tcPr>
          <w:p>
            <w:pPr>
              <w:spacing w:after="0"/>
              <w:rPr>
                <w:sz w:val="2"/>
                <w:szCs w:val="2"/>
                <w:color w:val="auto"/>
              </w:rPr>
            </w:pPr>
          </w:p>
        </w:tc>
        <w:tc>
          <w:tcPr>
            <w:tcW w:w="1200" w:type="dxa"/>
            <w:vAlign w:val="bottom"/>
            <w:tcBorders>
              <w:right w:val="single" w:sz="8" w:color="auto"/>
            </w:tcBorders>
            <w:vMerge w:val="restart"/>
          </w:tcPr>
          <w:p>
            <w:pPr>
              <w:jc w:val="center"/>
              <w:ind w:right="288"/>
              <w:spacing w:after="0"/>
              <w:rPr>
                <w:sz w:val="20"/>
                <w:szCs w:val="20"/>
                <w:color w:val="auto"/>
              </w:rPr>
            </w:pPr>
            <w:r>
              <w:rPr>
                <w:rFonts w:ascii="Calibri" w:cs="Calibri" w:eastAsia="Calibri" w:hAnsi="Calibri"/>
                <w:sz w:val="14"/>
                <w:szCs w:val="14"/>
                <w:color w:val="auto"/>
              </w:rPr>
              <w:t>Summary</w:t>
            </w:r>
          </w:p>
        </w:tc>
        <w:tc>
          <w:tcPr>
            <w:tcW w:w="120" w:type="dxa"/>
            <w:vAlign w:val="bottom"/>
          </w:tcPr>
          <w:p>
            <w:pPr>
              <w:spacing w:after="0"/>
              <w:rPr>
                <w:sz w:val="2"/>
                <w:szCs w:val="2"/>
                <w:color w:val="auto"/>
              </w:rPr>
            </w:pPr>
          </w:p>
        </w:tc>
        <w:tc>
          <w:tcPr>
            <w:tcW w:w="1260" w:type="dxa"/>
            <w:vAlign w:val="bottom"/>
            <w:tcBorders>
              <w:right w:val="single" w:sz="8" w:color="auto"/>
            </w:tcBorders>
            <w:vMerge w:val="restart"/>
          </w:tcPr>
          <w:p>
            <w:pPr>
              <w:jc w:val="right"/>
              <w:ind w:right="288"/>
              <w:spacing w:after="0"/>
              <w:rPr>
                <w:sz w:val="20"/>
                <w:szCs w:val="20"/>
                <w:color w:val="auto"/>
              </w:rPr>
            </w:pPr>
            <w:r>
              <w:rPr>
                <w:rFonts w:ascii="Calibri" w:cs="Calibri" w:eastAsia="Calibri" w:hAnsi="Calibri"/>
                <w:sz w:val="14"/>
                <w:szCs w:val="14"/>
                <w:color w:val="auto"/>
              </w:rPr>
              <w:t>Compensaton</w:t>
            </w:r>
          </w:p>
        </w:tc>
        <w:tc>
          <w:tcPr>
            <w:tcW w:w="80" w:type="dxa"/>
            <w:vAlign w:val="bottom"/>
          </w:tcPr>
          <w:p>
            <w:pPr>
              <w:spacing w:after="0"/>
              <w:rPr>
                <w:sz w:val="2"/>
                <w:szCs w:val="2"/>
                <w:color w:val="auto"/>
              </w:rPr>
            </w:pPr>
          </w:p>
        </w:tc>
        <w:tc>
          <w:tcPr>
            <w:tcW w:w="1320" w:type="dxa"/>
            <w:vAlign w:val="bottom"/>
            <w:tcBorders>
              <w:right w:val="single" w:sz="8" w:color="auto"/>
            </w:tcBorders>
            <w:vMerge w:val="restart"/>
          </w:tcPr>
          <w:p>
            <w:pPr>
              <w:jc w:val="center"/>
              <w:ind w:right="188"/>
              <w:spacing w:after="0"/>
              <w:rPr>
                <w:sz w:val="20"/>
                <w:szCs w:val="20"/>
                <w:color w:val="auto"/>
              </w:rPr>
            </w:pPr>
            <w:r>
              <w:rPr>
                <w:rFonts w:ascii="Calibri" w:cs="Calibri" w:eastAsia="Calibri" w:hAnsi="Calibri"/>
                <w:sz w:val="14"/>
                <w:szCs w:val="14"/>
                <w:color w:val="auto"/>
              </w:rPr>
              <w:t>Average Summary</w:t>
            </w:r>
          </w:p>
        </w:tc>
        <w:tc>
          <w:tcPr>
            <w:tcW w:w="80" w:type="dxa"/>
            <w:vAlign w:val="bottom"/>
          </w:tcPr>
          <w:p>
            <w:pPr>
              <w:spacing w:after="0"/>
              <w:rPr>
                <w:sz w:val="2"/>
                <w:szCs w:val="2"/>
                <w:color w:val="auto"/>
              </w:rPr>
            </w:pPr>
          </w:p>
        </w:tc>
        <w:tc>
          <w:tcPr>
            <w:tcW w:w="1260" w:type="dxa"/>
            <w:vAlign w:val="bottom"/>
            <w:tcBorders>
              <w:right w:val="single" w:sz="8" w:color="auto"/>
            </w:tcBorders>
            <w:vMerge w:val="restart"/>
          </w:tcPr>
          <w:p>
            <w:pPr>
              <w:jc w:val="center"/>
              <w:ind w:right="168"/>
              <w:spacing w:after="0"/>
              <w:rPr>
                <w:sz w:val="20"/>
                <w:szCs w:val="20"/>
                <w:color w:val="auto"/>
              </w:rPr>
            </w:pPr>
            <w:r>
              <w:rPr>
                <w:rFonts w:ascii="Calibri" w:cs="Calibri" w:eastAsia="Calibri" w:hAnsi="Calibri"/>
                <w:sz w:val="14"/>
                <w:szCs w:val="14"/>
                <w:color w:val="auto"/>
                <w:w w:val="98"/>
              </w:rPr>
              <w:t>Average</w:t>
            </w:r>
          </w:p>
        </w:tc>
        <w:tc>
          <w:tcPr>
            <w:tcW w:w="10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Borders>
              <w:right w:val="single" w:sz="8" w:color="auto"/>
            </w:tcBorders>
            <w:vMerge w:val="restart"/>
          </w:tcPr>
          <w:p>
            <w:pPr>
              <w:jc w:val="right"/>
              <w:ind w:right="388"/>
              <w:spacing w:after="0"/>
              <w:rPr>
                <w:sz w:val="20"/>
                <w:szCs w:val="20"/>
                <w:color w:val="auto"/>
              </w:rPr>
            </w:pPr>
            <w:r>
              <w:rPr>
                <w:rFonts w:ascii="Calibri" w:cs="Calibri" w:eastAsia="Calibri" w:hAnsi="Calibri"/>
                <w:sz w:val="14"/>
                <w:szCs w:val="14"/>
                <w:color w:val="auto"/>
              </w:rPr>
              <w:t>Net Income ($)</w:t>
            </w:r>
          </w:p>
        </w:tc>
        <w:tc>
          <w:tcPr>
            <w:tcW w:w="1000" w:type="dxa"/>
            <w:vAlign w:val="bottom"/>
            <w:tcBorders>
              <w:right w:val="single" w:sz="8" w:color="auto"/>
            </w:tcBorders>
            <w:gridSpan w:val="2"/>
            <w:vMerge w:val="restart"/>
          </w:tcPr>
          <w:p>
            <w:pPr>
              <w:jc w:val="center"/>
              <w:ind w:right="68"/>
              <w:spacing w:after="0"/>
              <w:rPr>
                <w:sz w:val="20"/>
                <w:szCs w:val="20"/>
                <w:color w:val="auto"/>
              </w:rPr>
            </w:pPr>
            <w:r>
              <w:rPr>
                <w:rFonts w:ascii="Calibri" w:cs="Calibri" w:eastAsia="Calibri" w:hAnsi="Calibri"/>
                <w:sz w:val="14"/>
                <w:szCs w:val="14"/>
                <w:color w:val="auto"/>
              </w:rPr>
              <w:t>CSM: OG&amp;E</w:t>
            </w:r>
          </w:p>
        </w:tc>
        <w:tc>
          <w:tcPr>
            <w:tcW w:w="0" w:type="dxa"/>
            <w:vAlign w:val="bottom"/>
          </w:tcPr>
          <w:p>
            <w:pPr>
              <w:spacing w:after="0"/>
              <w:rPr>
                <w:sz w:val="1"/>
                <w:szCs w:val="1"/>
                <w:color w:val="auto"/>
              </w:rPr>
            </w:pPr>
          </w:p>
        </w:tc>
      </w:tr>
      <w:tr>
        <w:trPr>
          <w:trHeight w:val="163"/>
        </w:trPr>
        <w:tc>
          <w:tcPr>
            <w:tcW w:w="1040" w:type="dxa"/>
            <w:vAlign w:val="bottom"/>
            <w:tcBorders>
              <w:left w:val="single" w:sz="8" w:color="auto"/>
              <w:right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Borders>
              <w:right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Borders>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1000" w:type="dxa"/>
            <w:vAlign w:val="bottom"/>
            <w:tcBorders>
              <w:right w:val="single" w:sz="8" w:color="auto"/>
            </w:tcBorders>
            <w:gridSpan w:val="2"/>
          </w:tcPr>
          <w:p>
            <w:pPr>
              <w:spacing w:after="0" w:line="164" w:lineRule="exact"/>
              <w:rPr>
                <w:sz w:val="20"/>
                <w:szCs w:val="20"/>
                <w:color w:val="auto"/>
              </w:rPr>
            </w:pPr>
            <w:r>
              <w:rPr>
                <w:rFonts w:ascii="Calibri" w:cs="Calibri" w:eastAsia="Calibri" w:hAnsi="Calibri"/>
                <w:sz w:val="14"/>
                <w:szCs w:val="14"/>
                <w:color w:val="auto"/>
              </w:rPr>
              <w:t>Company Total</w:t>
            </w:r>
          </w:p>
        </w:tc>
        <w:tc>
          <w:tcPr>
            <w:tcW w:w="80" w:type="dxa"/>
            <w:vAlign w:val="bottom"/>
          </w:tcPr>
          <w:p>
            <w:pPr>
              <w:spacing w:after="0"/>
              <w:rPr>
                <w:sz w:val="14"/>
                <w:szCs w:val="14"/>
                <w:color w:val="auto"/>
              </w:rPr>
            </w:pPr>
          </w:p>
        </w:tc>
        <w:tc>
          <w:tcPr>
            <w:tcW w:w="920" w:type="dxa"/>
            <w:vAlign w:val="bottom"/>
            <w:tcBorders>
              <w:right w:val="single" w:sz="8" w:color="auto"/>
            </w:tcBorders>
          </w:tcPr>
          <w:p>
            <w:pPr>
              <w:jc w:val="center"/>
              <w:ind w:right="148"/>
              <w:spacing w:after="0" w:line="164" w:lineRule="exact"/>
              <w:rPr>
                <w:sz w:val="20"/>
                <w:szCs w:val="20"/>
                <w:color w:val="auto"/>
              </w:rPr>
            </w:pPr>
            <w:r>
              <w:rPr>
                <w:rFonts w:ascii="Calibri" w:cs="Calibri" w:eastAsia="Calibri" w:hAnsi="Calibri"/>
                <w:sz w:val="14"/>
                <w:szCs w:val="14"/>
                <w:color w:val="auto"/>
              </w:rPr>
              <w:t>Peer Group</w:t>
            </w:r>
          </w:p>
        </w:tc>
        <w:tc>
          <w:tcPr>
            <w:tcW w:w="220" w:type="dxa"/>
            <w:vAlign w:val="bottom"/>
          </w:tcPr>
          <w:p>
            <w:pPr>
              <w:spacing w:after="0"/>
              <w:rPr>
                <w:sz w:val="14"/>
                <w:szCs w:val="14"/>
                <w:color w:val="auto"/>
              </w:rPr>
            </w:pPr>
          </w:p>
        </w:tc>
        <w:tc>
          <w:tcPr>
            <w:tcW w:w="1460" w:type="dxa"/>
            <w:vAlign w:val="bottom"/>
            <w:tcBorders>
              <w:right w:val="single" w:sz="8" w:color="auto"/>
            </w:tcBorders>
            <w:vMerge w:val="continue"/>
          </w:tcPr>
          <w:p>
            <w:pPr>
              <w:spacing w:after="0"/>
              <w:rPr>
                <w:sz w:val="14"/>
                <w:szCs w:val="14"/>
                <w:color w:val="auto"/>
              </w:rPr>
            </w:pPr>
          </w:p>
        </w:tc>
        <w:tc>
          <w:tcPr>
            <w:tcW w:w="100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040" w:type="dxa"/>
            <w:vAlign w:val="bottom"/>
            <w:tcBorders>
              <w:left w:val="single" w:sz="8" w:color="auto"/>
              <w:right w:val="single" w:sz="8" w:color="auto"/>
            </w:tcBorders>
          </w:tcPr>
          <w:p>
            <w:pPr>
              <w:spacing w:after="0"/>
              <w:rPr>
                <w:sz w:val="15"/>
                <w:szCs w:val="15"/>
                <w:color w:val="auto"/>
              </w:rPr>
            </w:pPr>
          </w:p>
        </w:tc>
        <w:tc>
          <w:tcPr>
            <w:tcW w:w="1400" w:type="dxa"/>
            <w:vAlign w:val="bottom"/>
            <w:tcBorders>
              <w:right w:val="single" w:sz="8" w:color="auto"/>
            </w:tcBorders>
            <w:gridSpan w:val="2"/>
          </w:tcPr>
          <w:p>
            <w:pPr>
              <w:ind w:left="20"/>
              <w:spacing w:after="0"/>
              <w:rPr>
                <w:sz w:val="20"/>
                <w:szCs w:val="20"/>
                <w:color w:val="auto"/>
              </w:rPr>
            </w:pPr>
            <w:r>
              <w:rPr>
                <w:rFonts w:ascii="Calibri" w:cs="Calibri" w:eastAsia="Calibri" w:hAnsi="Calibri"/>
                <w:sz w:val="14"/>
                <w:szCs w:val="14"/>
                <w:color w:val="auto"/>
              </w:rPr>
              <w:t>Compensaton Table</w:t>
            </w:r>
          </w:p>
        </w:tc>
        <w:tc>
          <w:tcPr>
            <w:tcW w:w="1380" w:type="dxa"/>
            <w:vAlign w:val="bottom"/>
            <w:tcBorders>
              <w:right w:val="single" w:sz="8" w:color="auto"/>
            </w:tcBorders>
            <w:gridSpan w:val="2"/>
          </w:tcPr>
          <w:p>
            <w:pPr>
              <w:ind w:left="20"/>
              <w:spacing w:after="0"/>
              <w:rPr>
                <w:sz w:val="20"/>
                <w:szCs w:val="20"/>
                <w:color w:val="auto"/>
              </w:rPr>
            </w:pPr>
            <w:r>
              <w:rPr>
                <w:rFonts w:ascii="Calibri" w:cs="Calibri" w:eastAsia="Calibri" w:hAnsi="Calibri"/>
                <w:sz w:val="14"/>
                <w:szCs w:val="14"/>
                <w:color w:val="auto"/>
              </w:rPr>
              <w:t>Actually Paid to PEO</w:t>
            </w:r>
          </w:p>
        </w:tc>
        <w:tc>
          <w:tcPr>
            <w:tcW w:w="1400" w:type="dxa"/>
            <w:vAlign w:val="bottom"/>
            <w:tcBorders>
              <w:right w:val="single" w:sz="8" w:color="auto"/>
            </w:tcBorders>
            <w:gridSpan w:val="2"/>
          </w:tcPr>
          <w:p>
            <w:pPr>
              <w:ind w:left="20"/>
              <w:spacing w:after="0"/>
              <w:rPr>
                <w:sz w:val="20"/>
                <w:szCs w:val="20"/>
                <w:color w:val="auto"/>
              </w:rPr>
            </w:pPr>
            <w:r>
              <w:rPr>
                <w:rFonts w:ascii="Calibri" w:cs="Calibri" w:eastAsia="Calibri" w:hAnsi="Calibri"/>
                <w:sz w:val="14"/>
                <w:szCs w:val="14"/>
                <w:color w:val="auto"/>
              </w:rPr>
              <w:t>Compensaton Table</w:t>
            </w:r>
          </w:p>
        </w:tc>
        <w:tc>
          <w:tcPr>
            <w:tcW w:w="80" w:type="dxa"/>
            <w:vAlign w:val="bottom"/>
          </w:tcPr>
          <w:p>
            <w:pPr>
              <w:spacing w:after="0"/>
              <w:rPr>
                <w:sz w:val="15"/>
                <w:szCs w:val="15"/>
                <w:color w:val="auto"/>
              </w:rPr>
            </w:pPr>
          </w:p>
        </w:tc>
        <w:tc>
          <w:tcPr>
            <w:tcW w:w="1260" w:type="dxa"/>
            <w:vAlign w:val="bottom"/>
            <w:tcBorders>
              <w:right w:val="single" w:sz="8" w:color="auto"/>
            </w:tcBorders>
          </w:tcPr>
          <w:p>
            <w:pPr>
              <w:jc w:val="center"/>
              <w:ind w:right="168"/>
              <w:spacing w:after="0"/>
              <w:rPr>
                <w:sz w:val="20"/>
                <w:szCs w:val="20"/>
                <w:color w:val="auto"/>
              </w:rPr>
            </w:pPr>
            <w:r>
              <w:rPr>
                <w:rFonts w:ascii="Calibri" w:cs="Calibri" w:eastAsia="Calibri" w:hAnsi="Calibri"/>
                <w:sz w:val="14"/>
                <w:szCs w:val="14"/>
                <w:color w:val="auto"/>
              </w:rPr>
              <w:t>Compensaton</w:t>
            </w:r>
          </w:p>
        </w:tc>
        <w:tc>
          <w:tcPr>
            <w:tcW w:w="1000" w:type="dxa"/>
            <w:vAlign w:val="bottom"/>
            <w:tcBorders>
              <w:right w:val="single" w:sz="8" w:color="auto"/>
            </w:tcBorders>
            <w:gridSpan w:val="2"/>
          </w:tcPr>
          <w:p>
            <w:pPr>
              <w:jc w:val="center"/>
              <w:ind w:right="88"/>
              <w:spacing w:after="0"/>
              <w:rPr>
                <w:sz w:val="20"/>
                <w:szCs w:val="20"/>
                <w:color w:val="auto"/>
              </w:rPr>
            </w:pPr>
            <w:r>
              <w:rPr>
                <w:rFonts w:ascii="Calibri" w:cs="Calibri" w:eastAsia="Calibri" w:hAnsi="Calibri"/>
                <w:sz w:val="14"/>
                <w:szCs w:val="14"/>
                <w:color w:val="auto"/>
              </w:rPr>
              <w:t>Shareholder</w:t>
            </w:r>
          </w:p>
        </w:tc>
        <w:tc>
          <w:tcPr>
            <w:tcW w:w="80" w:type="dxa"/>
            <w:vAlign w:val="bottom"/>
          </w:tcPr>
          <w:p>
            <w:pPr>
              <w:spacing w:after="0"/>
              <w:rPr>
                <w:sz w:val="15"/>
                <w:szCs w:val="15"/>
                <w:color w:val="auto"/>
              </w:rPr>
            </w:pPr>
          </w:p>
        </w:tc>
        <w:tc>
          <w:tcPr>
            <w:tcW w:w="920" w:type="dxa"/>
            <w:vAlign w:val="bottom"/>
            <w:tcBorders>
              <w:right w:val="single" w:sz="8" w:color="auto"/>
            </w:tcBorders>
          </w:tcPr>
          <w:p>
            <w:pPr>
              <w:jc w:val="center"/>
              <w:ind w:right="168"/>
              <w:spacing w:after="0"/>
              <w:rPr>
                <w:sz w:val="20"/>
                <w:szCs w:val="20"/>
                <w:color w:val="auto"/>
              </w:rPr>
            </w:pPr>
            <w:r>
              <w:rPr>
                <w:rFonts w:ascii="Calibri" w:cs="Calibri" w:eastAsia="Calibri" w:hAnsi="Calibri"/>
                <w:sz w:val="14"/>
                <w:szCs w:val="14"/>
                <w:color w:val="auto"/>
                <w:w w:val="97"/>
              </w:rPr>
              <w:t>Total</w:t>
            </w:r>
          </w:p>
        </w:tc>
        <w:tc>
          <w:tcPr>
            <w:tcW w:w="220" w:type="dxa"/>
            <w:vAlign w:val="bottom"/>
          </w:tcPr>
          <w:p>
            <w:pPr>
              <w:spacing w:after="0"/>
              <w:rPr>
                <w:sz w:val="15"/>
                <w:szCs w:val="15"/>
                <w:color w:val="auto"/>
              </w:rPr>
            </w:pPr>
          </w:p>
        </w:tc>
        <w:tc>
          <w:tcPr>
            <w:tcW w:w="146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gridSpan w:val="2"/>
          </w:tcPr>
          <w:p>
            <w:pPr>
              <w:jc w:val="center"/>
              <w:ind w:right="48"/>
              <w:spacing w:after="0"/>
              <w:rPr>
                <w:sz w:val="20"/>
                <w:szCs w:val="20"/>
                <w:color w:val="auto"/>
              </w:rPr>
            </w:pPr>
            <w:r>
              <w:rPr>
                <w:rFonts w:ascii="Calibri" w:cs="Calibri" w:eastAsia="Calibri" w:hAnsi="Calibri"/>
                <w:sz w:val="14"/>
                <w:szCs w:val="14"/>
                <w:color w:val="auto"/>
              </w:rPr>
              <w:t>Earnings Per</w:t>
            </w:r>
          </w:p>
        </w:tc>
        <w:tc>
          <w:tcPr>
            <w:tcW w:w="0" w:type="dxa"/>
            <w:vAlign w:val="bottom"/>
          </w:tcPr>
          <w:p>
            <w:pPr>
              <w:spacing w:after="0"/>
              <w:rPr>
                <w:sz w:val="1"/>
                <w:szCs w:val="1"/>
                <w:color w:val="auto"/>
              </w:rPr>
            </w:pPr>
          </w:p>
        </w:tc>
      </w:tr>
      <w:tr>
        <w:trPr>
          <w:trHeight w:val="175"/>
        </w:trPr>
        <w:tc>
          <w:tcPr>
            <w:tcW w:w="1040" w:type="dxa"/>
            <w:vAlign w:val="bottom"/>
            <w:tcBorders>
              <w:left w:val="single" w:sz="8" w:color="auto"/>
              <w:right w:val="single" w:sz="8" w:color="auto"/>
            </w:tcBorders>
          </w:tcPr>
          <w:p>
            <w:pPr>
              <w:spacing w:after="0"/>
              <w:rPr>
                <w:sz w:val="15"/>
                <w:szCs w:val="15"/>
                <w:color w:val="auto"/>
              </w:rPr>
            </w:pPr>
          </w:p>
        </w:tc>
        <w:tc>
          <w:tcPr>
            <w:tcW w:w="1400" w:type="dxa"/>
            <w:vAlign w:val="bottom"/>
            <w:tcBorders>
              <w:right w:val="single" w:sz="8" w:color="auto"/>
            </w:tcBorders>
            <w:gridSpan w:val="2"/>
          </w:tcPr>
          <w:p>
            <w:pPr>
              <w:jc w:val="center"/>
              <w:ind w:right="68"/>
              <w:spacing w:after="0"/>
              <w:rPr>
                <w:sz w:val="20"/>
                <w:szCs w:val="20"/>
                <w:color w:val="auto"/>
              </w:rPr>
            </w:pPr>
            <w:r>
              <w:rPr>
                <w:rFonts w:ascii="Calibri" w:cs="Calibri" w:eastAsia="Calibri" w:hAnsi="Calibri"/>
                <w:sz w:val="14"/>
                <w:szCs w:val="14"/>
                <w:color w:val="auto"/>
              </w:rPr>
              <w:t>Total for PEO ($)(1)</w:t>
            </w:r>
          </w:p>
        </w:tc>
        <w:tc>
          <w:tcPr>
            <w:tcW w:w="120" w:type="dxa"/>
            <w:vAlign w:val="bottom"/>
          </w:tcPr>
          <w:p>
            <w:pPr>
              <w:spacing w:after="0"/>
              <w:rPr>
                <w:sz w:val="15"/>
                <w:szCs w:val="15"/>
                <w:color w:val="auto"/>
              </w:rPr>
            </w:pPr>
          </w:p>
        </w:tc>
        <w:tc>
          <w:tcPr>
            <w:tcW w:w="1260" w:type="dxa"/>
            <w:vAlign w:val="bottom"/>
            <w:tcBorders>
              <w:right w:val="single" w:sz="8" w:color="auto"/>
            </w:tcBorders>
          </w:tcPr>
          <w:p>
            <w:pPr>
              <w:jc w:val="right"/>
              <w:ind w:right="608"/>
              <w:spacing w:after="0"/>
              <w:rPr>
                <w:sz w:val="20"/>
                <w:szCs w:val="20"/>
                <w:color w:val="auto"/>
              </w:rPr>
            </w:pPr>
            <w:r>
              <w:rPr>
                <w:rFonts w:ascii="Calibri" w:cs="Calibri" w:eastAsia="Calibri" w:hAnsi="Calibri"/>
                <w:sz w:val="14"/>
                <w:szCs w:val="14"/>
                <w:color w:val="auto"/>
              </w:rPr>
              <w:t>($)</w:t>
            </w:r>
          </w:p>
        </w:tc>
        <w:tc>
          <w:tcPr>
            <w:tcW w:w="80" w:type="dxa"/>
            <w:vAlign w:val="bottom"/>
          </w:tcPr>
          <w:p>
            <w:pPr>
              <w:spacing w:after="0"/>
              <w:rPr>
                <w:sz w:val="15"/>
                <w:szCs w:val="15"/>
                <w:color w:val="auto"/>
              </w:rPr>
            </w:pPr>
          </w:p>
        </w:tc>
        <w:tc>
          <w:tcPr>
            <w:tcW w:w="1320" w:type="dxa"/>
            <w:vAlign w:val="bottom"/>
            <w:tcBorders>
              <w:right w:val="single" w:sz="8" w:color="auto"/>
            </w:tcBorders>
          </w:tcPr>
          <w:p>
            <w:pPr>
              <w:jc w:val="center"/>
              <w:ind w:right="168"/>
              <w:spacing w:after="0"/>
              <w:rPr>
                <w:sz w:val="20"/>
                <w:szCs w:val="20"/>
                <w:color w:val="auto"/>
              </w:rPr>
            </w:pPr>
            <w:r>
              <w:rPr>
                <w:rFonts w:ascii="Calibri" w:cs="Calibri" w:eastAsia="Calibri" w:hAnsi="Calibri"/>
                <w:sz w:val="14"/>
                <w:szCs w:val="14"/>
                <w:color w:val="auto"/>
              </w:rPr>
              <w:t>Total for Non-PEO</w:t>
            </w:r>
          </w:p>
        </w:tc>
        <w:tc>
          <w:tcPr>
            <w:tcW w:w="80" w:type="dxa"/>
            <w:vAlign w:val="bottom"/>
          </w:tcPr>
          <w:p>
            <w:pPr>
              <w:spacing w:after="0"/>
              <w:rPr>
                <w:sz w:val="15"/>
                <w:szCs w:val="15"/>
                <w:color w:val="auto"/>
              </w:rPr>
            </w:pPr>
          </w:p>
        </w:tc>
        <w:tc>
          <w:tcPr>
            <w:tcW w:w="1260" w:type="dxa"/>
            <w:vAlign w:val="bottom"/>
            <w:tcBorders>
              <w:right w:val="single" w:sz="8" w:color="auto"/>
            </w:tcBorders>
          </w:tcPr>
          <w:p>
            <w:pPr>
              <w:jc w:val="center"/>
              <w:ind w:right="168"/>
              <w:spacing w:after="0"/>
              <w:rPr>
                <w:sz w:val="20"/>
                <w:szCs w:val="20"/>
                <w:color w:val="auto"/>
              </w:rPr>
            </w:pPr>
            <w:r>
              <w:rPr>
                <w:rFonts w:ascii="Calibri" w:cs="Calibri" w:eastAsia="Calibri" w:hAnsi="Calibri"/>
                <w:sz w:val="14"/>
                <w:szCs w:val="14"/>
                <w:color w:val="auto"/>
              </w:rPr>
              <w:t>Actually Paid to</w:t>
            </w:r>
          </w:p>
        </w:tc>
        <w:tc>
          <w:tcPr>
            <w:tcW w:w="1000" w:type="dxa"/>
            <w:vAlign w:val="bottom"/>
            <w:tcBorders>
              <w:right w:val="single" w:sz="8" w:color="auto"/>
            </w:tcBorders>
            <w:gridSpan w:val="2"/>
          </w:tcPr>
          <w:p>
            <w:pPr>
              <w:jc w:val="center"/>
              <w:ind w:right="48"/>
              <w:spacing w:after="0"/>
              <w:rPr>
                <w:sz w:val="20"/>
                <w:szCs w:val="20"/>
                <w:color w:val="auto"/>
              </w:rPr>
            </w:pPr>
            <w:r>
              <w:rPr>
                <w:rFonts w:ascii="Calibri" w:cs="Calibri" w:eastAsia="Calibri" w:hAnsi="Calibri"/>
                <w:sz w:val="14"/>
                <w:szCs w:val="14"/>
                <w:color w:val="auto"/>
              </w:rPr>
              <w:t>Return ($)(2)</w:t>
            </w:r>
          </w:p>
        </w:tc>
        <w:tc>
          <w:tcPr>
            <w:tcW w:w="1000" w:type="dxa"/>
            <w:vAlign w:val="bottom"/>
            <w:tcBorders>
              <w:right w:val="single" w:sz="8" w:color="auto"/>
            </w:tcBorders>
            <w:gridSpan w:val="2"/>
          </w:tcPr>
          <w:p>
            <w:pPr>
              <w:jc w:val="center"/>
              <w:ind w:right="88"/>
              <w:spacing w:after="0"/>
              <w:rPr>
                <w:sz w:val="20"/>
                <w:szCs w:val="20"/>
                <w:color w:val="auto"/>
              </w:rPr>
            </w:pPr>
            <w:r>
              <w:rPr>
                <w:rFonts w:ascii="Calibri" w:cs="Calibri" w:eastAsia="Calibri" w:hAnsi="Calibri"/>
                <w:sz w:val="14"/>
                <w:szCs w:val="14"/>
                <w:color w:val="auto"/>
              </w:rPr>
              <w:t>Shareholder</w:t>
            </w:r>
          </w:p>
        </w:tc>
        <w:tc>
          <w:tcPr>
            <w:tcW w:w="220" w:type="dxa"/>
            <w:vAlign w:val="bottom"/>
          </w:tcPr>
          <w:p>
            <w:pPr>
              <w:spacing w:after="0"/>
              <w:rPr>
                <w:sz w:val="15"/>
                <w:szCs w:val="15"/>
                <w:color w:val="auto"/>
              </w:rPr>
            </w:pPr>
          </w:p>
        </w:tc>
        <w:tc>
          <w:tcPr>
            <w:tcW w:w="14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Borders>
              <w:right w:val="single" w:sz="8" w:color="auto"/>
            </w:tcBorders>
          </w:tcPr>
          <w:p>
            <w:pPr>
              <w:jc w:val="center"/>
              <w:ind w:right="188"/>
              <w:spacing w:after="0"/>
              <w:rPr>
                <w:sz w:val="20"/>
                <w:szCs w:val="20"/>
                <w:color w:val="auto"/>
              </w:rPr>
            </w:pPr>
            <w:r>
              <w:rPr>
                <w:rFonts w:ascii="Calibri" w:cs="Calibri" w:eastAsia="Calibri" w:hAnsi="Calibri"/>
                <w:sz w:val="14"/>
                <w:szCs w:val="14"/>
                <w:color w:val="auto"/>
              </w:rPr>
              <w:t>Share (4)</w:t>
            </w:r>
          </w:p>
        </w:tc>
        <w:tc>
          <w:tcPr>
            <w:tcW w:w="0" w:type="dxa"/>
            <w:vAlign w:val="bottom"/>
          </w:tcPr>
          <w:p>
            <w:pPr>
              <w:spacing w:after="0"/>
              <w:rPr>
                <w:sz w:val="1"/>
                <w:szCs w:val="1"/>
                <w:color w:val="auto"/>
              </w:rPr>
            </w:pPr>
          </w:p>
        </w:tc>
      </w:tr>
      <w:tr>
        <w:trPr>
          <w:trHeight w:val="175"/>
        </w:trPr>
        <w:tc>
          <w:tcPr>
            <w:tcW w:w="1040" w:type="dxa"/>
            <w:vAlign w:val="bottom"/>
            <w:tcBorders>
              <w:left w:val="single" w:sz="8" w:color="auto"/>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Borders>
              <w:right w:val="single" w:sz="8" w:color="auto"/>
            </w:tcBorders>
          </w:tcPr>
          <w:p>
            <w:pPr>
              <w:jc w:val="center"/>
              <w:ind w:right="188"/>
              <w:spacing w:after="0"/>
              <w:rPr>
                <w:sz w:val="20"/>
                <w:szCs w:val="20"/>
                <w:color w:val="auto"/>
              </w:rPr>
            </w:pPr>
            <w:r>
              <w:rPr>
                <w:rFonts w:ascii="Calibri" w:cs="Calibri" w:eastAsia="Calibri" w:hAnsi="Calibri"/>
                <w:sz w:val="14"/>
                <w:szCs w:val="14"/>
                <w:color w:val="auto"/>
              </w:rPr>
              <w:t>Named Executve</w:t>
            </w:r>
          </w:p>
        </w:tc>
        <w:tc>
          <w:tcPr>
            <w:tcW w:w="80" w:type="dxa"/>
            <w:vAlign w:val="bottom"/>
          </w:tcPr>
          <w:p>
            <w:pPr>
              <w:spacing w:after="0"/>
              <w:rPr>
                <w:sz w:val="15"/>
                <w:szCs w:val="15"/>
                <w:color w:val="auto"/>
              </w:rPr>
            </w:pPr>
          </w:p>
        </w:tc>
        <w:tc>
          <w:tcPr>
            <w:tcW w:w="1260" w:type="dxa"/>
            <w:vAlign w:val="bottom"/>
            <w:tcBorders>
              <w:right w:val="single" w:sz="8" w:color="auto"/>
            </w:tcBorders>
          </w:tcPr>
          <w:p>
            <w:pPr>
              <w:jc w:val="center"/>
              <w:ind w:right="168"/>
              <w:spacing w:after="0"/>
              <w:rPr>
                <w:sz w:val="20"/>
                <w:szCs w:val="20"/>
                <w:color w:val="auto"/>
              </w:rPr>
            </w:pPr>
            <w:r>
              <w:rPr>
                <w:rFonts w:ascii="Calibri" w:cs="Calibri" w:eastAsia="Calibri" w:hAnsi="Calibri"/>
                <w:sz w:val="14"/>
                <w:szCs w:val="14"/>
                <w:color w:val="auto"/>
              </w:rPr>
              <w:t>Non-PEO Named</w:t>
            </w:r>
          </w:p>
        </w:tc>
        <w:tc>
          <w:tcPr>
            <w:tcW w:w="12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gridSpan w:val="2"/>
          </w:tcPr>
          <w:p>
            <w:pPr>
              <w:jc w:val="center"/>
              <w:ind w:right="48"/>
              <w:spacing w:after="0"/>
              <w:rPr>
                <w:sz w:val="20"/>
                <w:szCs w:val="20"/>
                <w:color w:val="auto"/>
              </w:rPr>
            </w:pPr>
            <w:r>
              <w:rPr>
                <w:rFonts w:ascii="Calibri" w:cs="Calibri" w:eastAsia="Calibri" w:hAnsi="Calibri"/>
                <w:sz w:val="14"/>
                <w:szCs w:val="14"/>
                <w:color w:val="auto"/>
              </w:rPr>
              <w:t>Return ($)(2)</w:t>
            </w:r>
          </w:p>
        </w:tc>
        <w:tc>
          <w:tcPr>
            <w:tcW w:w="220" w:type="dxa"/>
            <w:vAlign w:val="bottom"/>
          </w:tcPr>
          <w:p>
            <w:pPr>
              <w:spacing w:after="0"/>
              <w:rPr>
                <w:sz w:val="15"/>
                <w:szCs w:val="15"/>
                <w:color w:val="auto"/>
              </w:rPr>
            </w:pPr>
          </w:p>
        </w:tc>
        <w:tc>
          <w:tcPr>
            <w:tcW w:w="14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40" w:type="dxa"/>
            <w:vAlign w:val="bottom"/>
            <w:tcBorders>
              <w:left w:val="single" w:sz="8" w:color="auto"/>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Borders>
              <w:right w:val="single" w:sz="8" w:color="auto"/>
            </w:tcBorders>
          </w:tcPr>
          <w:p>
            <w:pPr>
              <w:jc w:val="center"/>
              <w:ind w:right="168"/>
              <w:spacing w:after="0"/>
              <w:rPr>
                <w:sz w:val="20"/>
                <w:szCs w:val="20"/>
                <w:color w:val="auto"/>
              </w:rPr>
            </w:pPr>
            <w:r>
              <w:rPr>
                <w:rFonts w:ascii="Calibri" w:cs="Calibri" w:eastAsia="Calibri" w:hAnsi="Calibri"/>
                <w:sz w:val="14"/>
                <w:szCs w:val="14"/>
                <w:color w:val="auto"/>
              </w:rPr>
              <w:t>Ofcers ($)(1)</w:t>
            </w:r>
          </w:p>
        </w:tc>
        <w:tc>
          <w:tcPr>
            <w:tcW w:w="80" w:type="dxa"/>
            <w:vAlign w:val="bottom"/>
          </w:tcPr>
          <w:p>
            <w:pPr>
              <w:spacing w:after="0"/>
              <w:rPr>
                <w:sz w:val="15"/>
                <w:szCs w:val="15"/>
                <w:color w:val="auto"/>
              </w:rPr>
            </w:pPr>
          </w:p>
        </w:tc>
        <w:tc>
          <w:tcPr>
            <w:tcW w:w="1260" w:type="dxa"/>
            <w:vAlign w:val="bottom"/>
            <w:tcBorders>
              <w:right w:val="single" w:sz="8" w:color="auto"/>
            </w:tcBorders>
          </w:tcPr>
          <w:p>
            <w:pPr>
              <w:jc w:val="center"/>
              <w:ind w:right="168"/>
              <w:spacing w:after="0"/>
              <w:rPr>
                <w:sz w:val="20"/>
                <w:szCs w:val="20"/>
                <w:color w:val="auto"/>
              </w:rPr>
            </w:pPr>
            <w:r>
              <w:rPr>
                <w:rFonts w:ascii="Calibri" w:cs="Calibri" w:eastAsia="Calibri" w:hAnsi="Calibri"/>
                <w:sz w:val="14"/>
                <w:szCs w:val="14"/>
                <w:color w:val="auto"/>
              </w:rPr>
              <w:t>Executve Ofcers</w:t>
            </w:r>
          </w:p>
        </w:tc>
        <w:tc>
          <w:tcPr>
            <w:tcW w:w="12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Borders>
              <w:right w:val="single" w:sz="8" w:color="auto"/>
            </w:tcBorders>
          </w:tcPr>
          <w:p>
            <w:pPr>
              <w:jc w:val="center"/>
              <w:ind w:right="128"/>
              <w:spacing w:after="0"/>
              <w:rPr>
                <w:sz w:val="20"/>
                <w:szCs w:val="20"/>
                <w:color w:val="auto"/>
              </w:rPr>
            </w:pPr>
            <w:r>
              <w:rPr>
                <w:rFonts w:ascii="Calibri" w:cs="Calibri" w:eastAsia="Calibri" w:hAnsi="Calibri"/>
                <w:sz w:val="14"/>
                <w:szCs w:val="14"/>
                <w:color w:val="auto"/>
              </w:rPr>
              <w:t>(3)</w:t>
            </w:r>
          </w:p>
        </w:tc>
        <w:tc>
          <w:tcPr>
            <w:tcW w:w="220" w:type="dxa"/>
            <w:vAlign w:val="bottom"/>
          </w:tcPr>
          <w:p>
            <w:pPr>
              <w:spacing w:after="0"/>
              <w:rPr>
                <w:sz w:val="15"/>
                <w:szCs w:val="15"/>
                <w:color w:val="auto"/>
              </w:rPr>
            </w:pPr>
          </w:p>
        </w:tc>
        <w:tc>
          <w:tcPr>
            <w:tcW w:w="14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40" w:type="dxa"/>
            <w:vAlign w:val="bottom"/>
            <w:tcBorders>
              <w:left w:val="single" w:sz="8" w:color="auto"/>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Borders>
              <w:right w:val="single" w:sz="8" w:color="auto"/>
            </w:tcBorders>
          </w:tcPr>
          <w:p>
            <w:pPr>
              <w:jc w:val="center"/>
              <w:ind w:right="148"/>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1040" w:type="dxa"/>
            <w:vAlign w:val="bottom"/>
            <w:tcBorders>
              <w:left w:val="single" w:sz="8" w:color="auto"/>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1040" w:type="dxa"/>
            <w:vAlign w:val="bottom"/>
            <w:tcBorders>
              <w:left w:val="single" w:sz="8" w:color="auto"/>
              <w:right w:val="single" w:sz="8" w:color="auto"/>
            </w:tcBorders>
          </w:tcPr>
          <w:p>
            <w:pPr>
              <w:jc w:val="center"/>
              <w:spacing w:after="0" w:line="164" w:lineRule="exact"/>
              <w:rPr>
                <w:sz w:val="20"/>
                <w:szCs w:val="20"/>
                <w:color w:val="auto"/>
              </w:rPr>
            </w:pPr>
            <w:r>
              <w:rPr>
                <w:rFonts w:ascii="Calibri" w:cs="Calibri" w:eastAsia="Calibri" w:hAnsi="Calibri"/>
                <w:sz w:val="14"/>
                <w:szCs w:val="14"/>
                <w:color w:val="auto"/>
              </w:rPr>
              <w:t>(a)</w:t>
            </w:r>
          </w:p>
        </w:tc>
        <w:tc>
          <w:tcPr>
            <w:tcW w:w="200" w:type="dxa"/>
            <w:vAlign w:val="bottom"/>
          </w:tcPr>
          <w:p>
            <w:pPr>
              <w:spacing w:after="0"/>
              <w:rPr>
                <w:sz w:val="14"/>
                <w:szCs w:val="14"/>
                <w:color w:val="auto"/>
              </w:rPr>
            </w:pPr>
          </w:p>
        </w:tc>
        <w:tc>
          <w:tcPr>
            <w:tcW w:w="1200" w:type="dxa"/>
            <w:vAlign w:val="bottom"/>
            <w:tcBorders>
              <w:right w:val="single" w:sz="8" w:color="auto"/>
            </w:tcBorders>
          </w:tcPr>
          <w:p>
            <w:pPr>
              <w:jc w:val="center"/>
              <w:ind w:right="288"/>
              <w:spacing w:after="0" w:line="164" w:lineRule="exact"/>
              <w:rPr>
                <w:sz w:val="20"/>
                <w:szCs w:val="20"/>
                <w:color w:val="auto"/>
              </w:rPr>
            </w:pPr>
            <w:r>
              <w:rPr>
                <w:rFonts w:ascii="Calibri" w:cs="Calibri" w:eastAsia="Calibri" w:hAnsi="Calibri"/>
                <w:sz w:val="14"/>
                <w:szCs w:val="14"/>
                <w:color w:val="auto"/>
              </w:rPr>
              <w:t>(b)</w:t>
            </w:r>
          </w:p>
        </w:tc>
        <w:tc>
          <w:tcPr>
            <w:tcW w:w="120" w:type="dxa"/>
            <w:vAlign w:val="bottom"/>
          </w:tcPr>
          <w:p>
            <w:pPr>
              <w:spacing w:after="0"/>
              <w:rPr>
                <w:sz w:val="14"/>
                <w:szCs w:val="14"/>
                <w:color w:val="auto"/>
              </w:rPr>
            </w:pPr>
          </w:p>
        </w:tc>
        <w:tc>
          <w:tcPr>
            <w:tcW w:w="1260" w:type="dxa"/>
            <w:vAlign w:val="bottom"/>
            <w:tcBorders>
              <w:right w:val="single" w:sz="8" w:color="auto"/>
            </w:tcBorders>
          </w:tcPr>
          <w:p>
            <w:pPr>
              <w:jc w:val="right"/>
              <w:ind w:right="608"/>
              <w:spacing w:after="0" w:line="164" w:lineRule="exact"/>
              <w:rPr>
                <w:sz w:val="20"/>
                <w:szCs w:val="20"/>
                <w:color w:val="auto"/>
              </w:rPr>
            </w:pPr>
            <w:r>
              <w:rPr>
                <w:rFonts w:ascii="Calibri" w:cs="Calibri" w:eastAsia="Calibri" w:hAnsi="Calibri"/>
                <w:sz w:val="14"/>
                <w:szCs w:val="14"/>
                <w:color w:val="auto"/>
              </w:rPr>
              <w:t>(c)</w:t>
            </w:r>
          </w:p>
        </w:tc>
        <w:tc>
          <w:tcPr>
            <w:tcW w:w="80" w:type="dxa"/>
            <w:vAlign w:val="bottom"/>
          </w:tcPr>
          <w:p>
            <w:pPr>
              <w:spacing w:after="0"/>
              <w:rPr>
                <w:sz w:val="14"/>
                <w:szCs w:val="14"/>
                <w:color w:val="auto"/>
              </w:rPr>
            </w:pPr>
          </w:p>
        </w:tc>
        <w:tc>
          <w:tcPr>
            <w:tcW w:w="1320" w:type="dxa"/>
            <w:vAlign w:val="bottom"/>
            <w:tcBorders>
              <w:right w:val="single" w:sz="8" w:color="auto"/>
            </w:tcBorders>
          </w:tcPr>
          <w:p>
            <w:pPr>
              <w:jc w:val="center"/>
              <w:ind w:right="148"/>
              <w:spacing w:after="0" w:line="164" w:lineRule="exact"/>
              <w:rPr>
                <w:sz w:val="20"/>
                <w:szCs w:val="20"/>
                <w:color w:val="auto"/>
              </w:rPr>
            </w:pPr>
            <w:r>
              <w:rPr>
                <w:rFonts w:ascii="Calibri" w:cs="Calibri" w:eastAsia="Calibri" w:hAnsi="Calibri"/>
                <w:sz w:val="14"/>
                <w:szCs w:val="14"/>
                <w:color w:val="auto"/>
              </w:rPr>
              <w:t>(d)</w:t>
            </w:r>
          </w:p>
        </w:tc>
        <w:tc>
          <w:tcPr>
            <w:tcW w:w="80" w:type="dxa"/>
            <w:vAlign w:val="bottom"/>
          </w:tcPr>
          <w:p>
            <w:pPr>
              <w:spacing w:after="0"/>
              <w:rPr>
                <w:sz w:val="14"/>
                <w:szCs w:val="14"/>
                <w:color w:val="auto"/>
              </w:rPr>
            </w:pPr>
          </w:p>
        </w:tc>
        <w:tc>
          <w:tcPr>
            <w:tcW w:w="1260" w:type="dxa"/>
            <w:vAlign w:val="bottom"/>
            <w:tcBorders>
              <w:right w:val="single" w:sz="8" w:color="auto"/>
            </w:tcBorders>
          </w:tcPr>
          <w:p>
            <w:pPr>
              <w:jc w:val="center"/>
              <w:ind w:right="148"/>
              <w:spacing w:after="0" w:line="164" w:lineRule="exact"/>
              <w:rPr>
                <w:sz w:val="20"/>
                <w:szCs w:val="20"/>
                <w:color w:val="auto"/>
              </w:rPr>
            </w:pPr>
            <w:r>
              <w:rPr>
                <w:rFonts w:ascii="Calibri" w:cs="Calibri" w:eastAsia="Calibri" w:hAnsi="Calibri"/>
                <w:sz w:val="14"/>
                <w:szCs w:val="14"/>
                <w:color w:val="auto"/>
              </w:rPr>
              <w:t>(e)</w:t>
            </w:r>
          </w:p>
        </w:tc>
        <w:tc>
          <w:tcPr>
            <w:tcW w:w="120" w:type="dxa"/>
            <w:vAlign w:val="bottom"/>
          </w:tcPr>
          <w:p>
            <w:pPr>
              <w:spacing w:after="0"/>
              <w:rPr>
                <w:sz w:val="14"/>
                <w:szCs w:val="14"/>
                <w:color w:val="auto"/>
              </w:rPr>
            </w:pPr>
          </w:p>
        </w:tc>
        <w:tc>
          <w:tcPr>
            <w:tcW w:w="880" w:type="dxa"/>
            <w:vAlign w:val="bottom"/>
            <w:tcBorders>
              <w:right w:val="single" w:sz="8" w:color="auto"/>
            </w:tcBorders>
          </w:tcPr>
          <w:p>
            <w:pPr>
              <w:jc w:val="center"/>
              <w:ind w:right="168"/>
              <w:spacing w:after="0" w:line="164" w:lineRule="exact"/>
              <w:rPr>
                <w:sz w:val="20"/>
                <w:szCs w:val="20"/>
                <w:color w:val="auto"/>
              </w:rPr>
            </w:pPr>
            <w:r>
              <w:rPr>
                <w:rFonts w:ascii="Calibri" w:cs="Calibri" w:eastAsia="Calibri" w:hAnsi="Calibri"/>
                <w:sz w:val="14"/>
                <w:szCs w:val="14"/>
                <w:color w:val="auto"/>
                <w:w w:val="93"/>
              </w:rPr>
              <w:t>(f)</w:t>
            </w:r>
          </w:p>
        </w:tc>
        <w:tc>
          <w:tcPr>
            <w:tcW w:w="80" w:type="dxa"/>
            <w:vAlign w:val="bottom"/>
          </w:tcPr>
          <w:p>
            <w:pPr>
              <w:spacing w:after="0"/>
              <w:rPr>
                <w:sz w:val="14"/>
                <w:szCs w:val="14"/>
                <w:color w:val="auto"/>
              </w:rPr>
            </w:pPr>
          </w:p>
        </w:tc>
        <w:tc>
          <w:tcPr>
            <w:tcW w:w="920" w:type="dxa"/>
            <w:vAlign w:val="bottom"/>
            <w:tcBorders>
              <w:right w:val="single" w:sz="8" w:color="auto"/>
            </w:tcBorders>
          </w:tcPr>
          <w:p>
            <w:pPr>
              <w:jc w:val="center"/>
              <w:ind w:right="128"/>
              <w:spacing w:after="0" w:line="164" w:lineRule="exact"/>
              <w:rPr>
                <w:sz w:val="20"/>
                <w:szCs w:val="20"/>
                <w:color w:val="auto"/>
              </w:rPr>
            </w:pPr>
            <w:r>
              <w:rPr>
                <w:rFonts w:ascii="Calibri" w:cs="Calibri" w:eastAsia="Calibri" w:hAnsi="Calibri"/>
                <w:sz w:val="14"/>
                <w:szCs w:val="14"/>
                <w:color w:val="auto"/>
              </w:rPr>
              <w:t>(g)</w:t>
            </w:r>
          </w:p>
        </w:tc>
        <w:tc>
          <w:tcPr>
            <w:tcW w:w="220" w:type="dxa"/>
            <w:vAlign w:val="bottom"/>
          </w:tcPr>
          <w:p>
            <w:pPr>
              <w:spacing w:after="0"/>
              <w:rPr>
                <w:sz w:val="14"/>
                <w:szCs w:val="14"/>
                <w:color w:val="auto"/>
              </w:rPr>
            </w:pPr>
          </w:p>
        </w:tc>
        <w:tc>
          <w:tcPr>
            <w:tcW w:w="1460" w:type="dxa"/>
            <w:vAlign w:val="bottom"/>
            <w:tcBorders>
              <w:right w:val="single" w:sz="8" w:color="auto"/>
            </w:tcBorders>
          </w:tcPr>
          <w:p>
            <w:pPr>
              <w:jc w:val="right"/>
              <w:ind w:right="748"/>
              <w:spacing w:after="0" w:line="164" w:lineRule="exact"/>
              <w:rPr>
                <w:sz w:val="20"/>
                <w:szCs w:val="20"/>
                <w:color w:val="auto"/>
              </w:rPr>
            </w:pPr>
            <w:r>
              <w:rPr>
                <w:rFonts w:ascii="Calibri" w:cs="Calibri" w:eastAsia="Calibri" w:hAnsi="Calibri"/>
                <w:sz w:val="14"/>
                <w:szCs w:val="14"/>
                <w:color w:val="auto"/>
              </w:rPr>
              <w:t>(h)</w:t>
            </w:r>
          </w:p>
        </w:tc>
        <w:tc>
          <w:tcPr>
            <w:tcW w:w="140" w:type="dxa"/>
            <w:vAlign w:val="bottom"/>
          </w:tcPr>
          <w:p>
            <w:pPr>
              <w:spacing w:after="0"/>
              <w:rPr>
                <w:sz w:val="14"/>
                <w:szCs w:val="14"/>
                <w:color w:val="auto"/>
              </w:rPr>
            </w:pPr>
          </w:p>
        </w:tc>
        <w:tc>
          <w:tcPr>
            <w:tcW w:w="860" w:type="dxa"/>
            <w:vAlign w:val="bottom"/>
            <w:tcBorders>
              <w:right w:val="single" w:sz="8" w:color="auto"/>
            </w:tcBorders>
          </w:tcPr>
          <w:p>
            <w:pPr>
              <w:jc w:val="center"/>
              <w:ind w:right="188"/>
              <w:spacing w:after="0" w:line="164" w:lineRule="exact"/>
              <w:rPr>
                <w:sz w:val="20"/>
                <w:szCs w:val="20"/>
                <w:color w:val="auto"/>
              </w:rPr>
            </w:pPr>
            <w:r>
              <w:rPr>
                <w:rFonts w:ascii="Calibri" w:cs="Calibri" w:eastAsia="Calibri" w:hAnsi="Calibri"/>
                <w:sz w:val="14"/>
                <w:szCs w:val="14"/>
                <w:color w:val="auto"/>
              </w:rPr>
              <w:t>(i)</w:t>
            </w:r>
          </w:p>
        </w:tc>
        <w:tc>
          <w:tcPr>
            <w:tcW w:w="0" w:type="dxa"/>
            <w:vAlign w:val="bottom"/>
          </w:tcPr>
          <w:p>
            <w:pPr>
              <w:spacing w:after="0"/>
              <w:rPr>
                <w:sz w:val="1"/>
                <w:szCs w:val="1"/>
                <w:color w:val="auto"/>
              </w:rPr>
            </w:pPr>
          </w:p>
        </w:tc>
      </w:tr>
      <w:tr>
        <w:trPr>
          <w:trHeight w:val="33"/>
        </w:trPr>
        <w:tc>
          <w:tcPr>
            <w:tcW w:w="1040" w:type="dxa"/>
            <w:vAlign w:val="bottom"/>
            <w:tcBorders>
              <w:left w:val="single" w:sz="8" w:color="auto"/>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040" w:type="dxa"/>
            <w:vAlign w:val="bottom"/>
            <w:tcBorders>
              <w:left w:val="single" w:sz="8" w:color="auto"/>
              <w:bottom w:val="single" w:sz="8" w:color="E5E5E5"/>
              <w:right w:val="single" w:sz="8" w:color="auto"/>
            </w:tcBorders>
            <w:shd w:val="clear" w:color="auto" w:fill="E5E5E5"/>
          </w:tcPr>
          <w:p>
            <w:pPr>
              <w:jc w:val="center"/>
              <w:spacing w:after="0" w:line="164" w:lineRule="exact"/>
              <w:rPr>
                <w:sz w:val="20"/>
                <w:szCs w:val="20"/>
                <w:color w:val="auto"/>
              </w:rPr>
            </w:pPr>
            <w:r>
              <w:rPr>
                <w:rFonts w:ascii="Calibri" w:cs="Calibri" w:eastAsia="Calibri" w:hAnsi="Calibri"/>
                <w:sz w:val="14"/>
                <w:szCs w:val="14"/>
                <w:color w:val="auto"/>
                <w:w w:val="98"/>
              </w:rPr>
              <w:t>2023</w:t>
            </w:r>
          </w:p>
        </w:tc>
        <w:tc>
          <w:tcPr>
            <w:tcW w:w="200" w:type="dxa"/>
            <w:vAlign w:val="bottom"/>
            <w:tcBorders>
              <w:bottom w:val="single" w:sz="8" w:color="E5E5E5"/>
            </w:tcBorders>
            <w:shd w:val="clear" w:color="auto" w:fill="E5E5E5"/>
          </w:tcPr>
          <w:p>
            <w:pPr>
              <w:spacing w:after="0" w:line="164" w:lineRule="exact"/>
              <w:rPr>
                <w:sz w:val="20"/>
                <w:szCs w:val="20"/>
                <w:color w:val="auto"/>
              </w:rPr>
            </w:pPr>
            <w:r>
              <w:rPr>
                <w:rFonts w:ascii="Calibri" w:cs="Calibri" w:eastAsia="Calibri" w:hAnsi="Calibri"/>
                <w:sz w:val="14"/>
                <w:szCs w:val="14"/>
                <w:color w:val="auto"/>
              </w:rPr>
              <w:t>$</w:t>
            </w:r>
          </w:p>
        </w:tc>
        <w:tc>
          <w:tcPr>
            <w:tcW w:w="1200" w:type="dxa"/>
            <w:vAlign w:val="bottom"/>
            <w:tcBorders>
              <w:bottom w:val="single" w:sz="8" w:color="E5E5E5"/>
              <w:right w:val="single" w:sz="8" w:color="auto"/>
            </w:tcBorders>
            <w:shd w:val="clear" w:color="auto" w:fill="E5E5E5"/>
          </w:tcPr>
          <w:p>
            <w:pPr>
              <w:jc w:val="right"/>
              <w:ind w:right="88"/>
              <w:spacing w:after="0" w:line="164" w:lineRule="exact"/>
              <w:rPr>
                <w:sz w:val="20"/>
                <w:szCs w:val="20"/>
                <w:color w:val="auto"/>
              </w:rPr>
            </w:pPr>
            <w:r>
              <w:rPr>
                <w:rFonts w:ascii="Calibri" w:cs="Calibri" w:eastAsia="Calibri" w:hAnsi="Calibri"/>
                <w:sz w:val="14"/>
                <w:szCs w:val="14"/>
                <w:color w:val="auto"/>
              </w:rPr>
              <w:t>8,435,166</w:t>
            </w:r>
          </w:p>
        </w:tc>
        <w:tc>
          <w:tcPr>
            <w:tcW w:w="120" w:type="dxa"/>
            <w:vAlign w:val="bottom"/>
            <w:tcBorders>
              <w:bottom w:val="single" w:sz="8" w:color="E5E5E5"/>
            </w:tcBorders>
            <w:shd w:val="clear" w:color="auto" w:fill="E5E5E5"/>
          </w:tcPr>
          <w:p>
            <w:pPr>
              <w:spacing w:after="0" w:line="164" w:lineRule="exact"/>
              <w:rPr>
                <w:sz w:val="20"/>
                <w:szCs w:val="20"/>
                <w:color w:val="auto"/>
              </w:rPr>
            </w:pPr>
            <w:r>
              <w:rPr>
                <w:rFonts w:ascii="Calibri" w:cs="Calibri" w:eastAsia="Calibri" w:hAnsi="Calibri"/>
                <w:sz w:val="14"/>
                <w:szCs w:val="14"/>
                <w:color w:val="auto"/>
              </w:rPr>
              <w:t>$</w:t>
            </w:r>
          </w:p>
        </w:tc>
        <w:tc>
          <w:tcPr>
            <w:tcW w:w="1260" w:type="dxa"/>
            <w:vAlign w:val="bottom"/>
            <w:tcBorders>
              <w:bottom w:val="single" w:sz="8" w:color="E5E5E5"/>
              <w:right w:val="single" w:sz="8" w:color="auto"/>
            </w:tcBorders>
            <w:shd w:val="clear" w:color="auto" w:fill="E5E5E5"/>
          </w:tcPr>
          <w:p>
            <w:pPr>
              <w:jc w:val="right"/>
              <w:ind w:right="68"/>
              <w:spacing w:after="0" w:line="164" w:lineRule="exact"/>
              <w:rPr>
                <w:sz w:val="20"/>
                <w:szCs w:val="20"/>
                <w:color w:val="auto"/>
              </w:rPr>
            </w:pPr>
            <w:r>
              <w:rPr>
                <w:rFonts w:ascii="Calibri" w:cs="Calibri" w:eastAsia="Calibri" w:hAnsi="Calibri"/>
                <w:sz w:val="14"/>
                <w:szCs w:val="14"/>
                <w:color w:val="auto"/>
              </w:rPr>
              <w:t>6,782,034</w:t>
            </w:r>
          </w:p>
        </w:tc>
        <w:tc>
          <w:tcPr>
            <w:tcW w:w="80" w:type="dxa"/>
            <w:vAlign w:val="bottom"/>
            <w:tcBorders>
              <w:bottom w:val="single" w:sz="8" w:color="E5E5E5"/>
            </w:tcBorders>
            <w:shd w:val="clear" w:color="auto" w:fill="E5E5E5"/>
          </w:tcPr>
          <w:p>
            <w:pPr>
              <w:spacing w:after="0" w:line="164" w:lineRule="exact"/>
              <w:rPr>
                <w:sz w:val="20"/>
                <w:szCs w:val="20"/>
                <w:color w:val="auto"/>
              </w:rPr>
            </w:pPr>
            <w:r>
              <w:rPr>
                <w:rFonts w:ascii="Calibri" w:cs="Calibri" w:eastAsia="Calibri" w:hAnsi="Calibri"/>
                <w:sz w:val="14"/>
                <w:szCs w:val="14"/>
                <w:color w:val="auto"/>
                <w:w w:val="83"/>
              </w:rPr>
              <w:t>$</w:t>
            </w:r>
          </w:p>
        </w:tc>
        <w:tc>
          <w:tcPr>
            <w:tcW w:w="1320" w:type="dxa"/>
            <w:vAlign w:val="bottom"/>
            <w:tcBorders>
              <w:bottom w:val="single" w:sz="8" w:color="E5E5E5"/>
              <w:right w:val="single" w:sz="8" w:color="auto"/>
            </w:tcBorders>
            <w:shd w:val="clear" w:color="auto" w:fill="E5E5E5"/>
          </w:tcPr>
          <w:p>
            <w:pPr>
              <w:jc w:val="right"/>
              <w:ind w:right="68"/>
              <w:spacing w:after="0" w:line="164" w:lineRule="exact"/>
              <w:rPr>
                <w:sz w:val="20"/>
                <w:szCs w:val="20"/>
                <w:color w:val="auto"/>
              </w:rPr>
            </w:pPr>
            <w:r>
              <w:rPr>
                <w:rFonts w:ascii="Calibri" w:cs="Calibri" w:eastAsia="Calibri" w:hAnsi="Calibri"/>
                <w:sz w:val="14"/>
                <w:szCs w:val="14"/>
                <w:color w:val="auto"/>
              </w:rPr>
              <w:t>1,480,334</w:t>
            </w:r>
          </w:p>
        </w:tc>
        <w:tc>
          <w:tcPr>
            <w:tcW w:w="80" w:type="dxa"/>
            <w:vAlign w:val="bottom"/>
            <w:tcBorders>
              <w:bottom w:val="single" w:sz="8" w:color="E5E5E5"/>
            </w:tcBorders>
            <w:shd w:val="clear" w:color="auto" w:fill="E5E5E5"/>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1260" w:type="dxa"/>
            <w:vAlign w:val="bottom"/>
            <w:tcBorders>
              <w:bottom w:val="single" w:sz="8" w:color="E5E5E5"/>
              <w:right w:val="single" w:sz="8" w:color="auto"/>
            </w:tcBorders>
            <w:shd w:val="clear" w:color="auto" w:fill="E5E5E5"/>
          </w:tcPr>
          <w:p>
            <w:pPr>
              <w:jc w:val="right"/>
              <w:ind w:right="48"/>
              <w:spacing w:after="0" w:line="164" w:lineRule="exact"/>
              <w:rPr>
                <w:sz w:val="20"/>
                <w:szCs w:val="20"/>
                <w:color w:val="auto"/>
              </w:rPr>
            </w:pPr>
            <w:r>
              <w:rPr>
                <w:rFonts w:ascii="Calibri" w:cs="Calibri" w:eastAsia="Calibri" w:hAnsi="Calibri"/>
                <w:sz w:val="14"/>
                <w:szCs w:val="14"/>
                <w:color w:val="auto"/>
              </w:rPr>
              <w:t>1,279,552</w:t>
            </w:r>
          </w:p>
        </w:tc>
        <w:tc>
          <w:tcPr>
            <w:tcW w:w="120" w:type="dxa"/>
            <w:vAlign w:val="bottom"/>
            <w:tcBorders>
              <w:bottom w:val="single" w:sz="8" w:color="E5E5E5"/>
            </w:tcBorders>
            <w:shd w:val="clear" w:color="auto" w:fill="E5E5E5"/>
          </w:tcPr>
          <w:p>
            <w:pPr>
              <w:spacing w:after="0" w:line="164" w:lineRule="exact"/>
              <w:rPr>
                <w:sz w:val="20"/>
                <w:szCs w:val="20"/>
                <w:color w:val="auto"/>
              </w:rPr>
            </w:pPr>
            <w:r>
              <w:rPr>
                <w:rFonts w:ascii="Calibri" w:cs="Calibri" w:eastAsia="Calibri" w:hAnsi="Calibri"/>
                <w:sz w:val="14"/>
                <w:szCs w:val="14"/>
                <w:color w:val="auto"/>
              </w:rPr>
              <w:t>$</w:t>
            </w:r>
          </w:p>
        </w:tc>
        <w:tc>
          <w:tcPr>
            <w:tcW w:w="880" w:type="dxa"/>
            <w:vAlign w:val="bottom"/>
            <w:tcBorders>
              <w:bottom w:val="single" w:sz="8" w:color="E5E5E5"/>
              <w:right w:val="single" w:sz="8" w:color="auto"/>
            </w:tcBorders>
            <w:shd w:val="clear" w:color="auto" w:fill="E5E5E5"/>
          </w:tcPr>
          <w:p>
            <w:pPr>
              <w:jc w:val="right"/>
              <w:ind w:right="48"/>
              <w:spacing w:after="0" w:line="164" w:lineRule="exact"/>
              <w:rPr>
                <w:sz w:val="20"/>
                <w:szCs w:val="20"/>
                <w:color w:val="auto"/>
              </w:rPr>
            </w:pPr>
            <w:r>
              <w:rPr>
                <w:rFonts w:ascii="Calibri" w:cs="Calibri" w:eastAsia="Calibri" w:hAnsi="Calibri"/>
                <w:sz w:val="14"/>
                <w:szCs w:val="14"/>
                <w:color w:val="auto"/>
              </w:rPr>
              <w:t>95.45</w:t>
            </w:r>
          </w:p>
        </w:tc>
        <w:tc>
          <w:tcPr>
            <w:tcW w:w="80" w:type="dxa"/>
            <w:vAlign w:val="bottom"/>
            <w:tcBorders>
              <w:bottom w:val="single" w:sz="8" w:color="E5E5E5"/>
            </w:tcBorders>
            <w:shd w:val="clear" w:color="auto" w:fill="E5E5E5"/>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920" w:type="dxa"/>
            <w:vAlign w:val="bottom"/>
            <w:tcBorders>
              <w:bottom w:val="single" w:sz="8" w:color="E5E5E5"/>
              <w:right w:val="single" w:sz="8" w:color="auto"/>
            </w:tcBorders>
            <w:shd w:val="clear" w:color="auto" w:fill="E5E5E5"/>
          </w:tcPr>
          <w:p>
            <w:pPr>
              <w:jc w:val="right"/>
              <w:ind w:right="48"/>
              <w:spacing w:after="0" w:line="164" w:lineRule="exact"/>
              <w:rPr>
                <w:sz w:val="20"/>
                <w:szCs w:val="20"/>
                <w:color w:val="auto"/>
              </w:rPr>
            </w:pPr>
            <w:r>
              <w:rPr>
                <w:rFonts w:ascii="Calibri" w:cs="Calibri" w:eastAsia="Calibri" w:hAnsi="Calibri"/>
                <w:sz w:val="14"/>
                <w:szCs w:val="14"/>
                <w:color w:val="auto"/>
              </w:rPr>
              <w:t>109.58</w:t>
            </w:r>
          </w:p>
        </w:tc>
        <w:tc>
          <w:tcPr>
            <w:tcW w:w="220" w:type="dxa"/>
            <w:vAlign w:val="bottom"/>
            <w:tcBorders>
              <w:bottom w:val="single" w:sz="8" w:color="E5E5E5"/>
            </w:tcBorders>
            <w:shd w:val="clear" w:color="auto" w:fill="E5E5E5"/>
          </w:tcPr>
          <w:p>
            <w:pPr>
              <w:jc w:val="right"/>
              <w:ind w:right="68"/>
              <w:spacing w:after="0" w:line="164" w:lineRule="exact"/>
              <w:rPr>
                <w:sz w:val="20"/>
                <w:szCs w:val="20"/>
                <w:color w:val="auto"/>
              </w:rPr>
            </w:pPr>
            <w:r>
              <w:rPr>
                <w:rFonts w:ascii="Calibri" w:cs="Calibri" w:eastAsia="Calibri" w:hAnsi="Calibri"/>
                <w:sz w:val="14"/>
                <w:szCs w:val="14"/>
                <w:color w:val="auto"/>
                <w:w w:val="83"/>
              </w:rPr>
              <w:t>$</w:t>
            </w:r>
          </w:p>
        </w:tc>
        <w:tc>
          <w:tcPr>
            <w:tcW w:w="1460" w:type="dxa"/>
            <w:vAlign w:val="bottom"/>
            <w:tcBorders>
              <w:bottom w:val="single" w:sz="8" w:color="E5E5E5"/>
              <w:right w:val="single" w:sz="8" w:color="auto"/>
            </w:tcBorders>
            <w:shd w:val="clear" w:color="auto" w:fill="E5E5E5"/>
          </w:tcPr>
          <w:p>
            <w:pPr>
              <w:jc w:val="right"/>
              <w:ind w:right="48"/>
              <w:spacing w:after="0" w:line="164" w:lineRule="exact"/>
              <w:rPr>
                <w:sz w:val="20"/>
                <w:szCs w:val="20"/>
                <w:color w:val="auto"/>
              </w:rPr>
            </w:pPr>
            <w:r>
              <w:rPr>
                <w:rFonts w:ascii="Calibri" w:cs="Calibri" w:eastAsia="Calibri" w:hAnsi="Calibri"/>
                <w:sz w:val="14"/>
                <w:szCs w:val="14"/>
                <w:color w:val="auto"/>
              </w:rPr>
              <w:t>416,800,000</w:t>
            </w:r>
          </w:p>
        </w:tc>
        <w:tc>
          <w:tcPr>
            <w:tcW w:w="140" w:type="dxa"/>
            <w:vAlign w:val="bottom"/>
            <w:tcBorders>
              <w:bottom w:val="single" w:sz="8" w:color="E5E5E5"/>
            </w:tcBorders>
            <w:shd w:val="clear" w:color="auto" w:fill="E5E5E5"/>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860" w:type="dxa"/>
            <w:vAlign w:val="bottom"/>
            <w:tcBorders>
              <w:bottom w:val="single" w:sz="8" w:color="E5E5E5"/>
              <w:right w:val="single" w:sz="8" w:color="auto"/>
            </w:tcBorders>
            <w:shd w:val="clear" w:color="auto" w:fill="E5E5E5"/>
          </w:tcPr>
          <w:p>
            <w:pPr>
              <w:jc w:val="right"/>
              <w:ind w:right="48"/>
              <w:spacing w:after="0" w:line="164" w:lineRule="exact"/>
              <w:rPr>
                <w:sz w:val="20"/>
                <w:szCs w:val="20"/>
                <w:color w:val="auto"/>
              </w:rPr>
            </w:pPr>
            <w:r>
              <w:rPr>
                <w:rFonts w:ascii="Calibri" w:cs="Calibri" w:eastAsia="Calibri" w:hAnsi="Calibri"/>
                <w:sz w:val="14"/>
                <w:szCs w:val="14"/>
                <w:color w:val="auto"/>
              </w:rPr>
              <w:t>2.12</w:t>
            </w:r>
          </w:p>
        </w:tc>
        <w:tc>
          <w:tcPr>
            <w:tcW w:w="0" w:type="dxa"/>
            <w:vAlign w:val="bottom"/>
          </w:tcPr>
          <w:p>
            <w:pPr>
              <w:spacing w:after="0"/>
              <w:rPr>
                <w:sz w:val="1"/>
                <w:szCs w:val="1"/>
                <w:color w:val="auto"/>
              </w:rPr>
            </w:pPr>
          </w:p>
        </w:tc>
      </w:tr>
      <w:tr>
        <w:trPr>
          <w:trHeight w:val="163"/>
        </w:trPr>
        <w:tc>
          <w:tcPr>
            <w:tcW w:w="1040" w:type="dxa"/>
            <w:vAlign w:val="bottom"/>
            <w:tcBorders>
              <w:top w:val="single" w:sz="8" w:color="auto"/>
              <w:left w:val="single" w:sz="8" w:color="auto"/>
              <w:right w:val="single" w:sz="8" w:color="auto"/>
            </w:tcBorders>
          </w:tcPr>
          <w:p>
            <w:pPr>
              <w:jc w:val="center"/>
              <w:spacing w:after="0" w:line="164" w:lineRule="exact"/>
              <w:rPr>
                <w:sz w:val="20"/>
                <w:szCs w:val="20"/>
                <w:color w:val="auto"/>
              </w:rPr>
            </w:pPr>
            <w:r>
              <w:rPr>
                <w:rFonts w:ascii="Calibri" w:cs="Calibri" w:eastAsia="Calibri" w:hAnsi="Calibri"/>
                <w:sz w:val="14"/>
                <w:szCs w:val="14"/>
                <w:color w:val="auto"/>
                <w:w w:val="98"/>
              </w:rPr>
              <w:t>2022</w:t>
            </w:r>
          </w:p>
        </w:tc>
        <w:tc>
          <w:tcPr>
            <w:tcW w:w="200" w:type="dxa"/>
            <w:vAlign w:val="bottom"/>
            <w:tcBorders>
              <w:top w:val="single" w:sz="8" w:color="auto"/>
            </w:tcBorders>
          </w:tcPr>
          <w:p>
            <w:pPr>
              <w:spacing w:after="0" w:line="164" w:lineRule="exact"/>
              <w:rPr>
                <w:sz w:val="20"/>
                <w:szCs w:val="20"/>
                <w:color w:val="auto"/>
              </w:rPr>
            </w:pPr>
            <w:r>
              <w:rPr>
                <w:rFonts w:ascii="Calibri" w:cs="Calibri" w:eastAsia="Calibri" w:hAnsi="Calibri"/>
                <w:sz w:val="14"/>
                <w:szCs w:val="14"/>
                <w:color w:val="auto"/>
              </w:rPr>
              <w:t>$</w:t>
            </w:r>
          </w:p>
        </w:tc>
        <w:tc>
          <w:tcPr>
            <w:tcW w:w="1200" w:type="dxa"/>
            <w:vAlign w:val="bottom"/>
            <w:tcBorders>
              <w:top w:val="single" w:sz="8" w:color="auto"/>
              <w:right w:val="single" w:sz="8" w:color="auto"/>
            </w:tcBorders>
          </w:tcPr>
          <w:p>
            <w:pPr>
              <w:jc w:val="right"/>
              <w:ind w:right="88"/>
              <w:spacing w:after="0" w:line="164" w:lineRule="exact"/>
              <w:rPr>
                <w:sz w:val="20"/>
                <w:szCs w:val="20"/>
                <w:color w:val="auto"/>
              </w:rPr>
            </w:pPr>
            <w:r>
              <w:rPr>
                <w:rFonts w:ascii="Calibri" w:cs="Calibri" w:eastAsia="Calibri" w:hAnsi="Calibri"/>
                <w:sz w:val="14"/>
                <w:szCs w:val="14"/>
                <w:color w:val="auto"/>
              </w:rPr>
              <w:t>7,303,589</w:t>
            </w:r>
          </w:p>
        </w:tc>
        <w:tc>
          <w:tcPr>
            <w:tcW w:w="120" w:type="dxa"/>
            <w:vAlign w:val="bottom"/>
            <w:tcBorders>
              <w:top w:val="single" w:sz="8" w:color="auto"/>
            </w:tcBorders>
          </w:tcPr>
          <w:p>
            <w:pPr>
              <w:spacing w:after="0" w:line="164" w:lineRule="exact"/>
              <w:rPr>
                <w:sz w:val="20"/>
                <w:szCs w:val="20"/>
                <w:color w:val="auto"/>
              </w:rPr>
            </w:pPr>
            <w:r>
              <w:rPr>
                <w:rFonts w:ascii="Calibri" w:cs="Calibri" w:eastAsia="Calibri" w:hAnsi="Calibri"/>
                <w:sz w:val="14"/>
                <w:szCs w:val="14"/>
                <w:color w:val="auto"/>
              </w:rPr>
              <w:t>$</w:t>
            </w:r>
          </w:p>
        </w:tc>
        <w:tc>
          <w:tcPr>
            <w:tcW w:w="1260" w:type="dxa"/>
            <w:vAlign w:val="bottom"/>
            <w:tcBorders>
              <w:top w:val="single" w:sz="8" w:color="auto"/>
              <w:right w:val="single" w:sz="8" w:color="auto"/>
            </w:tcBorders>
          </w:tcPr>
          <w:p>
            <w:pPr>
              <w:jc w:val="right"/>
              <w:ind w:right="68"/>
              <w:spacing w:after="0" w:line="164" w:lineRule="exact"/>
              <w:rPr>
                <w:sz w:val="20"/>
                <w:szCs w:val="20"/>
                <w:color w:val="auto"/>
              </w:rPr>
            </w:pPr>
            <w:r>
              <w:rPr>
                <w:rFonts w:ascii="Calibri" w:cs="Calibri" w:eastAsia="Calibri" w:hAnsi="Calibri"/>
                <w:sz w:val="14"/>
                <w:szCs w:val="14"/>
                <w:color w:val="auto"/>
              </w:rPr>
              <w:t>10,942,870</w:t>
            </w:r>
          </w:p>
        </w:tc>
        <w:tc>
          <w:tcPr>
            <w:tcW w:w="80" w:type="dxa"/>
            <w:vAlign w:val="bottom"/>
            <w:tcBorders>
              <w:top w:val="single" w:sz="8" w:color="auto"/>
            </w:tcBorders>
          </w:tcPr>
          <w:p>
            <w:pPr>
              <w:spacing w:after="0" w:line="164" w:lineRule="exact"/>
              <w:rPr>
                <w:sz w:val="20"/>
                <w:szCs w:val="20"/>
                <w:color w:val="auto"/>
              </w:rPr>
            </w:pPr>
            <w:r>
              <w:rPr>
                <w:rFonts w:ascii="Calibri" w:cs="Calibri" w:eastAsia="Calibri" w:hAnsi="Calibri"/>
                <w:sz w:val="14"/>
                <w:szCs w:val="14"/>
                <w:color w:val="auto"/>
                <w:w w:val="83"/>
              </w:rPr>
              <w:t>$</w:t>
            </w:r>
          </w:p>
        </w:tc>
        <w:tc>
          <w:tcPr>
            <w:tcW w:w="1320" w:type="dxa"/>
            <w:vAlign w:val="bottom"/>
            <w:tcBorders>
              <w:top w:val="single" w:sz="8" w:color="auto"/>
              <w:right w:val="single" w:sz="8" w:color="auto"/>
            </w:tcBorders>
          </w:tcPr>
          <w:p>
            <w:pPr>
              <w:jc w:val="right"/>
              <w:ind w:right="68"/>
              <w:spacing w:after="0" w:line="164" w:lineRule="exact"/>
              <w:rPr>
                <w:sz w:val="20"/>
                <w:szCs w:val="20"/>
                <w:color w:val="auto"/>
              </w:rPr>
            </w:pPr>
            <w:r>
              <w:rPr>
                <w:rFonts w:ascii="Calibri" w:cs="Calibri" w:eastAsia="Calibri" w:hAnsi="Calibri"/>
                <w:sz w:val="14"/>
                <w:szCs w:val="14"/>
                <w:color w:val="auto"/>
              </w:rPr>
              <w:t>1,326,642</w:t>
            </w:r>
          </w:p>
        </w:tc>
        <w:tc>
          <w:tcPr>
            <w:tcW w:w="8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1260" w:type="dxa"/>
            <w:vAlign w:val="bottom"/>
            <w:tcBorders>
              <w:top w:val="single" w:sz="8" w:color="auto"/>
              <w:right w:val="single" w:sz="8" w:color="auto"/>
            </w:tcBorders>
          </w:tcPr>
          <w:p>
            <w:pPr>
              <w:jc w:val="right"/>
              <w:ind w:right="48"/>
              <w:spacing w:after="0" w:line="164" w:lineRule="exact"/>
              <w:rPr>
                <w:sz w:val="20"/>
                <w:szCs w:val="20"/>
                <w:color w:val="auto"/>
              </w:rPr>
            </w:pPr>
            <w:r>
              <w:rPr>
                <w:rFonts w:ascii="Calibri" w:cs="Calibri" w:eastAsia="Calibri" w:hAnsi="Calibri"/>
                <w:sz w:val="14"/>
                <w:szCs w:val="14"/>
                <w:color w:val="auto"/>
              </w:rPr>
              <w:t>1,706,080</w:t>
            </w:r>
          </w:p>
        </w:tc>
        <w:tc>
          <w:tcPr>
            <w:tcW w:w="120" w:type="dxa"/>
            <w:vAlign w:val="bottom"/>
            <w:tcBorders>
              <w:top w:val="single" w:sz="8" w:color="auto"/>
            </w:tcBorders>
          </w:tcPr>
          <w:p>
            <w:pPr>
              <w:spacing w:after="0" w:line="164" w:lineRule="exact"/>
              <w:rPr>
                <w:sz w:val="20"/>
                <w:szCs w:val="20"/>
                <w:color w:val="auto"/>
              </w:rPr>
            </w:pPr>
            <w:r>
              <w:rPr>
                <w:rFonts w:ascii="Calibri" w:cs="Calibri" w:eastAsia="Calibri" w:hAnsi="Calibri"/>
                <w:sz w:val="14"/>
                <w:szCs w:val="14"/>
                <w:color w:val="auto"/>
              </w:rPr>
              <w:t>$</w:t>
            </w:r>
          </w:p>
        </w:tc>
        <w:tc>
          <w:tcPr>
            <w:tcW w:w="880" w:type="dxa"/>
            <w:vAlign w:val="bottom"/>
            <w:tcBorders>
              <w:top w:val="single" w:sz="8" w:color="auto"/>
              <w:right w:val="single" w:sz="8" w:color="auto"/>
            </w:tcBorders>
          </w:tcPr>
          <w:p>
            <w:pPr>
              <w:jc w:val="right"/>
              <w:ind w:right="48"/>
              <w:spacing w:after="0" w:line="164" w:lineRule="exact"/>
              <w:rPr>
                <w:sz w:val="20"/>
                <w:szCs w:val="20"/>
                <w:color w:val="auto"/>
              </w:rPr>
            </w:pPr>
            <w:r>
              <w:rPr>
                <w:rFonts w:ascii="Calibri" w:cs="Calibri" w:eastAsia="Calibri" w:hAnsi="Calibri"/>
                <w:sz w:val="14"/>
                <w:szCs w:val="14"/>
                <w:color w:val="auto"/>
              </w:rPr>
              <w:t>102.19</w:t>
            </w:r>
          </w:p>
        </w:tc>
        <w:tc>
          <w:tcPr>
            <w:tcW w:w="8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920" w:type="dxa"/>
            <w:vAlign w:val="bottom"/>
            <w:tcBorders>
              <w:top w:val="single" w:sz="8" w:color="auto"/>
              <w:right w:val="single" w:sz="8" w:color="auto"/>
            </w:tcBorders>
          </w:tcPr>
          <w:p>
            <w:pPr>
              <w:jc w:val="right"/>
              <w:ind w:right="48"/>
              <w:spacing w:after="0" w:line="164" w:lineRule="exact"/>
              <w:rPr>
                <w:sz w:val="20"/>
                <w:szCs w:val="20"/>
                <w:color w:val="auto"/>
              </w:rPr>
            </w:pPr>
            <w:r>
              <w:rPr>
                <w:rFonts w:ascii="Calibri" w:cs="Calibri" w:eastAsia="Calibri" w:hAnsi="Calibri"/>
                <w:sz w:val="14"/>
                <w:szCs w:val="14"/>
                <w:color w:val="auto"/>
              </w:rPr>
              <w:t>118.48</w:t>
            </w:r>
          </w:p>
        </w:tc>
        <w:tc>
          <w:tcPr>
            <w:tcW w:w="220" w:type="dxa"/>
            <w:vAlign w:val="bottom"/>
            <w:tcBorders>
              <w:top w:val="single" w:sz="8" w:color="auto"/>
            </w:tcBorders>
          </w:tcPr>
          <w:p>
            <w:pPr>
              <w:jc w:val="right"/>
              <w:ind w:right="68"/>
              <w:spacing w:after="0" w:line="164" w:lineRule="exact"/>
              <w:rPr>
                <w:sz w:val="20"/>
                <w:szCs w:val="20"/>
                <w:color w:val="auto"/>
              </w:rPr>
            </w:pPr>
            <w:r>
              <w:rPr>
                <w:rFonts w:ascii="Calibri" w:cs="Calibri" w:eastAsia="Calibri" w:hAnsi="Calibri"/>
                <w:sz w:val="14"/>
                <w:szCs w:val="14"/>
                <w:color w:val="auto"/>
                <w:w w:val="83"/>
              </w:rPr>
              <w:t>$</w:t>
            </w:r>
          </w:p>
        </w:tc>
        <w:tc>
          <w:tcPr>
            <w:tcW w:w="1460" w:type="dxa"/>
            <w:vAlign w:val="bottom"/>
            <w:tcBorders>
              <w:top w:val="single" w:sz="8" w:color="auto"/>
              <w:right w:val="single" w:sz="8" w:color="auto"/>
            </w:tcBorders>
          </w:tcPr>
          <w:p>
            <w:pPr>
              <w:jc w:val="right"/>
              <w:ind w:right="48"/>
              <w:spacing w:after="0" w:line="164" w:lineRule="exact"/>
              <w:rPr>
                <w:sz w:val="20"/>
                <w:szCs w:val="20"/>
                <w:color w:val="auto"/>
              </w:rPr>
            </w:pPr>
            <w:r>
              <w:rPr>
                <w:rFonts w:ascii="Calibri" w:cs="Calibri" w:eastAsia="Calibri" w:hAnsi="Calibri"/>
                <w:sz w:val="14"/>
                <w:szCs w:val="14"/>
                <w:color w:val="auto"/>
              </w:rPr>
              <w:t>665,700,000</w:t>
            </w:r>
          </w:p>
        </w:tc>
        <w:tc>
          <w:tcPr>
            <w:tcW w:w="14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860" w:type="dxa"/>
            <w:vAlign w:val="bottom"/>
            <w:tcBorders>
              <w:top w:val="single" w:sz="8" w:color="auto"/>
              <w:right w:val="single" w:sz="8" w:color="auto"/>
            </w:tcBorders>
          </w:tcPr>
          <w:p>
            <w:pPr>
              <w:jc w:val="right"/>
              <w:ind w:right="48"/>
              <w:spacing w:after="0" w:line="164" w:lineRule="exact"/>
              <w:rPr>
                <w:sz w:val="20"/>
                <w:szCs w:val="20"/>
                <w:color w:val="auto"/>
              </w:rPr>
            </w:pPr>
            <w:r>
              <w:rPr>
                <w:rFonts w:ascii="Calibri" w:cs="Calibri" w:eastAsia="Calibri" w:hAnsi="Calibri"/>
                <w:sz w:val="14"/>
                <w:szCs w:val="14"/>
                <w:color w:val="auto"/>
              </w:rPr>
              <w:t>2.19</w:t>
            </w:r>
          </w:p>
        </w:tc>
        <w:tc>
          <w:tcPr>
            <w:tcW w:w="0" w:type="dxa"/>
            <w:vAlign w:val="bottom"/>
          </w:tcPr>
          <w:p>
            <w:pPr>
              <w:spacing w:after="0"/>
              <w:rPr>
                <w:sz w:val="1"/>
                <w:szCs w:val="1"/>
                <w:color w:val="auto"/>
              </w:rPr>
            </w:pPr>
          </w:p>
        </w:tc>
      </w:tr>
      <w:tr>
        <w:trPr>
          <w:trHeight w:val="33"/>
        </w:trPr>
        <w:tc>
          <w:tcPr>
            <w:tcW w:w="1040" w:type="dxa"/>
            <w:vAlign w:val="bottom"/>
            <w:tcBorders>
              <w:left w:val="single" w:sz="8" w:color="auto"/>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040" w:type="dxa"/>
            <w:vAlign w:val="bottom"/>
            <w:tcBorders>
              <w:left w:val="single" w:sz="8" w:color="auto"/>
              <w:bottom w:val="single" w:sz="8" w:color="E5E5E5"/>
              <w:right w:val="single" w:sz="8" w:color="auto"/>
            </w:tcBorders>
            <w:shd w:val="clear" w:color="auto" w:fill="E5E5E5"/>
          </w:tcPr>
          <w:p>
            <w:pPr>
              <w:jc w:val="center"/>
              <w:spacing w:after="0" w:line="164" w:lineRule="exact"/>
              <w:rPr>
                <w:sz w:val="20"/>
                <w:szCs w:val="20"/>
                <w:color w:val="auto"/>
              </w:rPr>
            </w:pPr>
            <w:r>
              <w:rPr>
                <w:rFonts w:ascii="Calibri" w:cs="Calibri" w:eastAsia="Calibri" w:hAnsi="Calibri"/>
                <w:sz w:val="14"/>
                <w:szCs w:val="14"/>
                <w:color w:val="auto"/>
                <w:w w:val="98"/>
              </w:rPr>
              <w:t>2021</w:t>
            </w:r>
          </w:p>
        </w:tc>
        <w:tc>
          <w:tcPr>
            <w:tcW w:w="200" w:type="dxa"/>
            <w:vAlign w:val="bottom"/>
            <w:tcBorders>
              <w:bottom w:val="single" w:sz="8" w:color="E5E5E5"/>
            </w:tcBorders>
            <w:shd w:val="clear" w:color="auto" w:fill="E5E5E5"/>
          </w:tcPr>
          <w:p>
            <w:pPr>
              <w:spacing w:after="0" w:line="164" w:lineRule="exact"/>
              <w:rPr>
                <w:sz w:val="20"/>
                <w:szCs w:val="20"/>
                <w:color w:val="auto"/>
              </w:rPr>
            </w:pPr>
            <w:r>
              <w:rPr>
                <w:rFonts w:ascii="Calibri" w:cs="Calibri" w:eastAsia="Calibri" w:hAnsi="Calibri"/>
                <w:sz w:val="14"/>
                <w:szCs w:val="14"/>
                <w:color w:val="auto"/>
              </w:rPr>
              <w:t>$</w:t>
            </w:r>
          </w:p>
        </w:tc>
        <w:tc>
          <w:tcPr>
            <w:tcW w:w="1200" w:type="dxa"/>
            <w:vAlign w:val="bottom"/>
            <w:tcBorders>
              <w:bottom w:val="single" w:sz="8" w:color="E5E5E5"/>
              <w:right w:val="single" w:sz="8" w:color="auto"/>
            </w:tcBorders>
            <w:shd w:val="clear" w:color="auto" w:fill="E5E5E5"/>
          </w:tcPr>
          <w:p>
            <w:pPr>
              <w:jc w:val="right"/>
              <w:ind w:right="88"/>
              <w:spacing w:after="0" w:line="164" w:lineRule="exact"/>
              <w:rPr>
                <w:sz w:val="20"/>
                <w:szCs w:val="20"/>
                <w:color w:val="auto"/>
              </w:rPr>
            </w:pPr>
            <w:r>
              <w:rPr>
                <w:rFonts w:ascii="Calibri" w:cs="Calibri" w:eastAsia="Calibri" w:hAnsi="Calibri"/>
                <w:sz w:val="14"/>
                <w:szCs w:val="14"/>
                <w:color w:val="auto"/>
              </w:rPr>
              <w:t>8,031,634</w:t>
            </w:r>
          </w:p>
        </w:tc>
        <w:tc>
          <w:tcPr>
            <w:tcW w:w="120" w:type="dxa"/>
            <w:vAlign w:val="bottom"/>
            <w:tcBorders>
              <w:bottom w:val="single" w:sz="8" w:color="E5E5E5"/>
            </w:tcBorders>
            <w:shd w:val="clear" w:color="auto" w:fill="E5E5E5"/>
          </w:tcPr>
          <w:p>
            <w:pPr>
              <w:spacing w:after="0" w:line="164" w:lineRule="exact"/>
              <w:rPr>
                <w:sz w:val="20"/>
                <w:szCs w:val="20"/>
                <w:color w:val="auto"/>
              </w:rPr>
            </w:pPr>
            <w:r>
              <w:rPr>
                <w:rFonts w:ascii="Calibri" w:cs="Calibri" w:eastAsia="Calibri" w:hAnsi="Calibri"/>
                <w:sz w:val="14"/>
                <w:szCs w:val="14"/>
                <w:color w:val="auto"/>
              </w:rPr>
              <w:t>$</w:t>
            </w:r>
          </w:p>
        </w:tc>
        <w:tc>
          <w:tcPr>
            <w:tcW w:w="1260" w:type="dxa"/>
            <w:vAlign w:val="bottom"/>
            <w:tcBorders>
              <w:bottom w:val="single" w:sz="8" w:color="E5E5E5"/>
              <w:right w:val="single" w:sz="8" w:color="auto"/>
            </w:tcBorders>
            <w:shd w:val="clear" w:color="auto" w:fill="E5E5E5"/>
          </w:tcPr>
          <w:p>
            <w:pPr>
              <w:jc w:val="right"/>
              <w:ind w:right="68"/>
              <w:spacing w:after="0" w:line="164" w:lineRule="exact"/>
              <w:rPr>
                <w:sz w:val="20"/>
                <w:szCs w:val="20"/>
                <w:color w:val="auto"/>
              </w:rPr>
            </w:pPr>
            <w:r>
              <w:rPr>
                <w:rFonts w:ascii="Calibri" w:cs="Calibri" w:eastAsia="Calibri" w:hAnsi="Calibri"/>
                <w:sz w:val="14"/>
                <w:szCs w:val="14"/>
                <w:color w:val="auto"/>
              </w:rPr>
              <w:t>9,075,580</w:t>
            </w:r>
          </w:p>
        </w:tc>
        <w:tc>
          <w:tcPr>
            <w:tcW w:w="80" w:type="dxa"/>
            <w:vAlign w:val="bottom"/>
            <w:tcBorders>
              <w:bottom w:val="single" w:sz="8" w:color="E5E5E5"/>
            </w:tcBorders>
            <w:shd w:val="clear" w:color="auto" w:fill="E5E5E5"/>
          </w:tcPr>
          <w:p>
            <w:pPr>
              <w:spacing w:after="0" w:line="164" w:lineRule="exact"/>
              <w:rPr>
                <w:sz w:val="20"/>
                <w:szCs w:val="20"/>
                <w:color w:val="auto"/>
              </w:rPr>
            </w:pPr>
            <w:r>
              <w:rPr>
                <w:rFonts w:ascii="Calibri" w:cs="Calibri" w:eastAsia="Calibri" w:hAnsi="Calibri"/>
                <w:sz w:val="14"/>
                <w:szCs w:val="14"/>
                <w:color w:val="auto"/>
                <w:w w:val="83"/>
              </w:rPr>
              <w:t>$</w:t>
            </w:r>
          </w:p>
        </w:tc>
        <w:tc>
          <w:tcPr>
            <w:tcW w:w="1320" w:type="dxa"/>
            <w:vAlign w:val="bottom"/>
            <w:tcBorders>
              <w:bottom w:val="single" w:sz="8" w:color="E5E5E5"/>
              <w:right w:val="single" w:sz="8" w:color="auto"/>
            </w:tcBorders>
            <w:shd w:val="clear" w:color="auto" w:fill="E5E5E5"/>
          </w:tcPr>
          <w:p>
            <w:pPr>
              <w:jc w:val="right"/>
              <w:ind w:right="68"/>
              <w:spacing w:after="0" w:line="164" w:lineRule="exact"/>
              <w:rPr>
                <w:sz w:val="20"/>
                <w:szCs w:val="20"/>
                <w:color w:val="auto"/>
              </w:rPr>
            </w:pPr>
            <w:r>
              <w:rPr>
                <w:rFonts w:ascii="Calibri" w:cs="Calibri" w:eastAsia="Calibri" w:hAnsi="Calibri"/>
                <w:sz w:val="14"/>
                <w:szCs w:val="14"/>
                <w:color w:val="auto"/>
              </w:rPr>
              <w:t>1,312,638</w:t>
            </w:r>
          </w:p>
        </w:tc>
        <w:tc>
          <w:tcPr>
            <w:tcW w:w="80" w:type="dxa"/>
            <w:vAlign w:val="bottom"/>
            <w:tcBorders>
              <w:bottom w:val="single" w:sz="8" w:color="E5E5E5"/>
            </w:tcBorders>
            <w:shd w:val="clear" w:color="auto" w:fill="E5E5E5"/>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1260" w:type="dxa"/>
            <w:vAlign w:val="bottom"/>
            <w:tcBorders>
              <w:bottom w:val="single" w:sz="8" w:color="E5E5E5"/>
              <w:right w:val="single" w:sz="8" w:color="auto"/>
            </w:tcBorders>
            <w:shd w:val="clear" w:color="auto" w:fill="E5E5E5"/>
          </w:tcPr>
          <w:p>
            <w:pPr>
              <w:jc w:val="right"/>
              <w:ind w:right="48"/>
              <w:spacing w:after="0" w:line="164" w:lineRule="exact"/>
              <w:rPr>
                <w:sz w:val="20"/>
                <w:szCs w:val="20"/>
                <w:color w:val="auto"/>
              </w:rPr>
            </w:pPr>
            <w:r>
              <w:rPr>
                <w:rFonts w:ascii="Calibri" w:cs="Calibri" w:eastAsia="Calibri" w:hAnsi="Calibri"/>
                <w:sz w:val="14"/>
                <w:szCs w:val="14"/>
                <w:color w:val="auto"/>
              </w:rPr>
              <w:t>1,430,758</w:t>
            </w:r>
          </w:p>
        </w:tc>
        <w:tc>
          <w:tcPr>
            <w:tcW w:w="120" w:type="dxa"/>
            <w:vAlign w:val="bottom"/>
            <w:tcBorders>
              <w:bottom w:val="single" w:sz="8" w:color="E5E5E5"/>
            </w:tcBorders>
            <w:shd w:val="clear" w:color="auto" w:fill="E5E5E5"/>
          </w:tcPr>
          <w:p>
            <w:pPr>
              <w:spacing w:after="0" w:line="164" w:lineRule="exact"/>
              <w:rPr>
                <w:sz w:val="20"/>
                <w:szCs w:val="20"/>
                <w:color w:val="auto"/>
              </w:rPr>
            </w:pPr>
            <w:r>
              <w:rPr>
                <w:rFonts w:ascii="Calibri" w:cs="Calibri" w:eastAsia="Calibri" w:hAnsi="Calibri"/>
                <w:sz w:val="14"/>
                <w:szCs w:val="14"/>
                <w:color w:val="auto"/>
              </w:rPr>
              <w:t>$</w:t>
            </w:r>
          </w:p>
        </w:tc>
        <w:tc>
          <w:tcPr>
            <w:tcW w:w="880" w:type="dxa"/>
            <w:vAlign w:val="bottom"/>
            <w:tcBorders>
              <w:bottom w:val="single" w:sz="8" w:color="E5E5E5"/>
              <w:right w:val="single" w:sz="8" w:color="auto"/>
            </w:tcBorders>
            <w:shd w:val="clear" w:color="auto" w:fill="E5E5E5"/>
          </w:tcPr>
          <w:p>
            <w:pPr>
              <w:jc w:val="right"/>
              <w:ind w:right="48"/>
              <w:spacing w:after="0" w:line="164" w:lineRule="exact"/>
              <w:rPr>
                <w:sz w:val="20"/>
                <w:szCs w:val="20"/>
                <w:color w:val="auto"/>
              </w:rPr>
            </w:pPr>
            <w:r>
              <w:rPr>
                <w:rFonts w:ascii="Calibri" w:cs="Calibri" w:eastAsia="Calibri" w:hAnsi="Calibri"/>
                <w:sz w:val="14"/>
                <w:szCs w:val="14"/>
                <w:color w:val="auto"/>
              </w:rPr>
              <w:t>94.95</w:t>
            </w:r>
          </w:p>
        </w:tc>
        <w:tc>
          <w:tcPr>
            <w:tcW w:w="80" w:type="dxa"/>
            <w:vAlign w:val="bottom"/>
            <w:tcBorders>
              <w:bottom w:val="single" w:sz="8" w:color="E5E5E5"/>
            </w:tcBorders>
            <w:shd w:val="clear" w:color="auto" w:fill="E5E5E5"/>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920" w:type="dxa"/>
            <w:vAlign w:val="bottom"/>
            <w:tcBorders>
              <w:bottom w:val="single" w:sz="8" w:color="E5E5E5"/>
              <w:right w:val="single" w:sz="8" w:color="auto"/>
            </w:tcBorders>
            <w:shd w:val="clear" w:color="auto" w:fill="E5E5E5"/>
          </w:tcPr>
          <w:p>
            <w:pPr>
              <w:jc w:val="right"/>
              <w:ind w:right="48"/>
              <w:spacing w:after="0" w:line="164" w:lineRule="exact"/>
              <w:rPr>
                <w:sz w:val="20"/>
                <w:szCs w:val="20"/>
                <w:color w:val="auto"/>
              </w:rPr>
            </w:pPr>
            <w:r>
              <w:rPr>
                <w:rFonts w:ascii="Calibri" w:cs="Calibri" w:eastAsia="Calibri" w:hAnsi="Calibri"/>
                <w:sz w:val="14"/>
                <w:szCs w:val="14"/>
                <w:color w:val="auto"/>
              </w:rPr>
              <w:t>116.89</w:t>
            </w:r>
          </w:p>
        </w:tc>
        <w:tc>
          <w:tcPr>
            <w:tcW w:w="220" w:type="dxa"/>
            <w:vAlign w:val="bottom"/>
            <w:tcBorders>
              <w:bottom w:val="single" w:sz="8" w:color="E5E5E5"/>
            </w:tcBorders>
            <w:shd w:val="clear" w:color="auto" w:fill="E5E5E5"/>
          </w:tcPr>
          <w:p>
            <w:pPr>
              <w:jc w:val="right"/>
              <w:ind w:right="68"/>
              <w:spacing w:after="0" w:line="164" w:lineRule="exact"/>
              <w:rPr>
                <w:sz w:val="20"/>
                <w:szCs w:val="20"/>
                <w:color w:val="auto"/>
              </w:rPr>
            </w:pPr>
            <w:r>
              <w:rPr>
                <w:rFonts w:ascii="Calibri" w:cs="Calibri" w:eastAsia="Calibri" w:hAnsi="Calibri"/>
                <w:sz w:val="14"/>
                <w:szCs w:val="14"/>
                <w:color w:val="auto"/>
                <w:w w:val="83"/>
              </w:rPr>
              <w:t>$</w:t>
            </w:r>
          </w:p>
        </w:tc>
        <w:tc>
          <w:tcPr>
            <w:tcW w:w="1460" w:type="dxa"/>
            <w:vAlign w:val="bottom"/>
            <w:tcBorders>
              <w:bottom w:val="single" w:sz="8" w:color="E5E5E5"/>
              <w:right w:val="single" w:sz="8" w:color="auto"/>
            </w:tcBorders>
            <w:shd w:val="clear" w:color="auto" w:fill="E5E5E5"/>
          </w:tcPr>
          <w:p>
            <w:pPr>
              <w:jc w:val="right"/>
              <w:ind w:right="48"/>
              <w:spacing w:after="0" w:line="164" w:lineRule="exact"/>
              <w:rPr>
                <w:sz w:val="20"/>
                <w:szCs w:val="20"/>
                <w:color w:val="auto"/>
              </w:rPr>
            </w:pPr>
            <w:r>
              <w:rPr>
                <w:rFonts w:ascii="Calibri" w:cs="Calibri" w:eastAsia="Calibri" w:hAnsi="Calibri"/>
                <w:sz w:val="14"/>
                <w:szCs w:val="14"/>
                <w:color w:val="auto"/>
              </w:rPr>
              <w:t>737,300,000</w:t>
            </w:r>
          </w:p>
        </w:tc>
        <w:tc>
          <w:tcPr>
            <w:tcW w:w="140" w:type="dxa"/>
            <w:vAlign w:val="bottom"/>
            <w:tcBorders>
              <w:bottom w:val="single" w:sz="8" w:color="E5E5E5"/>
            </w:tcBorders>
            <w:shd w:val="clear" w:color="auto" w:fill="E5E5E5"/>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860" w:type="dxa"/>
            <w:vAlign w:val="bottom"/>
            <w:tcBorders>
              <w:bottom w:val="single" w:sz="8" w:color="E5E5E5"/>
              <w:right w:val="single" w:sz="8" w:color="auto"/>
            </w:tcBorders>
            <w:shd w:val="clear" w:color="auto" w:fill="E5E5E5"/>
          </w:tcPr>
          <w:p>
            <w:pPr>
              <w:jc w:val="right"/>
              <w:ind w:right="48"/>
              <w:spacing w:after="0" w:line="164" w:lineRule="exact"/>
              <w:rPr>
                <w:sz w:val="20"/>
                <w:szCs w:val="20"/>
                <w:color w:val="auto"/>
              </w:rPr>
            </w:pPr>
            <w:r>
              <w:rPr>
                <w:rFonts w:ascii="Calibri" w:cs="Calibri" w:eastAsia="Calibri" w:hAnsi="Calibri"/>
                <w:sz w:val="14"/>
                <w:szCs w:val="14"/>
                <w:color w:val="auto"/>
              </w:rPr>
              <w:t>1.80</w:t>
            </w:r>
          </w:p>
        </w:tc>
        <w:tc>
          <w:tcPr>
            <w:tcW w:w="0" w:type="dxa"/>
            <w:vAlign w:val="bottom"/>
          </w:tcPr>
          <w:p>
            <w:pPr>
              <w:spacing w:after="0"/>
              <w:rPr>
                <w:sz w:val="1"/>
                <w:szCs w:val="1"/>
                <w:color w:val="auto"/>
              </w:rPr>
            </w:pPr>
          </w:p>
        </w:tc>
      </w:tr>
      <w:tr>
        <w:trPr>
          <w:trHeight w:val="163"/>
        </w:trPr>
        <w:tc>
          <w:tcPr>
            <w:tcW w:w="1040" w:type="dxa"/>
            <w:vAlign w:val="bottom"/>
            <w:tcBorders>
              <w:top w:val="single" w:sz="8" w:color="auto"/>
              <w:left w:val="single" w:sz="8" w:color="auto"/>
              <w:right w:val="single" w:sz="8" w:color="auto"/>
            </w:tcBorders>
          </w:tcPr>
          <w:p>
            <w:pPr>
              <w:jc w:val="center"/>
              <w:spacing w:after="0" w:line="164" w:lineRule="exact"/>
              <w:rPr>
                <w:sz w:val="20"/>
                <w:szCs w:val="20"/>
                <w:color w:val="auto"/>
              </w:rPr>
            </w:pPr>
            <w:r>
              <w:rPr>
                <w:rFonts w:ascii="Calibri" w:cs="Calibri" w:eastAsia="Calibri" w:hAnsi="Calibri"/>
                <w:sz w:val="14"/>
                <w:szCs w:val="14"/>
                <w:color w:val="auto"/>
                <w:w w:val="98"/>
              </w:rPr>
              <w:t>2020</w:t>
            </w:r>
          </w:p>
        </w:tc>
        <w:tc>
          <w:tcPr>
            <w:tcW w:w="200" w:type="dxa"/>
            <w:vAlign w:val="bottom"/>
            <w:tcBorders>
              <w:top w:val="single" w:sz="8" w:color="auto"/>
            </w:tcBorders>
          </w:tcPr>
          <w:p>
            <w:pPr>
              <w:spacing w:after="0" w:line="164" w:lineRule="exact"/>
              <w:rPr>
                <w:sz w:val="20"/>
                <w:szCs w:val="20"/>
                <w:color w:val="auto"/>
              </w:rPr>
            </w:pPr>
            <w:r>
              <w:rPr>
                <w:rFonts w:ascii="Calibri" w:cs="Calibri" w:eastAsia="Calibri" w:hAnsi="Calibri"/>
                <w:sz w:val="14"/>
                <w:szCs w:val="14"/>
                <w:color w:val="auto"/>
              </w:rPr>
              <w:t>$</w:t>
            </w:r>
          </w:p>
        </w:tc>
        <w:tc>
          <w:tcPr>
            <w:tcW w:w="1200" w:type="dxa"/>
            <w:vAlign w:val="bottom"/>
            <w:tcBorders>
              <w:top w:val="single" w:sz="8" w:color="auto"/>
              <w:right w:val="single" w:sz="8" w:color="auto"/>
            </w:tcBorders>
          </w:tcPr>
          <w:p>
            <w:pPr>
              <w:jc w:val="right"/>
              <w:ind w:right="88"/>
              <w:spacing w:after="0" w:line="164" w:lineRule="exact"/>
              <w:rPr>
                <w:sz w:val="20"/>
                <w:szCs w:val="20"/>
                <w:color w:val="auto"/>
              </w:rPr>
            </w:pPr>
            <w:r>
              <w:rPr>
                <w:rFonts w:ascii="Calibri" w:cs="Calibri" w:eastAsia="Calibri" w:hAnsi="Calibri"/>
                <w:sz w:val="14"/>
                <w:szCs w:val="14"/>
                <w:color w:val="auto"/>
              </w:rPr>
              <w:t>5,420,683</w:t>
            </w:r>
          </w:p>
        </w:tc>
        <w:tc>
          <w:tcPr>
            <w:tcW w:w="120" w:type="dxa"/>
            <w:vAlign w:val="bottom"/>
            <w:tcBorders>
              <w:top w:val="single" w:sz="8" w:color="auto"/>
            </w:tcBorders>
          </w:tcPr>
          <w:p>
            <w:pPr>
              <w:spacing w:after="0" w:line="164" w:lineRule="exact"/>
              <w:rPr>
                <w:sz w:val="20"/>
                <w:szCs w:val="20"/>
                <w:color w:val="auto"/>
              </w:rPr>
            </w:pPr>
            <w:r>
              <w:rPr>
                <w:rFonts w:ascii="Calibri" w:cs="Calibri" w:eastAsia="Calibri" w:hAnsi="Calibri"/>
                <w:sz w:val="14"/>
                <w:szCs w:val="14"/>
                <w:color w:val="auto"/>
              </w:rPr>
              <w:t>$</w:t>
            </w:r>
          </w:p>
        </w:tc>
        <w:tc>
          <w:tcPr>
            <w:tcW w:w="1260" w:type="dxa"/>
            <w:vAlign w:val="bottom"/>
            <w:tcBorders>
              <w:top w:val="single" w:sz="8" w:color="auto"/>
              <w:right w:val="single" w:sz="8" w:color="auto"/>
            </w:tcBorders>
          </w:tcPr>
          <w:p>
            <w:pPr>
              <w:jc w:val="right"/>
              <w:ind w:right="68"/>
              <w:spacing w:after="0" w:line="164" w:lineRule="exact"/>
              <w:rPr>
                <w:sz w:val="20"/>
                <w:szCs w:val="20"/>
                <w:color w:val="auto"/>
              </w:rPr>
            </w:pPr>
            <w:r>
              <w:rPr>
                <w:rFonts w:ascii="Calibri" w:cs="Calibri" w:eastAsia="Calibri" w:hAnsi="Calibri"/>
                <w:sz w:val="14"/>
                <w:szCs w:val="14"/>
                <w:color w:val="auto"/>
              </w:rPr>
              <w:t>850,957</w:t>
            </w:r>
          </w:p>
        </w:tc>
        <w:tc>
          <w:tcPr>
            <w:tcW w:w="80" w:type="dxa"/>
            <w:vAlign w:val="bottom"/>
            <w:tcBorders>
              <w:top w:val="single" w:sz="8" w:color="auto"/>
            </w:tcBorders>
          </w:tcPr>
          <w:p>
            <w:pPr>
              <w:spacing w:after="0" w:line="164" w:lineRule="exact"/>
              <w:rPr>
                <w:sz w:val="20"/>
                <w:szCs w:val="20"/>
                <w:color w:val="auto"/>
              </w:rPr>
            </w:pPr>
            <w:r>
              <w:rPr>
                <w:rFonts w:ascii="Calibri" w:cs="Calibri" w:eastAsia="Calibri" w:hAnsi="Calibri"/>
                <w:sz w:val="14"/>
                <w:szCs w:val="14"/>
                <w:color w:val="auto"/>
                <w:w w:val="83"/>
              </w:rPr>
              <w:t>$</w:t>
            </w:r>
          </w:p>
        </w:tc>
        <w:tc>
          <w:tcPr>
            <w:tcW w:w="1320" w:type="dxa"/>
            <w:vAlign w:val="bottom"/>
            <w:tcBorders>
              <w:top w:val="single" w:sz="8" w:color="auto"/>
              <w:right w:val="single" w:sz="8" w:color="auto"/>
            </w:tcBorders>
          </w:tcPr>
          <w:p>
            <w:pPr>
              <w:jc w:val="right"/>
              <w:ind w:right="68"/>
              <w:spacing w:after="0" w:line="164" w:lineRule="exact"/>
              <w:rPr>
                <w:sz w:val="20"/>
                <w:szCs w:val="20"/>
                <w:color w:val="auto"/>
              </w:rPr>
            </w:pPr>
            <w:r>
              <w:rPr>
                <w:rFonts w:ascii="Calibri" w:cs="Calibri" w:eastAsia="Calibri" w:hAnsi="Calibri"/>
                <w:sz w:val="14"/>
                <w:szCs w:val="14"/>
                <w:color w:val="auto"/>
              </w:rPr>
              <w:t>1,166,864</w:t>
            </w:r>
          </w:p>
        </w:tc>
        <w:tc>
          <w:tcPr>
            <w:tcW w:w="8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1260" w:type="dxa"/>
            <w:vAlign w:val="bottom"/>
            <w:tcBorders>
              <w:top w:val="single" w:sz="8" w:color="auto"/>
              <w:right w:val="single" w:sz="8" w:color="auto"/>
            </w:tcBorders>
          </w:tcPr>
          <w:p>
            <w:pPr>
              <w:jc w:val="right"/>
              <w:ind w:right="48"/>
              <w:spacing w:after="0" w:line="164" w:lineRule="exact"/>
              <w:rPr>
                <w:sz w:val="20"/>
                <w:szCs w:val="20"/>
                <w:color w:val="auto"/>
              </w:rPr>
            </w:pPr>
            <w:r>
              <w:rPr>
                <w:rFonts w:ascii="Calibri" w:cs="Calibri" w:eastAsia="Calibri" w:hAnsi="Calibri"/>
                <w:sz w:val="14"/>
                <w:szCs w:val="14"/>
                <w:color w:val="auto"/>
              </w:rPr>
              <w:t>259,131</w:t>
            </w:r>
          </w:p>
        </w:tc>
        <w:tc>
          <w:tcPr>
            <w:tcW w:w="120" w:type="dxa"/>
            <w:vAlign w:val="bottom"/>
            <w:tcBorders>
              <w:top w:val="single" w:sz="8" w:color="auto"/>
            </w:tcBorders>
          </w:tcPr>
          <w:p>
            <w:pPr>
              <w:spacing w:after="0" w:line="164" w:lineRule="exact"/>
              <w:rPr>
                <w:sz w:val="20"/>
                <w:szCs w:val="20"/>
                <w:color w:val="auto"/>
              </w:rPr>
            </w:pPr>
            <w:r>
              <w:rPr>
                <w:rFonts w:ascii="Calibri" w:cs="Calibri" w:eastAsia="Calibri" w:hAnsi="Calibri"/>
                <w:sz w:val="14"/>
                <w:szCs w:val="14"/>
                <w:color w:val="auto"/>
              </w:rPr>
              <w:t>$</w:t>
            </w:r>
          </w:p>
        </w:tc>
        <w:tc>
          <w:tcPr>
            <w:tcW w:w="880" w:type="dxa"/>
            <w:vAlign w:val="bottom"/>
            <w:tcBorders>
              <w:top w:val="single" w:sz="8" w:color="auto"/>
              <w:right w:val="single" w:sz="8" w:color="auto"/>
            </w:tcBorders>
          </w:tcPr>
          <w:p>
            <w:pPr>
              <w:jc w:val="right"/>
              <w:ind w:right="48"/>
              <w:spacing w:after="0" w:line="164" w:lineRule="exact"/>
              <w:rPr>
                <w:sz w:val="20"/>
                <w:szCs w:val="20"/>
                <w:color w:val="auto"/>
              </w:rPr>
            </w:pPr>
            <w:r>
              <w:rPr>
                <w:rFonts w:ascii="Calibri" w:cs="Calibri" w:eastAsia="Calibri" w:hAnsi="Calibri"/>
                <w:sz w:val="14"/>
                <w:szCs w:val="14"/>
                <w:color w:val="auto"/>
              </w:rPr>
              <w:t>75.05</w:t>
            </w:r>
          </w:p>
        </w:tc>
        <w:tc>
          <w:tcPr>
            <w:tcW w:w="8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920" w:type="dxa"/>
            <w:vAlign w:val="bottom"/>
            <w:tcBorders>
              <w:top w:val="single" w:sz="8" w:color="auto"/>
              <w:right w:val="single" w:sz="8" w:color="auto"/>
            </w:tcBorders>
          </w:tcPr>
          <w:p>
            <w:pPr>
              <w:jc w:val="right"/>
              <w:ind w:right="48"/>
              <w:spacing w:after="0" w:line="164" w:lineRule="exact"/>
              <w:rPr>
                <w:sz w:val="20"/>
                <w:szCs w:val="20"/>
                <w:color w:val="auto"/>
              </w:rPr>
            </w:pPr>
            <w:r>
              <w:rPr>
                <w:rFonts w:ascii="Calibri" w:cs="Calibri" w:eastAsia="Calibri" w:hAnsi="Calibri"/>
                <w:sz w:val="14"/>
                <w:szCs w:val="14"/>
                <w:color w:val="auto"/>
              </w:rPr>
              <w:t>99.10</w:t>
            </w:r>
          </w:p>
        </w:tc>
        <w:tc>
          <w:tcPr>
            <w:tcW w:w="220" w:type="dxa"/>
            <w:vAlign w:val="bottom"/>
            <w:tcBorders>
              <w:top w:val="single" w:sz="8" w:color="auto"/>
            </w:tcBorders>
          </w:tcPr>
          <w:p>
            <w:pPr>
              <w:jc w:val="right"/>
              <w:ind w:right="68"/>
              <w:spacing w:after="0" w:line="164" w:lineRule="exact"/>
              <w:rPr>
                <w:sz w:val="20"/>
                <w:szCs w:val="20"/>
                <w:color w:val="auto"/>
              </w:rPr>
            </w:pPr>
            <w:r>
              <w:rPr>
                <w:rFonts w:ascii="Calibri" w:cs="Calibri" w:eastAsia="Calibri" w:hAnsi="Calibri"/>
                <w:sz w:val="14"/>
                <w:szCs w:val="14"/>
                <w:color w:val="auto"/>
                <w:w w:val="83"/>
              </w:rPr>
              <w:t>$</w:t>
            </w:r>
          </w:p>
        </w:tc>
        <w:tc>
          <w:tcPr>
            <w:tcW w:w="1460" w:type="dxa"/>
            <w:vAlign w:val="bottom"/>
            <w:tcBorders>
              <w:top w:val="single" w:sz="8" w:color="auto"/>
              <w:right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(173,700,000 )</w:t>
            </w:r>
          </w:p>
        </w:tc>
        <w:tc>
          <w:tcPr>
            <w:tcW w:w="140" w:type="dxa"/>
            <w:vAlign w:val="bottom"/>
            <w:tcBorders>
              <w:top w:val="single" w:sz="8" w:color="auto"/>
            </w:tcBorders>
          </w:tcPr>
          <w:p>
            <w:pPr>
              <w:jc w:val="right"/>
              <w:spacing w:after="0" w:line="164" w:lineRule="exact"/>
              <w:rPr>
                <w:sz w:val="20"/>
                <w:szCs w:val="20"/>
                <w:color w:val="auto"/>
              </w:rPr>
            </w:pPr>
            <w:r>
              <w:rPr>
                <w:rFonts w:ascii="Calibri" w:cs="Calibri" w:eastAsia="Calibri" w:hAnsi="Calibri"/>
                <w:sz w:val="14"/>
                <w:szCs w:val="14"/>
                <w:color w:val="auto"/>
                <w:w w:val="83"/>
              </w:rPr>
              <w:t>$</w:t>
            </w:r>
          </w:p>
        </w:tc>
        <w:tc>
          <w:tcPr>
            <w:tcW w:w="860" w:type="dxa"/>
            <w:vAlign w:val="bottom"/>
            <w:tcBorders>
              <w:top w:val="single" w:sz="8" w:color="auto"/>
              <w:right w:val="single" w:sz="8" w:color="auto"/>
            </w:tcBorders>
          </w:tcPr>
          <w:p>
            <w:pPr>
              <w:jc w:val="right"/>
              <w:ind w:right="48"/>
              <w:spacing w:after="0" w:line="164" w:lineRule="exact"/>
              <w:rPr>
                <w:sz w:val="20"/>
                <w:szCs w:val="20"/>
                <w:color w:val="auto"/>
              </w:rPr>
            </w:pPr>
            <w:r>
              <w:rPr>
                <w:rFonts w:ascii="Calibri" w:cs="Calibri" w:eastAsia="Calibri" w:hAnsi="Calibri"/>
                <w:sz w:val="14"/>
                <w:szCs w:val="14"/>
                <w:color w:val="auto"/>
              </w:rPr>
              <w:t>1.70</w:t>
            </w:r>
          </w:p>
        </w:tc>
        <w:tc>
          <w:tcPr>
            <w:tcW w:w="0" w:type="dxa"/>
            <w:vAlign w:val="bottom"/>
          </w:tcPr>
          <w:p>
            <w:pPr>
              <w:spacing w:after="0"/>
              <w:rPr>
                <w:sz w:val="1"/>
                <w:szCs w:val="1"/>
                <w:color w:val="auto"/>
              </w:rPr>
            </w:pPr>
          </w:p>
        </w:tc>
      </w:tr>
      <w:tr>
        <w:trPr>
          <w:trHeight w:val="33"/>
        </w:trPr>
        <w:tc>
          <w:tcPr>
            <w:tcW w:w="1040" w:type="dxa"/>
            <w:vAlign w:val="bottom"/>
            <w:tcBorders>
              <w:left w:val="single" w:sz="8" w:color="auto"/>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jc w:val="both"/>
        <w:ind w:left="380" w:hanging="372"/>
        <w:spacing w:after="0" w:line="227" w:lineRule="auto"/>
        <w:tabs>
          <w:tab w:leader="none" w:pos="380" w:val="left"/>
        </w:tabs>
        <w:numPr>
          <w:ilvl w:val="0"/>
          <w:numId w:val="52"/>
        </w:numPr>
        <w:rPr>
          <w:rFonts w:ascii="Calibri" w:cs="Calibri" w:eastAsia="Calibri" w:hAnsi="Calibri"/>
          <w:sz w:val="18"/>
          <w:szCs w:val="18"/>
          <w:color w:val="auto"/>
        </w:rPr>
      </w:pPr>
      <w:r>
        <w:rPr>
          <w:rFonts w:ascii="Calibri" w:cs="Calibri" w:eastAsia="Calibri" w:hAnsi="Calibri"/>
          <w:sz w:val="18"/>
          <w:szCs w:val="18"/>
          <w:color w:val="auto"/>
        </w:rPr>
        <w:t>During 2023, 2022, 2021 and 2020, Sean Trauschke was our Chief Executve Ofcer. During 2023, 2022 and 2021, our remaining Named Executve Ofcers ("NEOs") consisted of W. Bryan Buckler, William H. Sultemeier, Donnie O. Jones and Cristna F. McQuiston. During 2020, our remaining NEOs consisted of Stephen E. Merrill, E. Keith Mitchell, William H. Sultemeier, Jean C. Leger, Jr. and Donnie O. Jones.</w:t>
      </w:r>
    </w:p>
    <w:p>
      <w:pPr>
        <w:spacing w:after="0" w:line="1" w:lineRule="exact"/>
        <w:rPr>
          <w:rFonts w:ascii="Calibri" w:cs="Calibri" w:eastAsia="Calibri" w:hAnsi="Calibri"/>
          <w:sz w:val="18"/>
          <w:szCs w:val="18"/>
          <w:color w:val="auto"/>
        </w:rPr>
      </w:pPr>
    </w:p>
    <w:p>
      <w:pPr>
        <w:ind w:left="380" w:hanging="372"/>
        <w:spacing w:after="0" w:line="235" w:lineRule="auto"/>
        <w:tabs>
          <w:tab w:leader="none" w:pos="380" w:val="left"/>
        </w:tabs>
        <w:numPr>
          <w:ilvl w:val="0"/>
          <w:numId w:val="52"/>
        </w:numPr>
        <w:rPr>
          <w:rFonts w:ascii="Calibri" w:cs="Calibri" w:eastAsia="Calibri" w:hAnsi="Calibri"/>
          <w:sz w:val="18"/>
          <w:szCs w:val="18"/>
          <w:color w:val="auto"/>
        </w:rPr>
      </w:pPr>
      <w:r>
        <w:rPr>
          <w:rFonts w:ascii="Calibri" w:cs="Calibri" w:eastAsia="Calibri" w:hAnsi="Calibri"/>
          <w:sz w:val="18"/>
          <w:szCs w:val="18"/>
          <w:color w:val="auto"/>
        </w:rPr>
        <w:t>Both Company Total Shareholder Return and Peer Group Total Shareholder Return assume $100 invested at December 31, 2019.</w:t>
      </w:r>
    </w:p>
    <w:p>
      <w:pPr>
        <w:spacing w:after="0" w:line="173" w:lineRule="exact"/>
        <w:rPr>
          <w:sz w:val="20"/>
          <w:szCs w:val="20"/>
          <w:color w:val="auto"/>
        </w:rPr>
      </w:pPr>
    </w:p>
    <w:p>
      <w:pPr>
        <w:spacing w:after="0"/>
        <w:tabs>
          <w:tab w:leader="none" w:pos="660" w:val="left"/>
        </w:tabs>
        <w:rPr>
          <w:sz w:val="20"/>
          <w:szCs w:val="20"/>
          <w:color w:val="auto"/>
        </w:rPr>
      </w:pPr>
      <w:r>
        <w:rPr>
          <w:rFonts w:ascii="Calibri" w:cs="Calibri" w:eastAsia="Calibri" w:hAnsi="Calibri"/>
          <w:sz w:val="18"/>
          <w:szCs w:val="18"/>
          <w:color w:val="auto"/>
        </w:rPr>
        <w:t>49</w:t>
      </w:r>
      <w:r>
        <w:rPr>
          <w:sz w:val="20"/>
          <w:szCs w:val="20"/>
          <w:color w:val="auto"/>
        </w:rPr>
        <w:tab/>
      </w:r>
      <w:r>
        <w:rPr>
          <w:rFonts w:ascii="Calibri" w:cs="Calibri" w:eastAsia="Calibri" w:hAnsi="Calibri"/>
          <w:sz w:val="18"/>
          <w:szCs w:val="18"/>
          <w:b w:val="1"/>
          <w:bCs w:val="1"/>
          <w:color w:val="EE2724"/>
        </w:rPr>
        <w:t xml:space="preserve">OGE Energy Corp. </w:t>
      </w:r>
      <w:r>
        <w:rPr>
          <w:rFonts w:ascii="Calibri" w:cs="Calibri" w:eastAsia="Calibri" w:hAnsi="Calibri"/>
          <w:sz w:val="18"/>
          <w:szCs w:val="18"/>
          <w:color w:val="00000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55" w:name="page56"/>
    <w:bookmarkEnd w:id="55"/>
    <w:p>
      <w:pPr>
        <w:ind w:left="380" w:hanging="372"/>
        <w:spacing w:after="0" w:line="235" w:lineRule="auto"/>
        <w:tabs>
          <w:tab w:leader="none" w:pos="380" w:val="left"/>
        </w:tabs>
        <w:numPr>
          <w:ilvl w:val="0"/>
          <w:numId w:val="53"/>
        </w:numPr>
        <w:rPr>
          <w:rFonts w:ascii="Calibri" w:cs="Calibri" w:eastAsia="Calibri" w:hAnsi="Calibri"/>
          <w:sz w:val="18"/>
          <w:szCs w:val="18"/>
          <w:color w:val="auto"/>
        </w:rPr>
      </w:pPr>
      <w:r>
        <w:rPr>
          <w:rFonts w:ascii="Calibri" w:cs="Calibri" w:eastAsia="Calibri" w:hAnsi="Calibri"/>
          <w:sz w:val="18"/>
          <w:szCs w:val="18"/>
          <w:color w:val="auto"/>
        </w:rPr>
        <w:t>As permited by the SEC, the Company's peer group selected for this pay versus performance disclosure is the S&amp;P Composite Utlites 1500 Index, which is the same peer group as presented in the Company's 2023 Form 10-K for purposes of Item 201(e) of Regulaton S-K.</w:t>
      </w:r>
    </w:p>
    <w:p>
      <w:pPr>
        <w:spacing w:after="0" w:line="1" w:lineRule="exact"/>
        <w:rPr>
          <w:rFonts w:ascii="Calibri" w:cs="Calibri" w:eastAsia="Calibri" w:hAnsi="Calibri"/>
          <w:sz w:val="18"/>
          <w:szCs w:val="18"/>
          <w:color w:val="auto"/>
        </w:rPr>
      </w:pPr>
    </w:p>
    <w:p>
      <w:pPr>
        <w:jc w:val="both"/>
        <w:ind w:left="380" w:hanging="372"/>
        <w:spacing w:after="0" w:line="235" w:lineRule="auto"/>
        <w:tabs>
          <w:tab w:leader="none" w:pos="380" w:val="left"/>
        </w:tabs>
        <w:numPr>
          <w:ilvl w:val="0"/>
          <w:numId w:val="53"/>
        </w:numPr>
        <w:rPr>
          <w:rFonts w:ascii="Calibri" w:cs="Calibri" w:eastAsia="Calibri" w:hAnsi="Calibri"/>
          <w:sz w:val="18"/>
          <w:szCs w:val="18"/>
          <w:color w:val="auto"/>
        </w:rPr>
      </w:pPr>
      <w:r>
        <w:rPr>
          <w:rFonts w:ascii="Calibri" w:cs="Calibri" w:eastAsia="Calibri" w:hAnsi="Calibri"/>
          <w:sz w:val="18"/>
          <w:szCs w:val="18"/>
          <w:color w:val="auto"/>
        </w:rPr>
        <w:t>"OG&amp;E Earnings Per Share" represents the Company's annual incentve compensaton plan's "OG&amp;E Earnings Target," which is the reported net income of OG&amp;E for the year ended December 31, 2023, divided by the diluted average common shares outstanding for 2023 of the Company. See the Compensaton Discussion and Analysis above for further discussion.</w:t>
      </w:r>
    </w:p>
    <w:p>
      <w:pPr>
        <w:spacing w:after="0" w:line="219"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The amounts shown for compensaton actually paid ("CAP") have been calculated in accordance with SEC rules and do not refect compensaton actually earned, realized or received by the Company's NEOs. These amounts refect the Summary Compensaton Table total with certain adjustments as described in the tables below. The following tables set forth the adjustments made during 2023, related to the table above, to arrive at CAP to our principal executve ofcer ("PEO") and non-PEO NEOs during 2023.</w:t>
      </w:r>
    </w:p>
    <w:p>
      <w:pPr>
        <w:spacing w:after="0" w:line="222" w:lineRule="exact"/>
        <w:rPr>
          <w:sz w:val="20"/>
          <w:szCs w:val="20"/>
          <w:color w:val="auto"/>
        </w:rPr>
      </w:pPr>
    </w:p>
    <w:tbl>
      <w:tblPr>
        <w:tblLayout w:type="fixed"/>
        <w:tblInd w:w="10" w:type="dxa"/>
        <w:tblCellMar>
          <w:top w:w="0" w:type="dxa"/>
          <w:left w:w="0" w:type="dxa"/>
          <w:bottom w:w="0" w:type="dxa"/>
          <w:right w:w="0" w:type="dxa"/>
        </w:tblCellMar>
      </w:tblPr>
      <w:tr>
        <w:trPr>
          <w:trHeight w:val="183"/>
        </w:trPr>
        <w:tc>
          <w:tcPr>
            <w:tcW w:w="6860" w:type="dxa"/>
            <w:vAlign w:val="bottom"/>
            <w:tcBorders>
              <w:top w:val="single" w:sz="8" w:color="auto"/>
              <w:left w:val="single" w:sz="8" w:color="auto"/>
            </w:tcBorders>
          </w:tcPr>
          <w:p>
            <w:pPr>
              <w:ind w:left="40"/>
              <w:spacing w:after="0"/>
              <w:rPr>
                <w:sz w:val="20"/>
                <w:szCs w:val="20"/>
                <w:color w:val="auto"/>
              </w:rPr>
            </w:pPr>
            <w:r>
              <w:rPr>
                <w:rFonts w:ascii="Calibri" w:cs="Calibri" w:eastAsia="Calibri" w:hAnsi="Calibri"/>
                <w:sz w:val="14"/>
                <w:szCs w:val="14"/>
                <w:b w:val="1"/>
                <w:bCs w:val="1"/>
                <w:color w:val="auto"/>
              </w:rPr>
              <w:t>Adjustments to Determine CAP for PEO</w:t>
            </w:r>
          </w:p>
        </w:tc>
        <w:tc>
          <w:tcPr>
            <w:tcW w:w="2140" w:type="dxa"/>
            <w:vAlign w:val="bottom"/>
            <w:tcBorders>
              <w:top w:val="single" w:sz="8" w:color="auto"/>
            </w:tcBorders>
          </w:tcPr>
          <w:p>
            <w:pPr>
              <w:spacing w:after="0"/>
              <w:rPr>
                <w:sz w:val="15"/>
                <w:szCs w:val="15"/>
                <w:color w:val="auto"/>
              </w:rPr>
            </w:pPr>
          </w:p>
        </w:tc>
        <w:tc>
          <w:tcPr>
            <w:tcW w:w="2240" w:type="dxa"/>
            <w:vAlign w:val="bottom"/>
            <w:tcBorders>
              <w:top w:val="single" w:sz="8" w:color="auto"/>
              <w:right w:val="single" w:sz="8" w:color="auto"/>
            </w:tcBorders>
          </w:tcPr>
          <w:p>
            <w:pPr>
              <w:jc w:val="right"/>
              <w:ind w:right="1288"/>
              <w:spacing w:after="0"/>
              <w:rPr>
                <w:sz w:val="20"/>
                <w:szCs w:val="20"/>
                <w:color w:val="auto"/>
              </w:rPr>
            </w:pPr>
            <w:r>
              <w:rPr>
                <w:rFonts w:ascii="Calibri" w:cs="Calibri" w:eastAsia="Calibri" w:hAnsi="Calibri"/>
                <w:sz w:val="14"/>
                <w:szCs w:val="14"/>
                <w:b w:val="1"/>
                <w:bCs w:val="1"/>
                <w:color w:val="auto"/>
              </w:rPr>
              <w:t>2023</w:t>
            </w:r>
          </w:p>
        </w:tc>
      </w:tr>
      <w:tr>
        <w:trPr>
          <w:trHeight w:val="33"/>
        </w:trPr>
        <w:tc>
          <w:tcPr>
            <w:tcW w:w="6860" w:type="dxa"/>
            <w:vAlign w:val="bottom"/>
            <w:tcBorders>
              <w:left w:val="single" w:sz="8" w:color="auto"/>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76"/>
        </w:trPr>
        <w:tc>
          <w:tcPr>
            <w:tcW w:w="6860" w:type="dxa"/>
            <w:vAlign w:val="bottom"/>
            <w:tcBorders>
              <w:left w:val="single" w:sz="8" w:color="auto"/>
              <w:bottom w:val="single" w:sz="8" w:color="E7E6E6"/>
            </w:tcBorders>
            <w:shd w:val="clear" w:color="auto" w:fill="E7E6E6"/>
          </w:tcPr>
          <w:p>
            <w:pPr>
              <w:ind w:left="40"/>
              <w:spacing w:after="0" w:line="164" w:lineRule="exact"/>
              <w:rPr>
                <w:sz w:val="20"/>
                <w:szCs w:val="20"/>
                <w:color w:val="auto"/>
              </w:rPr>
            </w:pPr>
            <w:r>
              <w:rPr>
                <w:rFonts w:ascii="Calibri" w:cs="Calibri" w:eastAsia="Calibri" w:hAnsi="Calibri"/>
                <w:sz w:val="14"/>
                <w:szCs w:val="14"/>
                <w:b w:val="1"/>
                <w:bCs w:val="1"/>
                <w:color w:val="auto"/>
              </w:rPr>
              <w:t>Summary Compensaton Table (SCT) Total</w:t>
            </w:r>
          </w:p>
        </w:tc>
        <w:tc>
          <w:tcPr>
            <w:tcW w:w="2140" w:type="dxa"/>
            <w:vAlign w:val="bottom"/>
            <w:tcBorders>
              <w:bottom w:val="single" w:sz="8" w:color="E7E6E6"/>
            </w:tcBorders>
            <w:shd w:val="clear" w:color="auto" w:fill="E7E6E6"/>
          </w:tcPr>
          <w:p>
            <w:pPr>
              <w:jc w:val="right"/>
              <w:ind w:right="508"/>
              <w:spacing w:after="0" w:line="164" w:lineRule="exact"/>
              <w:rPr>
                <w:sz w:val="20"/>
                <w:szCs w:val="20"/>
                <w:color w:val="auto"/>
              </w:rPr>
            </w:pPr>
            <w:r>
              <w:rPr>
                <w:rFonts w:ascii="Calibri" w:cs="Calibri" w:eastAsia="Calibri" w:hAnsi="Calibri"/>
                <w:sz w:val="14"/>
                <w:szCs w:val="14"/>
                <w:color w:val="auto"/>
              </w:rPr>
              <w:t>$</w:t>
            </w:r>
          </w:p>
        </w:tc>
        <w:tc>
          <w:tcPr>
            <w:tcW w:w="2240" w:type="dxa"/>
            <w:vAlign w:val="bottom"/>
            <w:tcBorders>
              <w:bottom w:val="single" w:sz="8" w:color="E7E6E6"/>
              <w:right w:val="single" w:sz="8" w:color="auto"/>
            </w:tcBorders>
            <w:shd w:val="clear" w:color="auto" w:fill="E7E6E6"/>
          </w:tcPr>
          <w:p>
            <w:pPr>
              <w:jc w:val="right"/>
              <w:ind w:right="48"/>
              <w:spacing w:after="0" w:line="164" w:lineRule="exact"/>
              <w:rPr>
                <w:sz w:val="20"/>
                <w:szCs w:val="20"/>
                <w:color w:val="auto"/>
              </w:rPr>
            </w:pPr>
            <w:r>
              <w:rPr>
                <w:rFonts w:ascii="Calibri" w:cs="Calibri" w:eastAsia="Calibri" w:hAnsi="Calibri"/>
                <w:sz w:val="14"/>
                <w:szCs w:val="14"/>
                <w:color w:val="auto"/>
              </w:rPr>
              <w:t>8,435,166</w:t>
            </w:r>
          </w:p>
        </w:tc>
      </w:tr>
      <w:tr>
        <w:trPr>
          <w:trHeight w:val="203"/>
        </w:trPr>
        <w:tc>
          <w:tcPr>
            <w:tcW w:w="6860" w:type="dxa"/>
            <w:vAlign w:val="bottom"/>
            <w:tcBorders>
              <w:left w:val="single" w:sz="8" w:color="auto"/>
            </w:tcBorders>
          </w:tcPr>
          <w:p>
            <w:pPr>
              <w:spacing w:after="0"/>
              <w:rPr>
                <w:sz w:val="17"/>
                <w:szCs w:val="17"/>
                <w:color w:val="auto"/>
              </w:rPr>
            </w:pPr>
          </w:p>
        </w:tc>
        <w:tc>
          <w:tcPr>
            <w:tcW w:w="2140" w:type="dxa"/>
            <w:vAlign w:val="bottom"/>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r>
      <w:tr>
        <w:trPr>
          <w:trHeight w:val="183"/>
        </w:trPr>
        <w:tc>
          <w:tcPr>
            <w:tcW w:w="6860" w:type="dxa"/>
            <w:vAlign w:val="bottom"/>
            <w:tcBorders>
              <w:left w:val="single" w:sz="8" w:color="auto"/>
              <w:bottom w:val="single" w:sz="8" w:color="E7E6E6"/>
            </w:tcBorders>
            <w:shd w:val="clear" w:color="auto" w:fill="E7E6E6"/>
          </w:tcPr>
          <w:p>
            <w:pPr>
              <w:ind w:left="40"/>
              <w:spacing w:after="0"/>
              <w:rPr>
                <w:sz w:val="20"/>
                <w:szCs w:val="20"/>
                <w:color w:val="auto"/>
              </w:rPr>
            </w:pPr>
            <w:r>
              <w:rPr>
                <w:rFonts w:ascii="Calibri" w:cs="Calibri" w:eastAsia="Calibri" w:hAnsi="Calibri"/>
                <w:sz w:val="14"/>
                <w:szCs w:val="14"/>
                <w:color w:val="auto"/>
              </w:rPr>
              <w:t>Adjustments to arrive at CAP:</w:t>
            </w:r>
          </w:p>
        </w:tc>
        <w:tc>
          <w:tcPr>
            <w:tcW w:w="2140" w:type="dxa"/>
            <w:vAlign w:val="bottom"/>
            <w:tcBorders>
              <w:bottom w:val="single" w:sz="8" w:color="E7E6E6"/>
            </w:tcBorders>
            <w:shd w:val="clear" w:color="auto" w:fill="E7E6E6"/>
          </w:tcPr>
          <w:p>
            <w:pPr>
              <w:spacing w:after="0"/>
              <w:rPr>
                <w:sz w:val="15"/>
                <w:szCs w:val="15"/>
                <w:color w:val="auto"/>
              </w:rPr>
            </w:pPr>
          </w:p>
        </w:tc>
        <w:tc>
          <w:tcPr>
            <w:tcW w:w="2240" w:type="dxa"/>
            <w:vAlign w:val="bottom"/>
            <w:tcBorders>
              <w:bottom w:val="single" w:sz="8" w:color="E7E6E6"/>
              <w:right w:val="single" w:sz="8" w:color="auto"/>
            </w:tcBorders>
            <w:shd w:val="clear" w:color="auto" w:fill="E7E6E6"/>
          </w:tcPr>
          <w:p>
            <w:pPr>
              <w:spacing w:after="0"/>
              <w:rPr>
                <w:sz w:val="15"/>
                <w:szCs w:val="15"/>
                <w:color w:val="auto"/>
              </w:rPr>
            </w:pPr>
          </w:p>
        </w:tc>
      </w:tr>
      <w:tr>
        <w:trPr>
          <w:trHeight w:val="170"/>
        </w:trPr>
        <w:tc>
          <w:tcPr>
            <w:tcW w:w="6860" w:type="dxa"/>
            <w:vAlign w:val="bottom"/>
            <w:tcBorders>
              <w:left w:val="single" w:sz="8" w:color="auto"/>
            </w:tcBorders>
          </w:tcPr>
          <w:p>
            <w:pPr>
              <w:ind w:left="100"/>
              <w:spacing w:after="0"/>
              <w:rPr>
                <w:sz w:val="20"/>
                <w:szCs w:val="20"/>
                <w:color w:val="auto"/>
              </w:rPr>
            </w:pPr>
            <w:r>
              <w:rPr>
                <w:rFonts w:ascii="Calibri" w:cs="Calibri" w:eastAsia="Calibri" w:hAnsi="Calibri"/>
                <w:sz w:val="14"/>
                <w:szCs w:val="14"/>
                <w:color w:val="auto"/>
              </w:rPr>
              <w:t>Deducton for change in the actuarial present values reported under column (h) of the SCT</w:t>
            </w:r>
          </w:p>
        </w:tc>
        <w:tc>
          <w:tcPr>
            <w:tcW w:w="2140" w:type="dxa"/>
            <w:vAlign w:val="bottom"/>
          </w:tcPr>
          <w:p>
            <w:pPr>
              <w:spacing w:after="0"/>
              <w:rPr>
                <w:sz w:val="14"/>
                <w:szCs w:val="14"/>
                <w:color w:val="auto"/>
              </w:rPr>
            </w:pPr>
          </w:p>
        </w:tc>
        <w:tc>
          <w:tcPr>
            <w:tcW w:w="224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(1,103,668 )</w:t>
            </w:r>
          </w:p>
        </w:tc>
      </w:tr>
      <w:tr>
        <w:trPr>
          <w:trHeight w:val="33"/>
        </w:trPr>
        <w:tc>
          <w:tcPr>
            <w:tcW w:w="6860" w:type="dxa"/>
            <w:vAlign w:val="bottom"/>
            <w:tcBorders>
              <w:left w:val="single" w:sz="8" w:color="auto"/>
            </w:tcBorders>
          </w:tcPr>
          <w:p>
            <w:pPr>
              <w:spacing w:after="0"/>
              <w:rPr>
                <w:sz w:val="2"/>
                <w:szCs w:val="2"/>
                <w:color w:val="auto"/>
              </w:rPr>
            </w:pPr>
          </w:p>
        </w:tc>
        <w:tc>
          <w:tcPr>
            <w:tcW w:w="2140" w:type="dxa"/>
            <w:vAlign w:val="bottom"/>
          </w:tcPr>
          <w:p>
            <w:pPr>
              <w:spacing w:after="0"/>
              <w:rPr>
                <w:sz w:val="2"/>
                <w:szCs w:val="2"/>
                <w:color w:val="auto"/>
              </w:rPr>
            </w:pPr>
          </w:p>
        </w:tc>
        <w:tc>
          <w:tcPr>
            <w:tcW w:w="2240" w:type="dxa"/>
            <w:vAlign w:val="bottom"/>
            <w:tcBorders>
              <w:right w:val="single" w:sz="8" w:color="auto"/>
            </w:tcBorders>
          </w:tcPr>
          <w:p>
            <w:pPr>
              <w:spacing w:after="0"/>
              <w:rPr>
                <w:sz w:val="2"/>
                <w:szCs w:val="2"/>
                <w:color w:val="auto"/>
              </w:rPr>
            </w:pPr>
          </w:p>
        </w:tc>
      </w:tr>
      <w:tr>
        <w:trPr>
          <w:trHeight w:val="183"/>
        </w:trPr>
        <w:tc>
          <w:tcPr>
            <w:tcW w:w="6860" w:type="dxa"/>
            <w:vAlign w:val="bottom"/>
            <w:tcBorders>
              <w:left w:val="single" w:sz="8" w:color="auto"/>
              <w:bottom w:val="single" w:sz="8" w:color="E7E6E6"/>
            </w:tcBorders>
            <w:shd w:val="clear" w:color="auto" w:fill="E7E6E6"/>
          </w:tcPr>
          <w:p>
            <w:pPr>
              <w:ind w:left="100"/>
              <w:spacing w:after="0"/>
              <w:rPr>
                <w:sz w:val="20"/>
                <w:szCs w:val="20"/>
                <w:color w:val="auto"/>
              </w:rPr>
            </w:pPr>
            <w:r>
              <w:rPr>
                <w:rFonts w:ascii="Calibri" w:cs="Calibri" w:eastAsia="Calibri" w:hAnsi="Calibri"/>
                <w:sz w:val="14"/>
                <w:szCs w:val="14"/>
                <w:color w:val="auto"/>
              </w:rPr>
              <w:t>Increase for "Service Cost" for Pension Plans</w:t>
            </w:r>
          </w:p>
        </w:tc>
        <w:tc>
          <w:tcPr>
            <w:tcW w:w="2140" w:type="dxa"/>
            <w:vAlign w:val="bottom"/>
            <w:tcBorders>
              <w:bottom w:val="single" w:sz="8" w:color="E7E6E6"/>
            </w:tcBorders>
            <w:shd w:val="clear" w:color="auto" w:fill="E7E6E6"/>
          </w:tcPr>
          <w:p>
            <w:pPr>
              <w:spacing w:after="0"/>
              <w:rPr>
                <w:sz w:val="15"/>
                <w:szCs w:val="15"/>
                <w:color w:val="auto"/>
              </w:rPr>
            </w:pPr>
          </w:p>
        </w:tc>
        <w:tc>
          <w:tcPr>
            <w:tcW w:w="2240" w:type="dxa"/>
            <w:vAlign w:val="bottom"/>
            <w:tcBorders>
              <w:bottom w:val="single" w:sz="8" w:color="E7E6E6"/>
              <w:right w:val="single" w:sz="8" w:color="auto"/>
            </w:tcBorders>
            <w:shd w:val="clear" w:color="auto" w:fill="E7E6E6"/>
          </w:tcPr>
          <w:p>
            <w:pPr>
              <w:jc w:val="right"/>
              <w:ind w:right="48"/>
              <w:spacing w:after="0"/>
              <w:rPr>
                <w:sz w:val="20"/>
                <w:szCs w:val="20"/>
                <w:color w:val="auto"/>
              </w:rPr>
            </w:pPr>
            <w:r>
              <w:rPr>
                <w:rFonts w:ascii="Calibri" w:cs="Calibri" w:eastAsia="Calibri" w:hAnsi="Calibri"/>
                <w:sz w:val="14"/>
                <w:szCs w:val="14"/>
                <w:color w:val="auto"/>
              </w:rPr>
              <w:t>955,658</w:t>
            </w:r>
          </w:p>
        </w:tc>
      </w:tr>
      <w:tr>
        <w:trPr>
          <w:trHeight w:val="170"/>
        </w:trPr>
        <w:tc>
          <w:tcPr>
            <w:tcW w:w="6860" w:type="dxa"/>
            <w:vAlign w:val="bottom"/>
            <w:tcBorders>
              <w:left w:val="single" w:sz="8" w:color="auto"/>
            </w:tcBorders>
          </w:tcPr>
          <w:p>
            <w:pPr>
              <w:ind w:left="100"/>
              <w:spacing w:after="0"/>
              <w:rPr>
                <w:sz w:val="20"/>
                <w:szCs w:val="20"/>
                <w:color w:val="auto"/>
              </w:rPr>
            </w:pPr>
            <w:r>
              <w:rPr>
                <w:rFonts w:ascii="Calibri" w:cs="Calibri" w:eastAsia="Calibri" w:hAnsi="Calibri"/>
                <w:sz w:val="14"/>
                <w:szCs w:val="14"/>
                <w:color w:val="auto"/>
              </w:rPr>
              <w:t>Deducton for amounts reported under column (e) in the SCT</w:t>
            </w:r>
          </w:p>
        </w:tc>
        <w:tc>
          <w:tcPr>
            <w:tcW w:w="2140" w:type="dxa"/>
            <w:vAlign w:val="bottom"/>
          </w:tcPr>
          <w:p>
            <w:pPr>
              <w:spacing w:after="0"/>
              <w:rPr>
                <w:sz w:val="14"/>
                <w:szCs w:val="14"/>
                <w:color w:val="auto"/>
              </w:rPr>
            </w:pPr>
          </w:p>
        </w:tc>
        <w:tc>
          <w:tcPr>
            <w:tcW w:w="224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(4,533,361 )</w:t>
            </w:r>
          </w:p>
        </w:tc>
      </w:tr>
      <w:tr>
        <w:trPr>
          <w:trHeight w:val="33"/>
        </w:trPr>
        <w:tc>
          <w:tcPr>
            <w:tcW w:w="6860" w:type="dxa"/>
            <w:vAlign w:val="bottom"/>
            <w:tcBorders>
              <w:left w:val="single" w:sz="8" w:color="auto"/>
            </w:tcBorders>
          </w:tcPr>
          <w:p>
            <w:pPr>
              <w:spacing w:after="0"/>
              <w:rPr>
                <w:sz w:val="2"/>
                <w:szCs w:val="2"/>
                <w:color w:val="auto"/>
              </w:rPr>
            </w:pPr>
          </w:p>
        </w:tc>
        <w:tc>
          <w:tcPr>
            <w:tcW w:w="2140" w:type="dxa"/>
            <w:vAlign w:val="bottom"/>
          </w:tcPr>
          <w:p>
            <w:pPr>
              <w:spacing w:after="0"/>
              <w:rPr>
                <w:sz w:val="2"/>
                <w:szCs w:val="2"/>
                <w:color w:val="auto"/>
              </w:rPr>
            </w:pPr>
          </w:p>
        </w:tc>
        <w:tc>
          <w:tcPr>
            <w:tcW w:w="2240" w:type="dxa"/>
            <w:vAlign w:val="bottom"/>
            <w:tcBorders>
              <w:right w:val="single" w:sz="8" w:color="auto"/>
            </w:tcBorders>
          </w:tcPr>
          <w:p>
            <w:pPr>
              <w:spacing w:after="0"/>
              <w:rPr>
                <w:sz w:val="2"/>
                <w:szCs w:val="2"/>
                <w:color w:val="auto"/>
              </w:rPr>
            </w:pPr>
          </w:p>
        </w:tc>
      </w:tr>
      <w:tr>
        <w:trPr>
          <w:trHeight w:val="183"/>
        </w:trPr>
        <w:tc>
          <w:tcPr>
            <w:tcW w:w="6860" w:type="dxa"/>
            <w:vAlign w:val="bottom"/>
            <w:tcBorders>
              <w:left w:val="single" w:sz="8" w:color="auto"/>
              <w:bottom w:val="single" w:sz="8" w:color="E7E6E6"/>
            </w:tcBorders>
            <w:shd w:val="clear" w:color="auto" w:fill="E7E6E6"/>
          </w:tcPr>
          <w:p>
            <w:pPr>
              <w:ind w:left="100"/>
              <w:spacing w:after="0"/>
              <w:rPr>
                <w:sz w:val="20"/>
                <w:szCs w:val="20"/>
                <w:color w:val="auto"/>
              </w:rPr>
            </w:pPr>
            <w:r>
              <w:rPr>
                <w:rFonts w:ascii="Calibri" w:cs="Calibri" w:eastAsia="Calibri" w:hAnsi="Calibri"/>
                <w:sz w:val="14"/>
                <w:szCs w:val="14"/>
                <w:color w:val="auto"/>
              </w:rPr>
              <w:t>Fair value of current year equity awards at year-end</w:t>
            </w:r>
          </w:p>
        </w:tc>
        <w:tc>
          <w:tcPr>
            <w:tcW w:w="2140" w:type="dxa"/>
            <w:vAlign w:val="bottom"/>
            <w:tcBorders>
              <w:bottom w:val="single" w:sz="8" w:color="E7E6E6"/>
            </w:tcBorders>
            <w:shd w:val="clear" w:color="auto" w:fill="E7E6E6"/>
          </w:tcPr>
          <w:p>
            <w:pPr>
              <w:spacing w:after="0"/>
              <w:rPr>
                <w:sz w:val="15"/>
                <w:szCs w:val="15"/>
                <w:color w:val="auto"/>
              </w:rPr>
            </w:pPr>
          </w:p>
        </w:tc>
        <w:tc>
          <w:tcPr>
            <w:tcW w:w="2240" w:type="dxa"/>
            <w:vAlign w:val="bottom"/>
            <w:tcBorders>
              <w:bottom w:val="single" w:sz="8" w:color="E7E6E6"/>
              <w:right w:val="single" w:sz="8" w:color="auto"/>
            </w:tcBorders>
            <w:shd w:val="clear" w:color="auto" w:fill="E7E6E6"/>
          </w:tcPr>
          <w:p>
            <w:pPr>
              <w:jc w:val="right"/>
              <w:ind w:right="48"/>
              <w:spacing w:after="0"/>
              <w:rPr>
                <w:sz w:val="20"/>
                <w:szCs w:val="20"/>
                <w:color w:val="auto"/>
              </w:rPr>
            </w:pPr>
            <w:r>
              <w:rPr>
                <w:rFonts w:ascii="Calibri" w:cs="Calibri" w:eastAsia="Calibri" w:hAnsi="Calibri"/>
                <w:sz w:val="14"/>
                <w:szCs w:val="14"/>
                <w:color w:val="auto"/>
              </w:rPr>
              <w:t>3,996,344</w:t>
            </w:r>
          </w:p>
        </w:tc>
      </w:tr>
      <w:tr>
        <w:trPr>
          <w:trHeight w:val="170"/>
        </w:trPr>
        <w:tc>
          <w:tcPr>
            <w:tcW w:w="6860" w:type="dxa"/>
            <w:vAlign w:val="bottom"/>
            <w:tcBorders>
              <w:left w:val="single" w:sz="8" w:color="auto"/>
            </w:tcBorders>
          </w:tcPr>
          <w:p>
            <w:pPr>
              <w:ind w:left="100"/>
              <w:spacing w:after="0"/>
              <w:rPr>
                <w:sz w:val="20"/>
                <w:szCs w:val="20"/>
                <w:color w:val="auto"/>
              </w:rPr>
            </w:pPr>
            <w:r>
              <w:rPr>
                <w:rFonts w:ascii="Calibri" w:cs="Calibri" w:eastAsia="Calibri" w:hAnsi="Calibri"/>
                <w:sz w:val="14"/>
                <w:szCs w:val="14"/>
                <w:color w:val="auto"/>
              </w:rPr>
              <w:t>Change in value of prior years' awards unvested at year-end</w:t>
            </w:r>
          </w:p>
        </w:tc>
        <w:tc>
          <w:tcPr>
            <w:tcW w:w="2140" w:type="dxa"/>
            <w:vAlign w:val="bottom"/>
          </w:tcPr>
          <w:p>
            <w:pPr>
              <w:spacing w:after="0"/>
              <w:rPr>
                <w:sz w:val="14"/>
                <w:szCs w:val="14"/>
                <w:color w:val="auto"/>
              </w:rPr>
            </w:pPr>
          </w:p>
        </w:tc>
        <w:tc>
          <w:tcPr>
            <w:tcW w:w="224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(560,997 )</w:t>
            </w:r>
          </w:p>
        </w:tc>
      </w:tr>
      <w:tr>
        <w:trPr>
          <w:trHeight w:val="33"/>
        </w:trPr>
        <w:tc>
          <w:tcPr>
            <w:tcW w:w="6860" w:type="dxa"/>
            <w:vAlign w:val="bottom"/>
            <w:tcBorders>
              <w:left w:val="single" w:sz="8" w:color="auto"/>
            </w:tcBorders>
          </w:tcPr>
          <w:p>
            <w:pPr>
              <w:spacing w:after="0"/>
              <w:rPr>
                <w:sz w:val="2"/>
                <w:szCs w:val="2"/>
                <w:color w:val="auto"/>
              </w:rPr>
            </w:pPr>
          </w:p>
        </w:tc>
        <w:tc>
          <w:tcPr>
            <w:tcW w:w="2140" w:type="dxa"/>
            <w:vAlign w:val="bottom"/>
          </w:tcPr>
          <w:p>
            <w:pPr>
              <w:spacing w:after="0"/>
              <w:rPr>
                <w:sz w:val="2"/>
                <w:szCs w:val="2"/>
                <w:color w:val="auto"/>
              </w:rPr>
            </w:pPr>
          </w:p>
        </w:tc>
        <w:tc>
          <w:tcPr>
            <w:tcW w:w="2240" w:type="dxa"/>
            <w:vAlign w:val="bottom"/>
            <w:tcBorders>
              <w:right w:val="single" w:sz="8" w:color="auto"/>
            </w:tcBorders>
          </w:tcPr>
          <w:p>
            <w:pPr>
              <w:spacing w:after="0"/>
              <w:rPr>
                <w:sz w:val="2"/>
                <w:szCs w:val="2"/>
                <w:color w:val="auto"/>
              </w:rPr>
            </w:pPr>
          </w:p>
        </w:tc>
      </w:tr>
      <w:tr>
        <w:trPr>
          <w:trHeight w:val="183"/>
        </w:trPr>
        <w:tc>
          <w:tcPr>
            <w:tcW w:w="6860" w:type="dxa"/>
            <w:vAlign w:val="bottom"/>
            <w:tcBorders>
              <w:left w:val="single" w:sz="8" w:color="auto"/>
              <w:bottom w:val="single" w:sz="8" w:color="E7E6E6"/>
            </w:tcBorders>
            <w:shd w:val="clear" w:color="auto" w:fill="E7E6E6"/>
          </w:tcPr>
          <w:p>
            <w:pPr>
              <w:ind w:left="100"/>
              <w:spacing w:after="0"/>
              <w:rPr>
                <w:sz w:val="20"/>
                <w:szCs w:val="20"/>
                <w:color w:val="auto"/>
              </w:rPr>
            </w:pPr>
            <w:r>
              <w:rPr>
                <w:rFonts w:ascii="Calibri" w:cs="Calibri" w:eastAsia="Calibri" w:hAnsi="Calibri"/>
                <w:sz w:val="14"/>
                <w:szCs w:val="14"/>
                <w:color w:val="auto"/>
              </w:rPr>
              <w:t>Change in value of prior years' awards that vested during current year</w:t>
            </w:r>
          </w:p>
        </w:tc>
        <w:tc>
          <w:tcPr>
            <w:tcW w:w="2140" w:type="dxa"/>
            <w:vAlign w:val="bottom"/>
            <w:tcBorders>
              <w:bottom w:val="single" w:sz="8" w:color="E7E6E6"/>
            </w:tcBorders>
            <w:shd w:val="clear" w:color="auto" w:fill="E7E6E6"/>
          </w:tcPr>
          <w:p>
            <w:pPr>
              <w:spacing w:after="0"/>
              <w:rPr>
                <w:sz w:val="15"/>
                <w:szCs w:val="15"/>
                <w:color w:val="auto"/>
              </w:rPr>
            </w:pPr>
          </w:p>
        </w:tc>
        <w:tc>
          <w:tcPr>
            <w:tcW w:w="2240" w:type="dxa"/>
            <w:vAlign w:val="bottom"/>
            <w:tcBorders>
              <w:bottom w:val="single" w:sz="8" w:color="E7E6E6"/>
              <w:right w:val="single" w:sz="8" w:color="auto"/>
            </w:tcBorders>
            <w:shd w:val="clear" w:color="auto" w:fill="E7E6E6"/>
          </w:tcPr>
          <w:p>
            <w:pPr>
              <w:jc w:val="right"/>
              <w:spacing w:after="0"/>
              <w:rPr>
                <w:sz w:val="20"/>
                <w:szCs w:val="20"/>
                <w:color w:val="auto"/>
              </w:rPr>
            </w:pPr>
            <w:r>
              <w:rPr>
                <w:rFonts w:ascii="Calibri" w:cs="Calibri" w:eastAsia="Calibri" w:hAnsi="Calibri"/>
                <w:sz w:val="14"/>
                <w:szCs w:val="14"/>
                <w:color w:val="auto"/>
              </w:rPr>
              <w:t>(1,157,485 )</w:t>
            </w:r>
          </w:p>
        </w:tc>
      </w:tr>
      <w:tr>
        <w:trPr>
          <w:trHeight w:val="170"/>
        </w:trPr>
        <w:tc>
          <w:tcPr>
            <w:tcW w:w="6860" w:type="dxa"/>
            <w:vAlign w:val="bottom"/>
            <w:tcBorders>
              <w:left w:val="single" w:sz="8" w:color="auto"/>
            </w:tcBorders>
          </w:tcPr>
          <w:p>
            <w:pPr>
              <w:ind w:left="100"/>
              <w:spacing w:after="0"/>
              <w:rPr>
                <w:sz w:val="20"/>
                <w:szCs w:val="20"/>
                <w:color w:val="auto"/>
              </w:rPr>
            </w:pPr>
            <w:r>
              <w:rPr>
                <w:rFonts w:ascii="Calibri" w:cs="Calibri" w:eastAsia="Calibri" w:hAnsi="Calibri"/>
                <w:sz w:val="14"/>
                <w:szCs w:val="14"/>
                <w:color w:val="auto"/>
              </w:rPr>
              <w:t>Dividends</w:t>
            </w:r>
          </w:p>
        </w:tc>
        <w:tc>
          <w:tcPr>
            <w:tcW w:w="2140" w:type="dxa"/>
            <w:vAlign w:val="bottom"/>
          </w:tcPr>
          <w:p>
            <w:pPr>
              <w:spacing w:after="0"/>
              <w:rPr>
                <w:sz w:val="14"/>
                <w:szCs w:val="14"/>
                <w:color w:val="auto"/>
              </w:rPr>
            </w:pPr>
          </w:p>
        </w:tc>
        <w:tc>
          <w:tcPr>
            <w:tcW w:w="2240" w:type="dxa"/>
            <w:vAlign w:val="bottom"/>
            <w:tcBorders>
              <w:right w:val="single" w:sz="8" w:color="auto"/>
            </w:tcBorders>
          </w:tcPr>
          <w:p>
            <w:pPr>
              <w:jc w:val="right"/>
              <w:ind w:right="48"/>
              <w:spacing w:after="0"/>
              <w:rPr>
                <w:sz w:val="20"/>
                <w:szCs w:val="20"/>
                <w:color w:val="auto"/>
              </w:rPr>
            </w:pPr>
            <w:r>
              <w:rPr>
                <w:rFonts w:ascii="Calibri" w:cs="Calibri" w:eastAsia="Calibri" w:hAnsi="Calibri"/>
                <w:sz w:val="14"/>
                <w:szCs w:val="14"/>
                <w:color w:val="auto"/>
              </w:rPr>
              <w:t>750,377</w:t>
            </w:r>
          </w:p>
        </w:tc>
      </w:tr>
      <w:tr>
        <w:trPr>
          <w:trHeight w:val="33"/>
        </w:trPr>
        <w:tc>
          <w:tcPr>
            <w:tcW w:w="6860" w:type="dxa"/>
            <w:vAlign w:val="bottom"/>
            <w:tcBorders>
              <w:left w:val="single" w:sz="8" w:color="auto"/>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76"/>
        </w:trPr>
        <w:tc>
          <w:tcPr>
            <w:tcW w:w="6860" w:type="dxa"/>
            <w:vAlign w:val="bottom"/>
            <w:tcBorders>
              <w:left w:val="single" w:sz="8" w:color="auto"/>
              <w:bottom w:val="single" w:sz="8" w:color="E7E6E6"/>
            </w:tcBorders>
            <w:shd w:val="clear" w:color="auto" w:fill="E7E6E6"/>
          </w:tcPr>
          <w:p>
            <w:pPr>
              <w:ind w:left="180"/>
              <w:spacing w:after="0" w:line="164" w:lineRule="exact"/>
              <w:rPr>
                <w:sz w:val="20"/>
                <w:szCs w:val="20"/>
                <w:color w:val="auto"/>
              </w:rPr>
            </w:pPr>
            <w:r>
              <w:rPr>
                <w:rFonts w:ascii="Calibri" w:cs="Calibri" w:eastAsia="Calibri" w:hAnsi="Calibri"/>
                <w:sz w:val="14"/>
                <w:szCs w:val="14"/>
                <w:color w:val="auto"/>
              </w:rPr>
              <w:t>Total adjustments</w:t>
            </w:r>
          </w:p>
        </w:tc>
        <w:tc>
          <w:tcPr>
            <w:tcW w:w="2140" w:type="dxa"/>
            <w:vAlign w:val="bottom"/>
            <w:tcBorders>
              <w:bottom w:val="single" w:sz="8" w:color="E7E6E6"/>
            </w:tcBorders>
            <w:shd w:val="clear" w:color="auto" w:fill="E7E6E6"/>
          </w:tcPr>
          <w:p>
            <w:pPr>
              <w:spacing w:after="0"/>
              <w:rPr>
                <w:sz w:val="15"/>
                <w:szCs w:val="15"/>
                <w:color w:val="auto"/>
              </w:rPr>
            </w:pPr>
          </w:p>
        </w:tc>
        <w:tc>
          <w:tcPr>
            <w:tcW w:w="2240" w:type="dxa"/>
            <w:vAlign w:val="bottom"/>
            <w:tcBorders>
              <w:bottom w:val="single" w:sz="8" w:color="E7E6E6"/>
              <w:right w:val="single" w:sz="8" w:color="auto"/>
            </w:tcBorders>
            <w:shd w:val="clear" w:color="auto" w:fill="E7E6E6"/>
          </w:tcPr>
          <w:p>
            <w:pPr>
              <w:jc w:val="right"/>
              <w:spacing w:after="0" w:line="164" w:lineRule="exact"/>
              <w:rPr>
                <w:sz w:val="20"/>
                <w:szCs w:val="20"/>
                <w:color w:val="auto"/>
              </w:rPr>
            </w:pPr>
            <w:r>
              <w:rPr>
                <w:rFonts w:ascii="Calibri" w:cs="Calibri" w:eastAsia="Calibri" w:hAnsi="Calibri"/>
                <w:sz w:val="14"/>
                <w:szCs w:val="14"/>
                <w:color w:val="auto"/>
              </w:rPr>
              <w:t>(1,653,132 )</w:t>
            </w:r>
          </w:p>
        </w:tc>
      </w:tr>
      <w:tr>
        <w:trPr>
          <w:trHeight w:val="203"/>
        </w:trPr>
        <w:tc>
          <w:tcPr>
            <w:tcW w:w="6860" w:type="dxa"/>
            <w:vAlign w:val="bottom"/>
            <w:tcBorders>
              <w:left w:val="single" w:sz="8" w:color="auto"/>
              <w:bottom w:val="single" w:sz="8" w:color="auto"/>
            </w:tcBorders>
          </w:tcPr>
          <w:p>
            <w:pPr>
              <w:spacing w:after="0"/>
              <w:rPr>
                <w:sz w:val="17"/>
                <w:szCs w:val="17"/>
                <w:color w:val="auto"/>
              </w:rPr>
            </w:pPr>
          </w:p>
        </w:tc>
        <w:tc>
          <w:tcPr>
            <w:tcW w:w="2140" w:type="dxa"/>
            <w:vAlign w:val="bottom"/>
            <w:tcBorders>
              <w:bottom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r>
      <w:tr>
        <w:trPr>
          <w:trHeight w:val="163"/>
        </w:trPr>
        <w:tc>
          <w:tcPr>
            <w:tcW w:w="6860" w:type="dxa"/>
            <w:vAlign w:val="bottom"/>
            <w:tcBorders>
              <w:left w:val="single" w:sz="8" w:color="auto"/>
            </w:tcBorders>
          </w:tcPr>
          <w:p>
            <w:pPr>
              <w:ind w:left="40"/>
              <w:spacing w:after="0" w:line="164" w:lineRule="exact"/>
              <w:rPr>
                <w:sz w:val="20"/>
                <w:szCs w:val="20"/>
                <w:color w:val="auto"/>
              </w:rPr>
            </w:pPr>
            <w:r>
              <w:rPr>
                <w:rFonts w:ascii="Calibri" w:cs="Calibri" w:eastAsia="Calibri" w:hAnsi="Calibri"/>
                <w:sz w:val="14"/>
                <w:szCs w:val="14"/>
                <w:b w:val="1"/>
                <w:bCs w:val="1"/>
                <w:color w:val="auto"/>
              </w:rPr>
              <w:t>CAP Total</w:t>
            </w:r>
          </w:p>
        </w:tc>
        <w:tc>
          <w:tcPr>
            <w:tcW w:w="2140" w:type="dxa"/>
            <w:vAlign w:val="bottom"/>
          </w:tcPr>
          <w:p>
            <w:pPr>
              <w:jc w:val="right"/>
              <w:ind w:right="508"/>
              <w:spacing w:after="0" w:line="164" w:lineRule="exact"/>
              <w:rPr>
                <w:sz w:val="20"/>
                <w:szCs w:val="20"/>
                <w:color w:val="auto"/>
              </w:rPr>
            </w:pPr>
            <w:r>
              <w:rPr>
                <w:rFonts w:ascii="Calibri" w:cs="Calibri" w:eastAsia="Calibri" w:hAnsi="Calibri"/>
                <w:sz w:val="14"/>
                <w:szCs w:val="14"/>
                <w:color w:val="auto"/>
              </w:rPr>
              <w:t>$</w:t>
            </w:r>
          </w:p>
        </w:tc>
        <w:tc>
          <w:tcPr>
            <w:tcW w:w="2240" w:type="dxa"/>
            <w:vAlign w:val="bottom"/>
            <w:tcBorders>
              <w:right w:val="single" w:sz="8" w:color="auto"/>
            </w:tcBorders>
          </w:tcPr>
          <w:p>
            <w:pPr>
              <w:jc w:val="right"/>
              <w:ind w:right="48"/>
              <w:spacing w:after="0" w:line="164" w:lineRule="exact"/>
              <w:rPr>
                <w:sz w:val="20"/>
                <w:szCs w:val="20"/>
                <w:color w:val="auto"/>
              </w:rPr>
            </w:pPr>
            <w:r>
              <w:rPr>
                <w:rFonts w:ascii="Calibri" w:cs="Calibri" w:eastAsia="Calibri" w:hAnsi="Calibri"/>
                <w:sz w:val="14"/>
                <w:szCs w:val="14"/>
                <w:color w:val="auto"/>
              </w:rPr>
              <w:t>6,782,034</w:t>
            </w:r>
          </w:p>
        </w:tc>
      </w:tr>
      <w:tr>
        <w:trPr>
          <w:trHeight w:val="33"/>
        </w:trPr>
        <w:tc>
          <w:tcPr>
            <w:tcW w:w="6860" w:type="dxa"/>
            <w:vAlign w:val="bottom"/>
            <w:tcBorders>
              <w:left w:val="single" w:sz="8" w:color="auto"/>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bl>
    <w:p>
      <w:pPr>
        <w:spacing w:after="0" w:line="196" w:lineRule="exact"/>
        <w:rPr>
          <w:sz w:val="20"/>
          <w:szCs w:val="20"/>
          <w:color w:val="auto"/>
        </w:rPr>
      </w:pPr>
    </w:p>
    <w:tbl>
      <w:tblPr>
        <w:tblLayout w:type="fixed"/>
        <w:tblInd w:w="10" w:type="dxa"/>
        <w:tblCellMar>
          <w:top w:w="0" w:type="dxa"/>
          <w:left w:w="0" w:type="dxa"/>
          <w:bottom w:w="0" w:type="dxa"/>
          <w:right w:w="0" w:type="dxa"/>
        </w:tblCellMar>
      </w:tblPr>
      <w:tr>
        <w:trPr>
          <w:trHeight w:val="183"/>
        </w:trPr>
        <w:tc>
          <w:tcPr>
            <w:tcW w:w="6860" w:type="dxa"/>
            <w:vAlign w:val="bottom"/>
            <w:tcBorders>
              <w:top w:val="single" w:sz="8" w:color="auto"/>
              <w:left w:val="single" w:sz="8" w:color="auto"/>
            </w:tcBorders>
          </w:tcPr>
          <w:p>
            <w:pPr>
              <w:ind w:left="40"/>
              <w:spacing w:after="0"/>
              <w:rPr>
                <w:sz w:val="20"/>
                <w:szCs w:val="20"/>
                <w:color w:val="auto"/>
              </w:rPr>
            </w:pPr>
            <w:r>
              <w:rPr>
                <w:rFonts w:ascii="Calibri" w:cs="Calibri" w:eastAsia="Calibri" w:hAnsi="Calibri"/>
                <w:sz w:val="14"/>
                <w:szCs w:val="14"/>
                <w:b w:val="1"/>
                <w:bCs w:val="1"/>
                <w:color w:val="auto"/>
              </w:rPr>
              <w:t>Adjustments to Determine CAP for Non-PEO NEOs</w:t>
            </w:r>
          </w:p>
        </w:tc>
        <w:tc>
          <w:tcPr>
            <w:tcW w:w="2140" w:type="dxa"/>
            <w:vAlign w:val="bottom"/>
            <w:tcBorders>
              <w:top w:val="single" w:sz="8" w:color="auto"/>
            </w:tcBorders>
          </w:tcPr>
          <w:p>
            <w:pPr>
              <w:spacing w:after="0"/>
              <w:rPr>
                <w:sz w:val="15"/>
                <w:szCs w:val="15"/>
                <w:color w:val="auto"/>
              </w:rPr>
            </w:pPr>
          </w:p>
        </w:tc>
        <w:tc>
          <w:tcPr>
            <w:tcW w:w="2240" w:type="dxa"/>
            <w:vAlign w:val="bottom"/>
            <w:tcBorders>
              <w:top w:val="single" w:sz="8" w:color="auto"/>
              <w:right w:val="single" w:sz="8" w:color="auto"/>
            </w:tcBorders>
          </w:tcPr>
          <w:p>
            <w:pPr>
              <w:jc w:val="right"/>
              <w:ind w:right="1288"/>
              <w:spacing w:after="0"/>
              <w:rPr>
                <w:sz w:val="20"/>
                <w:szCs w:val="20"/>
                <w:color w:val="auto"/>
              </w:rPr>
            </w:pPr>
            <w:r>
              <w:rPr>
                <w:rFonts w:ascii="Calibri" w:cs="Calibri" w:eastAsia="Calibri" w:hAnsi="Calibri"/>
                <w:sz w:val="14"/>
                <w:szCs w:val="14"/>
                <w:b w:val="1"/>
                <w:bCs w:val="1"/>
                <w:color w:val="auto"/>
              </w:rPr>
              <w:t>2023</w:t>
            </w:r>
          </w:p>
        </w:tc>
      </w:tr>
      <w:tr>
        <w:trPr>
          <w:trHeight w:val="33"/>
        </w:trPr>
        <w:tc>
          <w:tcPr>
            <w:tcW w:w="6860" w:type="dxa"/>
            <w:vAlign w:val="bottom"/>
            <w:tcBorders>
              <w:left w:val="single" w:sz="8" w:color="auto"/>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76"/>
        </w:trPr>
        <w:tc>
          <w:tcPr>
            <w:tcW w:w="6860" w:type="dxa"/>
            <w:vAlign w:val="bottom"/>
            <w:tcBorders>
              <w:left w:val="single" w:sz="8" w:color="auto"/>
              <w:bottom w:val="single" w:sz="8" w:color="E7E6E6"/>
            </w:tcBorders>
            <w:shd w:val="clear" w:color="auto" w:fill="E7E6E6"/>
          </w:tcPr>
          <w:p>
            <w:pPr>
              <w:ind w:left="40"/>
              <w:spacing w:after="0" w:line="164" w:lineRule="exact"/>
              <w:rPr>
                <w:sz w:val="20"/>
                <w:szCs w:val="20"/>
                <w:color w:val="auto"/>
              </w:rPr>
            </w:pPr>
            <w:r>
              <w:rPr>
                <w:rFonts w:ascii="Calibri" w:cs="Calibri" w:eastAsia="Calibri" w:hAnsi="Calibri"/>
                <w:sz w:val="14"/>
                <w:szCs w:val="14"/>
                <w:b w:val="1"/>
                <w:bCs w:val="1"/>
                <w:color w:val="auto"/>
              </w:rPr>
              <w:t>Summary Compensaton Table (SCT) Total</w:t>
            </w:r>
          </w:p>
        </w:tc>
        <w:tc>
          <w:tcPr>
            <w:tcW w:w="2140" w:type="dxa"/>
            <w:vAlign w:val="bottom"/>
            <w:tcBorders>
              <w:bottom w:val="single" w:sz="8" w:color="E7E6E6"/>
            </w:tcBorders>
            <w:shd w:val="clear" w:color="auto" w:fill="E7E6E6"/>
          </w:tcPr>
          <w:p>
            <w:pPr>
              <w:jc w:val="right"/>
              <w:ind w:right="508"/>
              <w:spacing w:after="0" w:line="164" w:lineRule="exact"/>
              <w:rPr>
                <w:sz w:val="20"/>
                <w:szCs w:val="20"/>
                <w:color w:val="auto"/>
              </w:rPr>
            </w:pPr>
            <w:r>
              <w:rPr>
                <w:rFonts w:ascii="Calibri" w:cs="Calibri" w:eastAsia="Calibri" w:hAnsi="Calibri"/>
                <w:sz w:val="14"/>
                <w:szCs w:val="14"/>
                <w:color w:val="auto"/>
              </w:rPr>
              <w:t>$</w:t>
            </w:r>
          </w:p>
        </w:tc>
        <w:tc>
          <w:tcPr>
            <w:tcW w:w="2240" w:type="dxa"/>
            <w:vAlign w:val="bottom"/>
            <w:tcBorders>
              <w:bottom w:val="single" w:sz="8" w:color="E7E6E6"/>
              <w:right w:val="single" w:sz="8" w:color="auto"/>
            </w:tcBorders>
            <w:shd w:val="clear" w:color="auto" w:fill="E7E6E6"/>
          </w:tcPr>
          <w:p>
            <w:pPr>
              <w:jc w:val="right"/>
              <w:ind w:right="48"/>
              <w:spacing w:after="0" w:line="164" w:lineRule="exact"/>
              <w:rPr>
                <w:sz w:val="20"/>
                <w:szCs w:val="20"/>
                <w:color w:val="auto"/>
              </w:rPr>
            </w:pPr>
            <w:r>
              <w:rPr>
                <w:rFonts w:ascii="Calibri" w:cs="Calibri" w:eastAsia="Calibri" w:hAnsi="Calibri"/>
                <w:sz w:val="14"/>
                <w:szCs w:val="14"/>
                <w:color w:val="auto"/>
              </w:rPr>
              <w:t>1,480,334</w:t>
            </w:r>
          </w:p>
        </w:tc>
      </w:tr>
      <w:tr>
        <w:trPr>
          <w:trHeight w:val="203"/>
        </w:trPr>
        <w:tc>
          <w:tcPr>
            <w:tcW w:w="6860" w:type="dxa"/>
            <w:vAlign w:val="bottom"/>
            <w:tcBorders>
              <w:left w:val="single" w:sz="8" w:color="auto"/>
            </w:tcBorders>
          </w:tcPr>
          <w:p>
            <w:pPr>
              <w:spacing w:after="0"/>
              <w:rPr>
                <w:sz w:val="17"/>
                <w:szCs w:val="17"/>
                <w:color w:val="auto"/>
              </w:rPr>
            </w:pPr>
          </w:p>
        </w:tc>
        <w:tc>
          <w:tcPr>
            <w:tcW w:w="2140" w:type="dxa"/>
            <w:vAlign w:val="bottom"/>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r>
      <w:tr>
        <w:trPr>
          <w:trHeight w:val="183"/>
        </w:trPr>
        <w:tc>
          <w:tcPr>
            <w:tcW w:w="6860" w:type="dxa"/>
            <w:vAlign w:val="bottom"/>
            <w:tcBorders>
              <w:left w:val="single" w:sz="8" w:color="auto"/>
              <w:bottom w:val="single" w:sz="8" w:color="E7E6E6"/>
            </w:tcBorders>
            <w:shd w:val="clear" w:color="auto" w:fill="E7E6E6"/>
          </w:tcPr>
          <w:p>
            <w:pPr>
              <w:ind w:left="40"/>
              <w:spacing w:after="0"/>
              <w:rPr>
                <w:sz w:val="20"/>
                <w:szCs w:val="20"/>
                <w:color w:val="auto"/>
              </w:rPr>
            </w:pPr>
            <w:r>
              <w:rPr>
                <w:rFonts w:ascii="Calibri" w:cs="Calibri" w:eastAsia="Calibri" w:hAnsi="Calibri"/>
                <w:sz w:val="14"/>
                <w:szCs w:val="14"/>
                <w:color w:val="auto"/>
              </w:rPr>
              <w:t>Adjustments to arrive at CAP:</w:t>
            </w:r>
          </w:p>
        </w:tc>
        <w:tc>
          <w:tcPr>
            <w:tcW w:w="2140" w:type="dxa"/>
            <w:vAlign w:val="bottom"/>
            <w:tcBorders>
              <w:bottom w:val="single" w:sz="8" w:color="E7E6E6"/>
            </w:tcBorders>
            <w:shd w:val="clear" w:color="auto" w:fill="E7E6E6"/>
          </w:tcPr>
          <w:p>
            <w:pPr>
              <w:spacing w:after="0"/>
              <w:rPr>
                <w:sz w:val="15"/>
                <w:szCs w:val="15"/>
                <w:color w:val="auto"/>
              </w:rPr>
            </w:pPr>
          </w:p>
        </w:tc>
        <w:tc>
          <w:tcPr>
            <w:tcW w:w="2240" w:type="dxa"/>
            <w:vAlign w:val="bottom"/>
            <w:tcBorders>
              <w:bottom w:val="single" w:sz="8" w:color="E7E6E6"/>
              <w:right w:val="single" w:sz="8" w:color="auto"/>
            </w:tcBorders>
            <w:shd w:val="clear" w:color="auto" w:fill="E7E6E6"/>
          </w:tcPr>
          <w:p>
            <w:pPr>
              <w:spacing w:after="0"/>
              <w:rPr>
                <w:sz w:val="15"/>
                <w:szCs w:val="15"/>
                <w:color w:val="auto"/>
              </w:rPr>
            </w:pPr>
          </w:p>
        </w:tc>
      </w:tr>
      <w:tr>
        <w:trPr>
          <w:trHeight w:val="170"/>
        </w:trPr>
        <w:tc>
          <w:tcPr>
            <w:tcW w:w="6860" w:type="dxa"/>
            <w:vAlign w:val="bottom"/>
            <w:tcBorders>
              <w:left w:val="single" w:sz="8" w:color="auto"/>
            </w:tcBorders>
          </w:tcPr>
          <w:p>
            <w:pPr>
              <w:ind w:left="100"/>
              <w:spacing w:after="0"/>
              <w:rPr>
                <w:sz w:val="20"/>
                <w:szCs w:val="20"/>
                <w:color w:val="auto"/>
              </w:rPr>
            </w:pPr>
            <w:r>
              <w:rPr>
                <w:rFonts w:ascii="Calibri" w:cs="Calibri" w:eastAsia="Calibri" w:hAnsi="Calibri"/>
                <w:sz w:val="14"/>
                <w:szCs w:val="14"/>
                <w:color w:val="auto"/>
              </w:rPr>
              <w:t>Deducton for change in the actuarial present values reported under column (h) of the SCT</w:t>
            </w:r>
          </w:p>
        </w:tc>
        <w:tc>
          <w:tcPr>
            <w:tcW w:w="2140" w:type="dxa"/>
            <w:vAlign w:val="bottom"/>
          </w:tcPr>
          <w:p>
            <w:pPr>
              <w:spacing w:after="0"/>
              <w:rPr>
                <w:sz w:val="14"/>
                <w:szCs w:val="14"/>
                <w:color w:val="auto"/>
              </w:rPr>
            </w:pPr>
          </w:p>
        </w:tc>
        <w:tc>
          <w:tcPr>
            <w:tcW w:w="224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(646 )</w:t>
            </w:r>
          </w:p>
        </w:tc>
      </w:tr>
      <w:tr>
        <w:trPr>
          <w:trHeight w:val="33"/>
        </w:trPr>
        <w:tc>
          <w:tcPr>
            <w:tcW w:w="6860" w:type="dxa"/>
            <w:vAlign w:val="bottom"/>
            <w:tcBorders>
              <w:left w:val="single" w:sz="8" w:color="auto"/>
            </w:tcBorders>
          </w:tcPr>
          <w:p>
            <w:pPr>
              <w:spacing w:after="0"/>
              <w:rPr>
                <w:sz w:val="2"/>
                <w:szCs w:val="2"/>
                <w:color w:val="auto"/>
              </w:rPr>
            </w:pPr>
          </w:p>
        </w:tc>
        <w:tc>
          <w:tcPr>
            <w:tcW w:w="2140" w:type="dxa"/>
            <w:vAlign w:val="bottom"/>
          </w:tcPr>
          <w:p>
            <w:pPr>
              <w:spacing w:after="0"/>
              <w:rPr>
                <w:sz w:val="2"/>
                <w:szCs w:val="2"/>
                <w:color w:val="auto"/>
              </w:rPr>
            </w:pPr>
          </w:p>
        </w:tc>
        <w:tc>
          <w:tcPr>
            <w:tcW w:w="2240" w:type="dxa"/>
            <w:vAlign w:val="bottom"/>
            <w:tcBorders>
              <w:right w:val="single" w:sz="8" w:color="auto"/>
            </w:tcBorders>
          </w:tcPr>
          <w:p>
            <w:pPr>
              <w:spacing w:after="0"/>
              <w:rPr>
                <w:sz w:val="2"/>
                <w:szCs w:val="2"/>
                <w:color w:val="auto"/>
              </w:rPr>
            </w:pPr>
          </w:p>
        </w:tc>
      </w:tr>
      <w:tr>
        <w:trPr>
          <w:trHeight w:val="183"/>
        </w:trPr>
        <w:tc>
          <w:tcPr>
            <w:tcW w:w="6860" w:type="dxa"/>
            <w:vAlign w:val="bottom"/>
            <w:tcBorders>
              <w:left w:val="single" w:sz="8" w:color="auto"/>
              <w:bottom w:val="single" w:sz="8" w:color="E7E6E6"/>
            </w:tcBorders>
            <w:shd w:val="clear" w:color="auto" w:fill="E7E6E6"/>
          </w:tcPr>
          <w:p>
            <w:pPr>
              <w:ind w:left="100"/>
              <w:spacing w:after="0"/>
              <w:rPr>
                <w:sz w:val="20"/>
                <w:szCs w:val="20"/>
                <w:color w:val="auto"/>
              </w:rPr>
            </w:pPr>
            <w:r>
              <w:rPr>
                <w:rFonts w:ascii="Calibri" w:cs="Calibri" w:eastAsia="Calibri" w:hAnsi="Calibri"/>
                <w:sz w:val="14"/>
                <w:szCs w:val="14"/>
                <w:color w:val="auto"/>
              </w:rPr>
              <w:t>Increase for "Service Cost" for Pension Plans</w:t>
            </w:r>
          </w:p>
        </w:tc>
        <w:tc>
          <w:tcPr>
            <w:tcW w:w="2140" w:type="dxa"/>
            <w:vAlign w:val="bottom"/>
            <w:tcBorders>
              <w:bottom w:val="single" w:sz="8" w:color="E7E6E6"/>
            </w:tcBorders>
            <w:shd w:val="clear" w:color="auto" w:fill="E7E6E6"/>
          </w:tcPr>
          <w:p>
            <w:pPr>
              <w:spacing w:after="0"/>
              <w:rPr>
                <w:sz w:val="15"/>
                <w:szCs w:val="15"/>
                <w:color w:val="auto"/>
              </w:rPr>
            </w:pPr>
          </w:p>
        </w:tc>
        <w:tc>
          <w:tcPr>
            <w:tcW w:w="2240" w:type="dxa"/>
            <w:vAlign w:val="bottom"/>
            <w:tcBorders>
              <w:bottom w:val="single" w:sz="8" w:color="E7E6E6"/>
              <w:right w:val="single" w:sz="8" w:color="auto"/>
            </w:tcBorders>
            <w:shd w:val="clear" w:color="auto" w:fill="E7E6E6"/>
          </w:tcPr>
          <w:p>
            <w:pPr>
              <w:jc w:val="right"/>
              <w:ind w:right="48"/>
              <w:spacing w:after="0"/>
              <w:rPr>
                <w:sz w:val="20"/>
                <w:szCs w:val="20"/>
                <w:color w:val="auto"/>
              </w:rPr>
            </w:pPr>
            <w:r>
              <w:rPr>
                <w:rFonts w:ascii="Calibri" w:cs="Calibri" w:eastAsia="Calibri" w:hAnsi="Calibri"/>
                <w:sz w:val="14"/>
                <w:szCs w:val="14"/>
                <w:color w:val="auto"/>
              </w:rPr>
              <w:t>—</w:t>
            </w:r>
          </w:p>
        </w:tc>
      </w:tr>
      <w:tr>
        <w:trPr>
          <w:trHeight w:val="170"/>
        </w:trPr>
        <w:tc>
          <w:tcPr>
            <w:tcW w:w="6860" w:type="dxa"/>
            <w:vAlign w:val="bottom"/>
            <w:tcBorders>
              <w:left w:val="single" w:sz="8" w:color="auto"/>
            </w:tcBorders>
          </w:tcPr>
          <w:p>
            <w:pPr>
              <w:ind w:left="100"/>
              <w:spacing w:after="0"/>
              <w:rPr>
                <w:sz w:val="20"/>
                <w:szCs w:val="20"/>
                <w:color w:val="auto"/>
              </w:rPr>
            </w:pPr>
            <w:r>
              <w:rPr>
                <w:rFonts w:ascii="Calibri" w:cs="Calibri" w:eastAsia="Calibri" w:hAnsi="Calibri"/>
                <w:sz w:val="14"/>
                <w:szCs w:val="14"/>
                <w:color w:val="auto"/>
              </w:rPr>
              <w:t>Deducton for amounts reported under column (e) in the SCT</w:t>
            </w:r>
          </w:p>
        </w:tc>
        <w:tc>
          <w:tcPr>
            <w:tcW w:w="2140" w:type="dxa"/>
            <w:vAlign w:val="bottom"/>
          </w:tcPr>
          <w:p>
            <w:pPr>
              <w:spacing w:after="0"/>
              <w:rPr>
                <w:sz w:val="14"/>
                <w:szCs w:val="14"/>
                <w:color w:val="auto"/>
              </w:rPr>
            </w:pPr>
          </w:p>
        </w:tc>
        <w:tc>
          <w:tcPr>
            <w:tcW w:w="224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(618,178 )</w:t>
            </w:r>
          </w:p>
        </w:tc>
      </w:tr>
      <w:tr>
        <w:trPr>
          <w:trHeight w:val="33"/>
        </w:trPr>
        <w:tc>
          <w:tcPr>
            <w:tcW w:w="6860" w:type="dxa"/>
            <w:vAlign w:val="bottom"/>
            <w:tcBorders>
              <w:left w:val="single" w:sz="8" w:color="auto"/>
            </w:tcBorders>
          </w:tcPr>
          <w:p>
            <w:pPr>
              <w:spacing w:after="0"/>
              <w:rPr>
                <w:sz w:val="2"/>
                <w:szCs w:val="2"/>
                <w:color w:val="auto"/>
              </w:rPr>
            </w:pPr>
          </w:p>
        </w:tc>
        <w:tc>
          <w:tcPr>
            <w:tcW w:w="2140" w:type="dxa"/>
            <w:vAlign w:val="bottom"/>
          </w:tcPr>
          <w:p>
            <w:pPr>
              <w:spacing w:after="0"/>
              <w:rPr>
                <w:sz w:val="2"/>
                <w:szCs w:val="2"/>
                <w:color w:val="auto"/>
              </w:rPr>
            </w:pPr>
          </w:p>
        </w:tc>
        <w:tc>
          <w:tcPr>
            <w:tcW w:w="2240" w:type="dxa"/>
            <w:vAlign w:val="bottom"/>
            <w:tcBorders>
              <w:right w:val="single" w:sz="8" w:color="auto"/>
            </w:tcBorders>
          </w:tcPr>
          <w:p>
            <w:pPr>
              <w:spacing w:after="0"/>
              <w:rPr>
                <w:sz w:val="2"/>
                <w:szCs w:val="2"/>
                <w:color w:val="auto"/>
              </w:rPr>
            </w:pPr>
          </w:p>
        </w:tc>
      </w:tr>
      <w:tr>
        <w:trPr>
          <w:trHeight w:val="183"/>
        </w:trPr>
        <w:tc>
          <w:tcPr>
            <w:tcW w:w="6860" w:type="dxa"/>
            <w:vAlign w:val="bottom"/>
            <w:tcBorders>
              <w:left w:val="single" w:sz="8" w:color="auto"/>
              <w:bottom w:val="single" w:sz="8" w:color="E7E6E6"/>
            </w:tcBorders>
            <w:shd w:val="clear" w:color="auto" w:fill="E7E6E6"/>
          </w:tcPr>
          <w:p>
            <w:pPr>
              <w:ind w:left="100"/>
              <w:spacing w:after="0"/>
              <w:rPr>
                <w:sz w:val="20"/>
                <w:szCs w:val="20"/>
                <w:color w:val="auto"/>
              </w:rPr>
            </w:pPr>
            <w:r>
              <w:rPr>
                <w:rFonts w:ascii="Calibri" w:cs="Calibri" w:eastAsia="Calibri" w:hAnsi="Calibri"/>
                <w:sz w:val="14"/>
                <w:szCs w:val="14"/>
                <w:color w:val="auto"/>
              </w:rPr>
              <w:t>Fair value of current year equity awards at year-end</w:t>
            </w:r>
          </w:p>
        </w:tc>
        <w:tc>
          <w:tcPr>
            <w:tcW w:w="2140" w:type="dxa"/>
            <w:vAlign w:val="bottom"/>
            <w:tcBorders>
              <w:bottom w:val="single" w:sz="8" w:color="E7E6E6"/>
            </w:tcBorders>
            <w:shd w:val="clear" w:color="auto" w:fill="E7E6E6"/>
          </w:tcPr>
          <w:p>
            <w:pPr>
              <w:spacing w:after="0"/>
              <w:rPr>
                <w:sz w:val="15"/>
                <w:szCs w:val="15"/>
                <w:color w:val="auto"/>
              </w:rPr>
            </w:pPr>
          </w:p>
        </w:tc>
        <w:tc>
          <w:tcPr>
            <w:tcW w:w="2240" w:type="dxa"/>
            <w:vAlign w:val="bottom"/>
            <w:tcBorders>
              <w:bottom w:val="single" w:sz="8" w:color="E7E6E6"/>
              <w:right w:val="single" w:sz="8" w:color="auto"/>
            </w:tcBorders>
            <w:shd w:val="clear" w:color="auto" w:fill="E7E6E6"/>
          </w:tcPr>
          <w:p>
            <w:pPr>
              <w:jc w:val="right"/>
              <w:ind w:right="48"/>
              <w:spacing w:after="0"/>
              <w:rPr>
                <w:sz w:val="20"/>
                <w:szCs w:val="20"/>
                <w:color w:val="auto"/>
              </w:rPr>
            </w:pPr>
            <w:r>
              <w:rPr>
                <w:rFonts w:ascii="Calibri" w:cs="Calibri" w:eastAsia="Calibri" w:hAnsi="Calibri"/>
                <w:sz w:val="14"/>
                <w:szCs w:val="14"/>
                <w:color w:val="auto"/>
              </w:rPr>
              <w:t>544,949</w:t>
            </w:r>
          </w:p>
        </w:tc>
      </w:tr>
      <w:tr>
        <w:trPr>
          <w:trHeight w:val="170"/>
        </w:trPr>
        <w:tc>
          <w:tcPr>
            <w:tcW w:w="6860" w:type="dxa"/>
            <w:vAlign w:val="bottom"/>
            <w:tcBorders>
              <w:left w:val="single" w:sz="8" w:color="auto"/>
            </w:tcBorders>
          </w:tcPr>
          <w:p>
            <w:pPr>
              <w:ind w:left="100"/>
              <w:spacing w:after="0"/>
              <w:rPr>
                <w:sz w:val="20"/>
                <w:szCs w:val="20"/>
                <w:color w:val="auto"/>
              </w:rPr>
            </w:pPr>
            <w:r>
              <w:rPr>
                <w:rFonts w:ascii="Calibri" w:cs="Calibri" w:eastAsia="Calibri" w:hAnsi="Calibri"/>
                <w:sz w:val="14"/>
                <w:szCs w:val="14"/>
                <w:color w:val="auto"/>
              </w:rPr>
              <w:t>Change in value of prior years' awards unvested at year-end</w:t>
            </w:r>
          </w:p>
        </w:tc>
        <w:tc>
          <w:tcPr>
            <w:tcW w:w="2140" w:type="dxa"/>
            <w:vAlign w:val="bottom"/>
          </w:tcPr>
          <w:p>
            <w:pPr>
              <w:spacing w:after="0"/>
              <w:rPr>
                <w:sz w:val="14"/>
                <w:szCs w:val="14"/>
                <w:color w:val="auto"/>
              </w:rPr>
            </w:pPr>
          </w:p>
        </w:tc>
        <w:tc>
          <w:tcPr>
            <w:tcW w:w="2240" w:type="dxa"/>
            <w:vAlign w:val="bottom"/>
            <w:tcBorders>
              <w:right w:val="single" w:sz="8" w:color="auto"/>
            </w:tcBorders>
          </w:tcPr>
          <w:p>
            <w:pPr>
              <w:jc w:val="right"/>
              <w:spacing w:after="0"/>
              <w:rPr>
                <w:sz w:val="20"/>
                <w:szCs w:val="20"/>
                <w:color w:val="auto"/>
              </w:rPr>
            </w:pPr>
            <w:r>
              <w:rPr>
                <w:rFonts w:ascii="Calibri" w:cs="Calibri" w:eastAsia="Calibri" w:hAnsi="Calibri"/>
                <w:sz w:val="14"/>
                <w:szCs w:val="14"/>
                <w:color w:val="auto"/>
              </w:rPr>
              <w:t>(73,904 )</w:t>
            </w:r>
          </w:p>
        </w:tc>
      </w:tr>
      <w:tr>
        <w:trPr>
          <w:trHeight w:val="33"/>
        </w:trPr>
        <w:tc>
          <w:tcPr>
            <w:tcW w:w="6860" w:type="dxa"/>
            <w:vAlign w:val="bottom"/>
            <w:tcBorders>
              <w:left w:val="single" w:sz="8" w:color="auto"/>
            </w:tcBorders>
          </w:tcPr>
          <w:p>
            <w:pPr>
              <w:spacing w:after="0"/>
              <w:rPr>
                <w:sz w:val="2"/>
                <w:szCs w:val="2"/>
                <w:color w:val="auto"/>
              </w:rPr>
            </w:pPr>
          </w:p>
        </w:tc>
        <w:tc>
          <w:tcPr>
            <w:tcW w:w="2140" w:type="dxa"/>
            <w:vAlign w:val="bottom"/>
          </w:tcPr>
          <w:p>
            <w:pPr>
              <w:spacing w:after="0"/>
              <w:rPr>
                <w:sz w:val="2"/>
                <w:szCs w:val="2"/>
                <w:color w:val="auto"/>
              </w:rPr>
            </w:pPr>
          </w:p>
        </w:tc>
        <w:tc>
          <w:tcPr>
            <w:tcW w:w="2240" w:type="dxa"/>
            <w:vAlign w:val="bottom"/>
            <w:tcBorders>
              <w:right w:val="single" w:sz="8" w:color="auto"/>
            </w:tcBorders>
          </w:tcPr>
          <w:p>
            <w:pPr>
              <w:spacing w:after="0"/>
              <w:rPr>
                <w:sz w:val="2"/>
                <w:szCs w:val="2"/>
                <w:color w:val="auto"/>
              </w:rPr>
            </w:pPr>
          </w:p>
        </w:tc>
      </w:tr>
      <w:tr>
        <w:trPr>
          <w:trHeight w:val="183"/>
        </w:trPr>
        <w:tc>
          <w:tcPr>
            <w:tcW w:w="6860" w:type="dxa"/>
            <w:vAlign w:val="bottom"/>
            <w:tcBorders>
              <w:left w:val="single" w:sz="8" w:color="auto"/>
              <w:bottom w:val="single" w:sz="8" w:color="E7E6E6"/>
            </w:tcBorders>
            <w:shd w:val="clear" w:color="auto" w:fill="E7E6E6"/>
          </w:tcPr>
          <w:p>
            <w:pPr>
              <w:ind w:left="100"/>
              <w:spacing w:after="0"/>
              <w:rPr>
                <w:sz w:val="20"/>
                <w:szCs w:val="20"/>
                <w:color w:val="auto"/>
              </w:rPr>
            </w:pPr>
            <w:r>
              <w:rPr>
                <w:rFonts w:ascii="Calibri" w:cs="Calibri" w:eastAsia="Calibri" w:hAnsi="Calibri"/>
                <w:sz w:val="14"/>
                <w:szCs w:val="14"/>
                <w:color w:val="auto"/>
              </w:rPr>
              <w:t>Change in value of prior years' awards that vested during current year</w:t>
            </w:r>
          </w:p>
        </w:tc>
        <w:tc>
          <w:tcPr>
            <w:tcW w:w="2140" w:type="dxa"/>
            <w:vAlign w:val="bottom"/>
            <w:tcBorders>
              <w:bottom w:val="single" w:sz="8" w:color="E7E6E6"/>
            </w:tcBorders>
            <w:shd w:val="clear" w:color="auto" w:fill="E7E6E6"/>
          </w:tcPr>
          <w:p>
            <w:pPr>
              <w:spacing w:after="0"/>
              <w:rPr>
                <w:sz w:val="15"/>
                <w:szCs w:val="15"/>
                <w:color w:val="auto"/>
              </w:rPr>
            </w:pPr>
          </w:p>
        </w:tc>
        <w:tc>
          <w:tcPr>
            <w:tcW w:w="2240" w:type="dxa"/>
            <w:vAlign w:val="bottom"/>
            <w:tcBorders>
              <w:bottom w:val="single" w:sz="8" w:color="E7E6E6"/>
              <w:right w:val="single" w:sz="8" w:color="auto"/>
            </w:tcBorders>
            <w:shd w:val="clear" w:color="auto" w:fill="E7E6E6"/>
          </w:tcPr>
          <w:p>
            <w:pPr>
              <w:jc w:val="right"/>
              <w:spacing w:after="0"/>
              <w:rPr>
                <w:sz w:val="20"/>
                <w:szCs w:val="20"/>
                <w:color w:val="auto"/>
              </w:rPr>
            </w:pPr>
            <w:r>
              <w:rPr>
                <w:rFonts w:ascii="Calibri" w:cs="Calibri" w:eastAsia="Calibri" w:hAnsi="Calibri"/>
                <w:sz w:val="14"/>
                <w:szCs w:val="14"/>
                <w:color w:val="auto"/>
              </w:rPr>
              <w:t>(151,753 )</w:t>
            </w:r>
          </w:p>
        </w:tc>
      </w:tr>
      <w:tr>
        <w:trPr>
          <w:trHeight w:val="170"/>
        </w:trPr>
        <w:tc>
          <w:tcPr>
            <w:tcW w:w="6860" w:type="dxa"/>
            <w:vAlign w:val="bottom"/>
            <w:tcBorders>
              <w:left w:val="single" w:sz="8" w:color="auto"/>
            </w:tcBorders>
          </w:tcPr>
          <w:p>
            <w:pPr>
              <w:ind w:left="100"/>
              <w:spacing w:after="0"/>
              <w:rPr>
                <w:sz w:val="20"/>
                <w:szCs w:val="20"/>
                <w:color w:val="auto"/>
              </w:rPr>
            </w:pPr>
            <w:r>
              <w:rPr>
                <w:rFonts w:ascii="Calibri" w:cs="Calibri" w:eastAsia="Calibri" w:hAnsi="Calibri"/>
                <w:sz w:val="14"/>
                <w:szCs w:val="14"/>
                <w:color w:val="auto"/>
              </w:rPr>
              <w:t>Dividends</w:t>
            </w:r>
          </w:p>
        </w:tc>
        <w:tc>
          <w:tcPr>
            <w:tcW w:w="2140" w:type="dxa"/>
            <w:vAlign w:val="bottom"/>
          </w:tcPr>
          <w:p>
            <w:pPr>
              <w:spacing w:after="0"/>
              <w:rPr>
                <w:sz w:val="14"/>
                <w:szCs w:val="14"/>
                <w:color w:val="auto"/>
              </w:rPr>
            </w:pPr>
          </w:p>
        </w:tc>
        <w:tc>
          <w:tcPr>
            <w:tcW w:w="2240" w:type="dxa"/>
            <w:vAlign w:val="bottom"/>
            <w:tcBorders>
              <w:right w:val="single" w:sz="8" w:color="auto"/>
            </w:tcBorders>
          </w:tcPr>
          <w:p>
            <w:pPr>
              <w:jc w:val="right"/>
              <w:ind w:right="48"/>
              <w:spacing w:after="0"/>
              <w:rPr>
                <w:sz w:val="20"/>
                <w:szCs w:val="20"/>
                <w:color w:val="auto"/>
              </w:rPr>
            </w:pPr>
            <w:r>
              <w:rPr>
                <w:rFonts w:ascii="Calibri" w:cs="Calibri" w:eastAsia="Calibri" w:hAnsi="Calibri"/>
                <w:sz w:val="14"/>
                <w:szCs w:val="14"/>
                <w:color w:val="auto"/>
              </w:rPr>
              <w:t>98,750</w:t>
            </w:r>
          </w:p>
        </w:tc>
      </w:tr>
      <w:tr>
        <w:trPr>
          <w:trHeight w:val="33"/>
        </w:trPr>
        <w:tc>
          <w:tcPr>
            <w:tcW w:w="6860" w:type="dxa"/>
            <w:vAlign w:val="bottom"/>
            <w:tcBorders>
              <w:left w:val="single" w:sz="8" w:color="auto"/>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76"/>
        </w:trPr>
        <w:tc>
          <w:tcPr>
            <w:tcW w:w="6860" w:type="dxa"/>
            <w:vAlign w:val="bottom"/>
            <w:tcBorders>
              <w:left w:val="single" w:sz="8" w:color="auto"/>
              <w:bottom w:val="single" w:sz="8" w:color="E7E6E6"/>
            </w:tcBorders>
            <w:shd w:val="clear" w:color="auto" w:fill="E7E6E6"/>
          </w:tcPr>
          <w:p>
            <w:pPr>
              <w:ind w:left="180"/>
              <w:spacing w:after="0" w:line="164" w:lineRule="exact"/>
              <w:rPr>
                <w:sz w:val="20"/>
                <w:szCs w:val="20"/>
                <w:color w:val="auto"/>
              </w:rPr>
            </w:pPr>
            <w:r>
              <w:rPr>
                <w:rFonts w:ascii="Calibri" w:cs="Calibri" w:eastAsia="Calibri" w:hAnsi="Calibri"/>
                <w:sz w:val="14"/>
                <w:szCs w:val="14"/>
                <w:color w:val="auto"/>
              </w:rPr>
              <w:t>Total adjustments</w:t>
            </w:r>
          </w:p>
        </w:tc>
        <w:tc>
          <w:tcPr>
            <w:tcW w:w="2140" w:type="dxa"/>
            <w:vAlign w:val="bottom"/>
            <w:tcBorders>
              <w:bottom w:val="single" w:sz="8" w:color="E7E6E6"/>
            </w:tcBorders>
            <w:shd w:val="clear" w:color="auto" w:fill="E7E6E6"/>
          </w:tcPr>
          <w:p>
            <w:pPr>
              <w:spacing w:after="0"/>
              <w:rPr>
                <w:sz w:val="15"/>
                <w:szCs w:val="15"/>
                <w:color w:val="auto"/>
              </w:rPr>
            </w:pPr>
          </w:p>
        </w:tc>
        <w:tc>
          <w:tcPr>
            <w:tcW w:w="2240" w:type="dxa"/>
            <w:vAlign w:val="bottom"/>
            <w:tcBorders>
              <w:bottom w:val="single" w:sz="8" w:color="E7E6E6"/>
              <w:right w:val="single" w:sz="8" w:color="auto"/>
            </w:tcBorders>
            <w:shd w:val="clear" w:color="auto" w:fill="E7E6E6"/>
          </w:tcPr>
          <w:p>
            <w:pPr>
              <w:jc w:val="right"/>
              <w:spacing w:after="0" w:line="164" w:lineRule="exact"/>
              <w:rPr>
                <w:sz w:val="20"/>
                <w:szCs w:val="20"/>
                <w:color w:val="auto"/>
              </w:rPr>
            </w:pPr>
            <w:r>
              <w:rPr>
                <w:rFonts w:ascii="Calibri" w:cs="Calibri" w:eastAsia="Calibri" w:hAnsi="Calibri"/>
                <w:sz w:val="14"/>
                <w:szCs w:val="14"/>
                <w:color w:val="auto"/>
              </w:rPr>
              <w:t>(200,782 )</w:t>
            </w:r>
          </w:p>
        </w:tc>
      </w:tr>
      <w:tr>
        <w:trPr>
          <w:trHeight w:val="203"/>
        </w:trPr>
        <w:tc>
          <w:tcPr>
            <w:tcW w:w="6860" w:type="dxa"/>
            <w:vAlign w:val="bottom"/>
            <w:tcBorders>
              <w:left w:val="single" w:sz="8" w:color="auto"/>
              <w:bottom w:val="single" w:sz="8" w:color="auto"/>
            </w:tcBorders>
          </w:tcPr>
          <w:p>
            <w:pPr>
              <w:spacing w:after="0"/>
              <w:rPr>
                <w:sz w:val="17"/>
                <w:szCs w:val="17"/>
                <w:color w:val="auto"/>
              </w:rPr>
            </w:pPr>
          </w:p>
        </w:tc>
        <w:tc>
          <w:tcPr>
            <w:tcW w:w="2140" w:type="dxa"/>
            <w:vAlign w:val="bottom"/>
            <w:tcBorders>
              <w:bottom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r>
      <w:tr>
        <w:trPr>
          <w:trHeight w:val="163"/>
        </w:trPr>
        <w:tc>
          <w:tcPr>
            <w:tcW w:w="6860" w:type="dxa"/>
            <w:vAlign w:val="bottom"/>
            <w:tcBorders>
              <w:left w:val="single" w:sz="8" w:color="auto"/>
            </w:tcBorders>
          </w:tcPr>
          <w:p>
            <w:pPr>
              <w:ind w:left="40"/>
              <w:spacing w:after="0" w:line="164" w:lineRule="exact"/>
              <w:rPr>
                <w:sz w:val="20"/>
                <w:szCs w:val="20"/>
                <w:color w:val="auto"/>
              </w:rPr>
            </w:pPr>
            <w:r>
              <w:rPr>
                <w:rFonts w:ascii="Calibri" w:cs="Calibri" w:eastAsia="Calibri" w:hAnsi="Calibri"/>
                <w:sz w:val="14"/>
                <w:szCs w:val="14"/>
                <w:b w:val="1"/>
                <w:bCs w:val="1"/>
                <w:color w:val="auto"/>
              </w:rPr>
              <w:t>CAP Total</w:t>
            </w:r>
          </w:p>
        </w:tc>
        <w:tc>
          <w:tcPr>
            <w:tcW w:w="2140" w:type="dxa"/>
            <w:vAlign w:val="bottom"/>
          </w:tcPr>
          <w:p>
            <w:pPr>
              <w:jc w:val="right"/>
              <w:ind w:right="508"/>
              <w:spacing w:after="0" w:line="164" w:lineRule="exact"/>
              <w:rPr>
                <w:sz w:val="20"/>
                <w:szCs w:val="20"/>
                <w:color w:val="auto"/>
              </w:rPr>
            </w:pPr>
            <w:r>
              <w:rPr>
                <w:rFonts w:ascii="Calibri" w:cs="Calibri" w:eastAsia="Calibri" w:hAnsi="Calibri"/>
                <w:sz w:val="14"/>
                <w:szCs w:val="14"/>
                <w:color w:val="auto"/>
              </w:rPr>
              <w:t>$</w:t>
            </w:r>
          </w:p>
        </w:tc>
        <w:tc>
          <w:tcPr>
            <w:tcW w:w="2240" w:type="dxa"/>
            <w:vAlign w:val="bottom"/>
            <w:tcBorders>
              <w:right w:val="single" w:sz="8" w:color="auto"/>
            </w:tcBorders>
          </w:tcPr>
          <w:p>
            <w:pPr>
              <w:jc w:val="right"/>
              <w:ind w:right="48"/>
              <w:spacing w:after="0" w:line="164" w:lineRule="exact"/>
              <w:rPr>
                <w:sz w:val="20"/>
                <w:szCs w:val="20"/>
                <w:color w:val="auto"/>
              </w:rPr>
            </w:pPr>
            <w:r>
              <w:rPr>
                <w:rFonts w:ascii="Calibri" w:cs="Calibri" w:eastAsia="Calibri" w:hAnsi="Calibri"/>
                <w:sz w:val="14"/>
                <w:szCs w:val="14"/>
                <w:color w:val="auto"/>
              </w:rPr>
              <w:t>1,279,552</w:t>
            </w:r>
          </w:p>
        </w:tc>
      </w:tr>
      <w:tr>
        <w:trPr>
          <w:trHeight w:val="33"/>
        </w:trPr>
        <w:tc>
          <w:tcPr>
            <w:tcW w:w="6860" w:type="dxa"/>
            <w:vAlign w:val="bottom"/>
            <w:tcBorders>
              <w:left w:val="single" w:sz="8" w:color="auto"/>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bl>
    <w:p>
      <w:pPr>
        <w:spacing w:after="0" w:line="194" w:lineRule="exact"/>
        <w:rPr>
          <w:sz w:val="20"/>
          <w:szCs w:val="20"/>
          <w:color w:val="auto"/>
        </w:rPr>
      </w:pPr>
    </w:p>
    <w:p>
      <w:pPr>
        <w:ind w:left="380"/>
        <w:spacing w:after="0"/>
        <w:rPr>
          <w:sz w:val="20"/>
          <w:szCs w:val="20"/>
          <w:color w:val="auto"/>
        </w:rPr>
      </w:pPr>
      <w:r>
        <w:rPr>
          <w:rFonts w:ascii="Calibri" w:cs="Calibri" w:eastAsia="Calibri" w:hAnsi="Calibri"/>
          <w:sz w:val="17"/>
          <w:szCs w:val="17"/>
          <w:color w:val="auto"/>
        </w:rPr>
        <w:t>The three items listed below represent the most important fnancial metrics the Company used to determine CAP for 2023, as further described in our</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Compensaton Discussion and Analysis above:</w:t>
      </w:r>
    </w:p>
    <w:p>
      <w:pPr>
        <w:spacing w:after="0" w:line="212" w:lineRule="exact"/>
        <w:rPr>
          <w:sz w:val="20"/>
          <w:szCs w:val="20"/>
          <w:color w:val="auto"/>
        </w:rPr>
      </w:pPr>
    </w:p>
    <w:p>
      <w:pPr>
        <w:ind w:left="580" w:hanging="198"/>
        <w:spacing w:after="0"/>
        <w:tabs>
          <w:tab w:leader="none" w:pos="580" w:val="left"/>
        </w:tabs>
        <w:numPr>
          <w:ilvl w:val="0"/>
          <w:numId w:val="54"/>
        </w:numPr>
        <w:rPr>
          <w:rFonts w:ascii="Times New Roman" w:cs="Times New Roman" w:eastAsia="Times New Roman" w:hAnsi="Times New Roman"/>
          <w:sz w:val="14"/>
          <w:szCs w:val="14"/>
          <w:color w:val="auto"/>
        </w:rPr>
      </w:pPr>
      <w:r>
        <w:rPr>
          <w:rFonts w:ascii="Calibri" w:cs="Calibri" w:eastAsia="Calibri" w:hAnsi="Calibri"/>
          <w:sz w:val="18"/>
          <w:szCs w:val="18"/>
          <w:color w:val="auto"/>
        </w:rPr>
        <w:t>Relatve TSR Performance Goal (performance units component of long-term incentve);</w:t>
      </w:r>
    </w:p>
    <w:p>
      <w:pPr>
        <w:ind w:left="580" w:hanging="198"/>
        <w:spacing w:after="0" w:line="235" w:lineRule="auto"/>
        <w:tabs>
          <w:tab w:leader="none" w:pos="580" w:val="left"/>
        </w:tabs>
        <w:numPr>
          <w:ilvl w:val="0"/>
          <w:numId w:val="54"/>
        </w:numPr>
        <w:rPr>
          <w:rFonts w:ascii="Times New Roman" w:cs="Times New Roman" w:eastAsia="Times New Roman" w:hAnsi="Times New Roman"/>
          <w:sz w:val="14"/>
          <w:szCs w:val="14"/>
          <w:color w:val="auto"/>
        </w:rPr>
      </w:pPr>
      <w:r>
        <w:rPr>
          <w:rFonts w:ascii="Calibri" w:cs="Calibri" w:eastAsia="Calibri" w:hAnsi="Calibri"/>
          <w:sz w:val="18"/>
          <w:szCs w:val="18"/>
          <w:color w:val="auto"/>
        </w:rPr>
        <w:t>OG&amp;E Earnings Target (earnings per share component of annual incentve); and</w:t>
      </w:r>
    </w:p>
    <w:p>
      <w:pPr>
        <w:ind w:left="580" w:hanging="198"/>
        <w:spacing w:after="0" w:line="235" w:lineRule="auto"/>
        <w:tabs>
          <w:tab w:leader="none" w:pos="580" w:val="left"/>
        </w:tabs>
        <w:numPr>
          <w:ilvl w:val="0"/>
          <w:numId w:val="54"/>
        </w:numPr>
        <w:rPr>
          <w:rFonts w:ascii="Times New Roman" w:cs="Times New Roman" w:eastAsia="Times New Roman" w:hAnsi="Times New Roman"/>
          <w:sz w:val="14"/>
          <w:szCs w:val="14"/>
          <w:color w:val="auto"/>
        </w:rPr>
      </w:pPr>
      <w:r>
        <w:rPr>
          <w:rFonts w:ascii="Calibri" w:cs="Calibri" w:eastAsia="Calibri" w:hAnsi="Calibri"/>
          <w:sz w:val="18"/>
          <w:szCs w:val="18"/>
          <w:color w:val="auto"/>
        </w:rPr>
        <w:t>O&amp;M Target (operaton and maintenance expense component of annual incentve).</w:t>
      </w:r>
    </w:p>
    <w:p>
      <w:pPr>
        <w:spacing w:after="0" w:line="218"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Other key metrics included as components of the NEOs' annual incentve compensaton and considered by the Compensaton Commitee when determining the appropriate compensaton for NEOs are the Safety Target, the Customer/Operatons Target and the Environmental Target, as further described within the Compensaton Discussion and Analysis above.</w:t>
      </w:r>
    </w:p>
    <w:p>
      <w:pPr>
        <w:spacing w:after="0" w:line="219" w:lineRule="exact"/>
        <w:rPr>
          <w:sz w:val="20"/>
          <w:szCs w:val="20"/>
          <w:color w:val="auto"/>
        </w:rPr>
      </w:pPr>
    </w:p>
    <w:p>
      <w:pPr>
        <w:jc w:val="both"/>
        <w:ind w:firstLine="374"/>
        <w:spacing w:after="0" w:line="252" w:lineRule="auto"/>
        <w:rPr>
          <w:sz w:val="20"/>
          <w:szCs w:val="20"/>
          <w:color w:val="auto"/>
        </w:rPr>
      </w:pPr>
      <w:r>
        <w:rPr>
          <w:rFonts w:ascii="Calibri" w:cs="Calibri" w:eastAsia="Calibri" w:hAnsi="Calibri"/>
          <w:sz w:val="17"/>
          <w:szCs w:val="17"/>
          <w:color w:val="auto"/>
        </w:rPr>
        <w:t>In accordance with SEC rules, the Company is providing the following descriptons of the relatonships between informaton presented in the Pay Versus Performance table above. The following discussion describes the correlaton between (i) the Company's TSR and the S&amp;P Composite Utlites 1500 Index TSR ("Peer Group TSR"), (ii) PEO and other NEOs' CAP and the Company's TSR, (iii) PEO and other NEOs' CAP and Net Income and (iv) PEO and other NEOs' CAP and the company-selected metric of OG&amp;E Earnings Target. The following discussion also includes supplemental informaton regarding PEO and other</w:t>
      </w:r>
    </w:p>
    <w:p>
      <w:pPr>
        <w:spacing w:after="0" w:line="163" w:lineRule="exact"/>
        <w:rPr>
          <w:sz w:val="20"/>
          <w:szCs w:val="20"/>
          <w:color w:val="auto"/>
        </w:rPr>
      </w:pPr>
    </w:p>
    <w:p>
      <w:pPr>
        <w:spacing w:after="0"/>
        <w:tabs>
          <w:tab w:leader="none" w:pos="660" w:val="left"/>
        </w:tabs>
        <w:rPr>
          <w:sz w:val="20"/>
          <w:szCs w:val="20"/>
          <w:color w:val="auto"/>
        </w:rPr>
      </w:pPr>
      <w:r>
        <w:rPr>
          <w:rFonts w:ascii="Calibri" w:cs="Calibri" w:eastAsia="Calibri" w:hAnsi="Calibri"/>
          <w:sz w:val="18"/>
          <w:szCs w:val="18"/>
          <w:color w:val="auto"/>
        </w:rPr>
        <w:t>50</w:t>
      </w:r>
      <w:r>
        <w:rPr>
          <w:sz w:val="20"/>
          <w:szCs w:val="20"/>
          <w:color w:val="auto"/>
        </w:rPr>
        <w:tab/>
      </w:r>
      <w:r>
        <w:rPr>
          <w:rFonts w:ascii="Calibri" w:cs="Calibri" w:eastAsia="Calibri" w:hAnsi="Calibri"/>
          <w:sz w:val="18"/>
          <w:szCs w:val="18"/>
          <w:b w:val="1"/>
          <w:bCs w:val="1"/>
          <w:color w:val="EE2724"/>
        </w:rPr>
        <w:t xml:space="preserve">OGE Energy Corp. </w:t>
      </w:r>
      <w:r>
        <w:rPr>
          <w:rFonts w:ascii="Calibri" w:cs="Calibri" w:eastAsia="Calibri" w:hAnsi="Calibri"/>
          <w:sz w:val="18"/>
          <w:szCs w:val="18"/>
          <w:color w:val="00000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56" w:name="page57"/>
    <w:bookmarkEnd w:id="56"/>
    <w:p>
      <w:pPr>
        <w:jc w:val="both"/>
        <w:spacing w:after="0" w:line="235" w:lineRule="auto"/>
        <w:rPr>
          <w:sz w:val="20"/>
          <w:szCs w:val="20"/>
          <w:color w:val="auto"/>
        </w:rPr>
      </w:pPr>
      <w:r>
        <w:rPr>
          <w:rFonts w:ascii="Calibri" w:cs="Calibri" w:eastAsia="Calibri" w:hAnsi="Calibri"/>
          <w:sz w:val="18"/>
          <w:szCs w:val="18"/>
          <w:color w:val="auto"/>
        </w:rPr>
        <w:t>NEOs' CAP and the Company's 3-year cumulatve relatve TSR ("rTSR"). In additon to the impacts described below, we believe compensaton actually paid for non-PEO NEOs fuctuated between years as three of the NEOs included in our 2020 proxy statement retred and were replaced with less tenured NEOs in the 2021, 2022 and 2023 proxy statements.</w:t>
      </w:r>
    </w:p>
    <w:p>
      <w:pPr>
        <w:spacing w:after="0" w:line="219"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i w:val="1"/>
          <w:iCs w:val="1"/>
          <w:color w:val="auto"/>
        </w:rPr>
        <w:t>The Company</w:t>
      </w:r>
      <w:r>
        <w:rPr>
          <w:rFonts w:ascii="Calibri" w:cs="Calibri" w:eastAsia="Calibri" w:hAnsi="Calibri"/>
          <w:sz w:val="18"/>
          <w:szCs w:val="18"/>
          <w:color w:val="auto"/>
        </w:rPr>
        <w:t>'</w:t>
      </w:r>
      <w:r>
        <w:rPr>
          <w:rFonts w:ascii="Calibri" w:cs="Calibri" w:eastAsia="Calibri" w:hAnsi="Calibri"/>
          <w:sz w:val="18"/>
          <w:szCs w:val="18"/>
          <w:i w:val="1"/>
          <w:iCs w:val="1"/>
          <w:color w:val="auto"/>
        </w:rPr>
        <w:t xml:space="preserve">s TSR and Peer Group TSR. </w:t>
      </w:r>
      <w:r>
        <w:rPr>
          <w:rFonts w:ascii="Calibri" w:cs="Calibri" w:eastAsia="Calibri" w:hAnsi="Calibri"/>
          <w:sz w:val="18"/>
          <w:szCs w:val="18"/>
          <w:color w:val="auto"/>
        </w:rPr>
        <w:t>As presented in the Pay Versus Performance table above, the Company's TSR over the cumulatve period of</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2020 to 2023 is less than the Peer Group TSR. We believe this diference is primarily driven by the Company's previous midstream industry exposure through its investment in Enable Midstream Partners, LP ("Enable"). In early 2020, we believe the Company experienced a disproportonate impact compared to the utlites within the S&amp;P Composite Utlites 1500 Index as a result of Enable's exposure to OPEC volatlity, oil and gas supply/demand concerns related to COVID-19 and the subsequent 50 percent decrease in distributons by Enable. Further, in early 2020, the Company recorded a non-cash impairment on its equity method investment in Enable in light of the rapid deterioraton of the midstream oil and gas industry, which signifcantly impacted the Company’s fnancial results for 2020. However, the Company's 2021, 2022 and 2023 single year TSR outperformed the Peer Group TSR, as seen in the Pay Versus Performance table above when calculatng the year over year change in each of 2021, 2022 and 2023.</w:t>
      </w:r>
    </w:p>
    <w:p>
      <w:pPr>
        <w:spacing w:after="0" w:line="223"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i w:val="1"/>
          <w:iCs w:val="1"/>
          <w:color w:val="auto"/>
        </w:rPr>
        <w:t>PEO and Other NEOs' CAP and the Company</w:t>
      </w:r>
      <w:r>
        <w:rPr>
          <w:rFonts w:ascii="Calibri" w:cs="Calibri" w:eastAsia="Calibri" w:hAnsi="Calibri"/>
          <w:sz w:val="18"/>
          <w:szCs w:val="18"/>
          <w:color w:val="auto"/>
        </w:rPr>
        <w:t>'</w:t>
      </w:r>
      <w:r>
        <w:rPr>
          <w:rFonts w:ascii="Calibri" w:cs="Calibri" w:eastAsia="Calibri" w:hAnsi="Calibri"/>
          <w:sz w:val="18"/>
          <w:szCs w:val="18"/>
          <w:i w:val="1"/>
          <w:iCs w:val="1"/>
          <w:color w:val="auto"/>
        </w:rPr>
        <w:t>s TSR</w:t>
      </w:r>
      <w:r>
        <w:rPr>
          <w:rFonts w:ascii="Calibri" w:cs="Calibri" w:eastAsia="Calibri" w:hAnsi="Calibri"/>
          <w:sz w:val="18"/>
          <w:szCs w:val="18"/>
          <w:color w:val="auto"/>
        </w:rPr>
        <w:t>. As explained in the Compensaton Discussion and Analysis above, approximately 43 percent to 60</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percent of total direct compensaton (assuming performance at target) of the NEOs is performance based. Of that amount, 54 percent to 68 percent (or 23 percent to 41 percent of targeted total compensaton) is based on a three-year cumulatve relatve TSR. Accordingly, we believe that the compensaton actually paid for the PEO and the other NEOs is aligned with our TSR. The primary reason for this is the use of equity incentves. This alignment is based on two factors. First, for our performance units, the number of units that are actually paid out is dependent solely upon our relatve cumulatve TSR. Second, for both the performance units and the restricted stock units, the dollar value of those units upon payout is directly ted to our stock price, which is a signifcant component of our TSR. As indicated in the Pay Versus Performance table above, for both the PEO and other NEOs, compensaton actually paid in 2023 decreased compared to 2022 just as our TSR in 2023 decreased compared to 2022. For both the PEO and other NEOs, compensaton actually paid in 2021 increased over 2020 and compensaton actually paid in 2022 increased over 2021 just as our TSR in 2021 increased over 2020 and our TSR in 2022 increased over 2021.</w:t>
      </w:r>
    </w:p>
    <w:p>
      <w:pPr>
        <w:spacing w:after="0" w:line="224" w:lineRule="exact"/>
        <w:rPr>
          <w:sz w:val="20"/>
          <w:szCs w:val="20"/>
          <w:color w:val="auto"/>
        </w:rPr>
      </w:pPr>
    </w:p>
    <w:p>
      <w:pPr>
        <w:jc w:val="both"/>
        <w:ind w:firstLine="374"/>
        <w:spacing w:after="0" w:line="250" w:lineRule="auto"/>
        <w:rPr>
          <w:sz w:val="20"/>
          <w:szCs w:val="20"/>
          <w:color w:val="auto"/>
        </w:rPr>
      </w:pPr>
      <w:r>
        <w:rPr>
          <w:rFonts w:ascii="Calibri" w:cs="Calibri" w:eastAsia="Calibri" w:hAnsi="Calibri"/>
          <w:sz w:val="17"/>
          <w:szCs w:val="17"/>
          <w:i w:val="1"/>
          <w:iCs w:val="1"/>
          <w:color w:val="auto"/>
        </w:rPr>
        <w:t>PEO and Other NEOs' CAP and Net Income</w:t>
      </w:r>
      <w:r>
        <w:rPr>
          <w:rFonts w:ascii="Calibri" w:cs="Calibri" w:eastAsia="Calibri" w:hAnsi="Calibri"/>
          <w:sz w:val="17"/>
          <w:szCs w:val="17"/>
          <w:color w:val="auto"/>
        </w:rPr>
        <w:t>. As discussed above, in 2020, the Company recorded a non-cash impairment on its equity method investment</w:t>
      </w:r>
      <w:r>
        <w:rPr>
          <w:rFonts w:ascii="Calibri" w:cs="Calibri" w:eastAsia="Calibri" w:hAnsi="Calibri"/>
          <w:sz w:val="17"/>
          <w:szCs w:val="17"/>
          <w:i w:val="1"/>
          <w:iCs w:val="1"/>
          <w:color w:val="auto"/>
        </w:rPr>
        <w:t xml:space="preserve"> </w:t>
      </w:r>
      <w:r>
        <w:rPr>
          <w:rFonts w:ascii="Calibri" w:cs="Calibri" w:eastAsia="Calibri" w:hAnsi="Calibri"/>
          <w:sz w:val="17"/>
          <w:szCs w:val="17"/>
          <w:color w:val="auto"/>
        </w:rPr>
        <w:t>in Enable, which resulted in a net loss for the year. In 2021, the Company's net income was impacted by a gain on transacton related to the Enable and Energy Transfer, LP ("Energy Transfer") merger. In 2022, the Company's net income was impacted by the change in fair value of Energy Transfer's equity securites, which were received by the Company as a result of the Enable/Energy Transfer merger. The Company’s net income in 2023 refects its operatons primarily as an electric company. The Company does not use net income to determine compensaton levels or long-term incentve plan payouts and, accordingly, there is not a signifcant direct correlaton between net income and compensaton actually paid. One component of the Company's annual incentve plan payouts is based on performance relatve to an earnings per share target, thus a porton of the annual incentve compensaton is ted to earnings. However, the Company has determined to place a signifcant emphasis on equity incentves as part of its long-term incentve compensaton, which are sensitve to changes in stock price over a three-year period and not directly indicatve of net income variatons from year to year.</w:t>
      </w:r>
    </w:p>
    <w:p>
      <w:pPr>
        <w:spacing w:after="0" w:line="215"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i w:val="1"/>
          <w:iCs w:val="1"/>
          <w:color w:val="auto"/>
        </w:rPr>
        <w:t xml:space="preserve">PEO and Other NEOs' CAP and OG&amp;E Earnings Target. </w:t>
      </w:r>
      <w:r>
        <w:rPr>
          <w:rFonts w:ascii="Calibri" w:cs="Calibri" w:eastAsia="Calibri" w:hAnsi="Calibri"/>
          <w:sz w:val="18"/>
          <w:szCs w:val="18"/>
          <w:color w:val="auto"/>
        </w:rPr>
        <w:t>The PEO and other NEOs' compensaton actually paid amounts are impacted by our company-selected measure, OG&amp;E Earnings Target, which is part of the NEOs' annual incentve compensaton and is based on actual performance relatve to an earnings per share target established by the Compensaton Commitee at the beginning of the year. The OG&amp;E Earnings Target is the most signifcantly weighted metric for NEO annual incentve compensaton. In 2023 and 2022, the NEOs' annual incentve compensaton refected a weightng of 40 percent for the OG&amp;E Earnings Target, and in 2021 and 2020, the OG&amp;E Earnings Target weightng was 50 percent for our Chief Executve Ofcer and Chief Financial Ofcer and was 40 percent for our remaining NEOs. For 2023, 32 percent to 46 percent of performance-based compensaton (or approximately 20 percent of targeted total direct compensaton) is based on the Annual Incentve Plan results. The OG&amp;E Earnings Target is based on the earnings of OG&amp;E and measured as earnings per diluted share of the Company. In 2020, Company performance relatve to the OG&amp;E Earnings Target did not result in a payout, and in 2021, 2022 and 2023, Company performance relatve to the OG&amp;E Earnings Target resulted in an approximately 114 percent, 150 percent and 200 percent payout, respectvely, of the OG&amp;E Earnings Target contributon to the overall Annual Incentve Plan payout. Earnings at OG&amp;E are impacted by weather, and although weather can create signifcant variability in the Company's performance relatve to the OG&amp;E Earnings Target, the Compensaton Commitee does not normalize the actual results for</w:t>
      </w:r>
    </w:p>
    <w:p>
      <w:pPr>
        <w:spacing w:after="0" w:line="181" w:lineRule="exact"/>
        <w:rPr>
          <w:sz w:val="20"/>
          <w:szCs w:val="20"/>
          <w:color w:val="auto"/>
        </w:rPr>
      </w:pPr>
    </w:p>
    <w:p>
      <w:pPr>
        <w:spacing w:after="0"/>
        <w:tabs>
          <w:tab w:leader="none" w:pos="660" w:val="left"/>
        </w:tabs>
        <w:rPr>
          <w:sz w:val="20"/>
          <w:szCs w:val="20"/>
          <w:color w:val="auto"/>
        </w:rPr>
      </w:pPr>
      <w:r>
        <w:rPr>
          <w:rFonts w:ascii="Calibri" w:cs="Calibri" w:eastAsia="Calibri" w:hAnsi="Calibri"/>
          <w:sz w:val="18"/>
          <w:szCs w:val="18"/>
          <w:color w:val="auto"/>
        </w:rPr>
        <w:t>51</w:t>
      </w:r>
      <w:r>
        <w:rPr>
          <w:sz w:val="20"/>
          <w:szCs w:val="20"/>
          <w:color w:val="auto"/>
        </w:rPr>
        <w:tab/>
      </w:r>
      <w:r>
        <w:rPr>
          <w:rFonts w:ascii="Calibri" w:cs="Calibri" w:eastAsia="Calibri" w:hAnsi="Calibri"/>
          <w:sz w:val="18"/>
          <w:szCs w:val="18"/>
          <w:b w:val="1"/>
          <w:bCs w:val="1"/>
          <w:color w:val="EE2724"/>
        </w:rPr>
        <w:t xml:space="preserve">OGE Energy Corp. </w:t>
      </w:r>
      <w:r>
        <w:rPr>
          <w:rFonts w:ascii="Calibri" w:cs="Calibri" w:eastAsia="Calibri" w:hAnsi="Calibri"/>
          <w:sz w:val="18"/>
          <w:szCs w:val="18"/>
          <w:color w:val="00000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57" w:name="page58"/>
    <w:bookmarkEnd w:id="57"/>
    <w:p>
      <w:pPr>
        <w:jc w:val="both"/>
        <w:spacing w:after="0" w:line="235" w:lineRule="auto"/>
        <w:rPr>
          <w:sz w:val="20"/>
          <w:szCs w:val="20"/>
          <w:color w:val="auto"/>
        </w:rPr>
      </w:pPr>
      <w:r>
        <w:rPr>
          <w:rFonts w:ascii="Calibri" w:cs="Calibri" w:eastAsia="Calibri" w:hAnsi="Calibri"/>
          <w:sz w:val="18"/>
          <w:szCs w:val="18"/>
          <w:color w:val="auto"/>
        </w:rPr>
        <w:t>weather. As indicated in the above Pay Versus Performance table, from 2020 to 2021 and from 2021 to 2022, both the OG&amp;E earnings per share and the compensaton actually paid to the PEO and the other NEOs increased each year. From 2022 to 2023, both the OG&amp;E earnings per share and the compensaton paid to the PEO and the other NEOs decreased. This demonstrates that there is some correlaton between the Company's performance relatve to the OG&amp;E Earnings Target and compensaton actually paid. However, because the OG&amp;E Earnings Target represents only a porton of the targeted annual incentve compensaton (which itself is a smaller part of targeted incentve compensaton than targeted long term incentve compensaton) and because the OG&amp;E Earnings Target is not an equity award (and thus the value is not impacted by changes in stock price), the correlaton is not as direct as with TSR and relatve TSR.</w:t>
      </w:r>
    </w:p>
    <w:p>
      <w:pPr>
        <w:spacing w:after="0" w:line="222" w:lineRule="exact"/>
        <w:rPr>
          <w:sz w:val="20"/>
          <w:szCs w:val="20"/>
          <w:color w:val="auto"/>
        </w:rPr>
      </w:pPr>
    </w:p>
    <w:p>
      <w:pPr>
        <w:jc w:val="both"/>
        <w:ind w:firstLine="374"/>
        <w:spacing w:after="0" w:line="247" w:lineRule="auto"/>
        <w:rPr>
          <w:sz w:val="20"/>
          <w:szCs w:val="20"/>
          <w:color w:val="auto"/>
        </w:rPr>
      </w:pPr>
      <w:r>
        <w:rPr>
          <w:rFonts w:ascii="Calibri" w:cs="Calibri" w:eastAsia="Calibri" w:hAnsi="Calibri"/>
          <w:sz w:val="17"/>
          <w:szCs w:val="17"/>
          <w:i w:val="1"/>
          <w:iCs w:val="1"/>
          <w:color w:val="auto"/>
        </w:rPr>
        <w:t xml:space="preserve">PEO and Other NEOs' CAP and the Company's 3-year Cumulatve rTSR. </w:t>
      </w:r>
      <w:r>
        <w:rPr>
          <w:rFonts w:ascii="Calibri" w:cs="Calibri" w:eastAsia="Calibri" w:hAnsi="Calibri"/>
          <w:sz w:val="17"/>
          <w:szCs w:val="17"/>
          <w:color w:val="auto"/>
        </w:rPr>
        <w:t>As discussed in the Compensaton Discussion and Analysis above, the Company</w:t>
      </w:r>
      <w:r>
        <w:rPr>
          <w:rFonts w:ascii="Calibri" w:cs="Calibri" w:eastAsia="Calibri" w:hAnsi="Calibri"/>
          <w:sz w:val="17"/>
          <w:szCs w:val="17"/>
          <w:i w:val="1"/>
          <w:iCs w:val="1"/>
          <w:color w:val="auto"/>
        </w:rPr>
        <w:t xml:space="preserve"> </w:t>
      </w:r>
      <w:r>
        <w:rPr>
          <w:rFonts w:ascii="Calibri" w:cs="Calibri" w:eastAsia="Calibri" w:hAnsi="Calibri"/>
          <w:sz w:val="17"/>
          <w:szCs w:val="17"/>
          <w:color w:val="auto"/>
        </w:rPr>
        <w:t>utlizes long-term incentve awards as part of NEO compensaton. In 2020 and 2021, long-term incentve awards for our NEOs consisted of 75 percent performance units and 25 percent tme-based restricted stock units. In 2022 and 2023, the porton of tme-based restricted stock units was 35 percent of the long-term incentve awards. For performance units, payout is dependent upon rTSR, which is a 3-year cumulatve relatve TSR that the Company achieved compared to the peer group, which is the approximately 40 utlity holding companies and gas and electric utlites in the EEI Index, as discussed above in the Compensaton Discussion and Analysis. As a percentle ranking, the Company's rTSR for 2023, 2022, 2021 and 2020 was 72</w:t>
      </w:r>
      <w:r>
        <w:rPr>
          <w:rFonts w:ascii="Calibri" w:cs="Calibri" w:eastAsia="Calibri" w:hAnsi="Calibri"/>
          <w:sz w:val="23"/>
          <w:szCs w:val="23"/>
          <w:color w:val="auto"/>
          <w:vertAlign w:val="superscript"/>
        </w:rPr>
        <w:t>nd</w:t>
      </w:r>
      <w:r>
        <w:rPr>
          <w:rFonts w:ascii="Calibri" w:cs="Calibri" w:eastAsia="Calibri" w:hAnsi="Calibri"/>
          <w:sz w:val="17"/>
          <w:szCs w:val="17"/>
          <w:color w:val="auto"/>
        </w:rPr>
        <w:t>, 35</w:t>
      </w:r>
      <w:r>
        <w:rPr>
          <w:rFonts w:ascii="Calibri" w:cs="Calibri" w:eastAsia="Calibri" w:hAnsi="Calibri"/>
          <w:sz w:val="23"/>
          <w:szCs w:val="23"/>
          <w:color w:val="auto"/>
          <w:vertAlign w:val="superscript"/>
        </w:rPr>
        <w:t>th</w:t>
      </w:r>
      <w:r>
        <w:rPr>
          <w:rFonts w:ascii="Calibri" w:cs="Calibri" w:eastAsia="Calibri" w:hAnsi="Calibri"/>
          <w:sz w:val="17"/>
          <w:szCs w:val="17"/>
          <w:color w:val="auto"/>
        </w:rPr>
        <w:t>, 19</w:t>
      </w:r>
      <w:r>
        <w:rPr>
          <w:rFonts w:ascii="Calibri" w:cs="Calibri" w:eastAsia="Calibri" w:hAnsi="Calibri"/>
          <w:sz w:val="23"/>
          <w:szCs w:val="23"/>
          <w:color w:val="auto"/>
          <w:vertAlign w:val="superscript"/>
        </w:rPr>
        <w:t>th</w:t>
      </w:r>
      <w:r>
        <w:rPr>
          <w:rFonts w:ascii="Calibri" w:cs="Calibri" w:eastAsia="Calibri" w:hAnsi="Calibri"/>
          <w:sz w:val="17"/>
          <w:szCs w:val="17"/>
          <w:color w:val="auto"/>
        </w:rPr>
        <w:t xml:space="preserve"> and 41</w:t>
      </w:r>
      <w:r>
        <w:rPr>
          <w:rFonts w:ascii="Calibri" w:cs="Calibri" w:eastAsia="Calibri" w:hAnsi="Calibri"/>
          <w:sz w:val="23"/>
          <w:szCs w:val="23"/>
          <w:color w:val="auto"/>
          <w:vertAlign w:val="superscript"/>
        </w:rPr>
        <w:t>st</w:t>
      </w:r>
      <w:r>
        <w:rPr>
          <w:rFonts w:ascii="Calibri" w:cs="Calibri" w:eastAsia="Calibri" w:hAnsi="Calibri"/>
          <w:sz w:val="17"/>
          <w:szCs w:val="17"/>
          <w:color w:val="auto"/>
        </w:rPr>
        <w:t>, respectvely. This level of performance resulted in an approximately 154 percent, 56 percent and 72 percent payout of performance-based units in 2023, 2022 and 2020, respectvely, with no payout in 2021. The PEO and other NEOs' compensaton actually paid amounts compared to 3-year cumulatve rTSR indicates there is a strong relatonship between rTSR and CAP, partcularly moving from 2021 to 2022. For 2021, the increase in compensaton actually paid to our PEO and other NEOs is largely impacted by the increase in the Company's stock price from December 31, 2020 ($31.86) to December 31, 2021 ($38.38) and the related increased fair value measurement for performance-based units granted under the Company's Stock Incentve Plan. However, the tme periods are not directly correlated, as the Company's rTSR in 2021 refects the cumulatve rTSR for 2019-2021, which the Company believes was signifcantly impacted by the midstream industry exposure as discussed above. For 2023, the decrease in compensaton actually paid to our PEO and other NEOs is largely impacted by the decrease in the Company’s stock price from December 31, 2022 ($39.55) to December 31, 2023 ($34.93) and the related decreased fair value measurement for performance-based units granted under the Company’s Stock Incentve Plan. However, the tme periods are not directly correlated, as the Company’s rTSR in 2023 refects the cumulatve rTSR for 2020-2023, which was driven by the Company’s stock price increase from December 31, 2020 ($31.86) to December 31, 2023 ($34.93). Similar to what is discussed above relatng to Company TSR, 54 percent to 68 percent of performance-based compensaton (or 23 percent to 41 percent of targeted total direct compensaton) is based on a three-year cumulatve relatve TSR. Accordingly, we believe that the compensaton actually paid for the PEO and the other NEOs is aligned with our relatve TSR. The number of performance units actually paid out under our Stock Incentve Plan is dependent solely upon our relatve three-year cumulatve TSR, and the dollar value of those units upon payout, as well as the dollar value of the restricted stock units upon payout, is directly ted to our stock price, which is a signifcant component of our relatve TSR.</w:t>
      </w:r>
    </w:p>
    <w:p>
      <w:pPr>
        <w:spacing w:after="0" w:line="389" w:lineRule="exact"/>
        <w:rPr>
          <w:sz w:val="20"/>
          <w:szCs w:val="20"/>
          <w:color w:val="auto"/>
        </w:rPr>
      </w:pPr>
    </w:p>
    <w:p>
      <w:pPr>
        <w:spacing w:after="0"/>
        <w:tabs>
          <w:tab w:leader="none" w:pos="660" w:val="left"/>
        </w:tabs>
        <w:rPr>
          <w:sz w:val="20"/>
          <w:szCs w:val="20"/>
          <w:color w:val="auto"/>
        </w:rPr>
      </w:pPr>
      <w:r>
        <w:rPr>
          <w:rFonts w:ascii="Calibri" w:cs="Calibri" w:eastAsia="Calibri" w:hAnsi="Calibri"/>
          <w:sz w:val="18"/>
          <w:szCs w:val="18"/>
          <w:color w:val="auto"/>
        </w:rPr>
        <w:t>52</w:t>
      </w:r>
      <w:r>
        <w:rPr>
          <w:sz w:val="20"/>
          <w:szCs w:val="20"/>
          <w:color w:val="auto"/>
        </w:rPr>
        <w:tab/>
      </w:r>
      <w:r>
        <w:rPr>
          <w:rFonts w:ascii="Calibri" w:cs="Calibri" w:eastAsia="Calibri" w:hAnsi="Calibri"/>
          <w:sz w:val="18"/>
          <w:szCs w:val="18"/>
          <w:b w:val="1"/>
          <w:bCs w:val="1"/>
          <w:color w:val="EE2724"/>
        </w:rPr>
        <w:t xml:space="preserve">OGE Energy Corp. </w:t>
      </w:r>
      <w:r>
        <w:rPr>
          <w:rFonts w:ascii="Calibri" w:cs="Calibri" w:eastAsia="Calibri" w:hAnsi="Calibri"/>
          <w:sz w:val="18"/>
          <w:szCs w:val="18"/>
          <w:color w:val="00000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58" w:name="page59"/>
    <w:bookmarkEnd w:id="58"/>
    <w:p>
      <w:pPr>
        <w:ind w:left="60"/>
        <w:spacing w:after="0"/>
        <w:rPr>
          <w:sz w:val="20"/>
          <w:szCs w:val="20"/>
          <w:color w:val="auto"/>
        </w:rPr>
      </w:pPr>
      <w:r>
        <w:rPr>
          <w:rFonts w:ascii="Calibri" w:cs="Calibri" w:eastAsia="Calibri" w:hAnsi="Calibri"/>
          <w:sz w:val="22"/>
          <w:szCs w:val="22"/>
          <w:b w:val="1"/>
          <w:bCs w:val="1"/>
          <w:color w:val="auto"/>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8"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The Compensaton Commitee oversees (i) the compensaton of the Company's directors and principal ofcers, (ii) the Company's executve compensaton policy and (iii) the Company's beneft programs.</w:t>
      </w:r>
    </w:p>
    <w:p>
      <w:pPr>
        <w:spacing w:after="0" w:line="218"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The Compensaton Commitee has six members, none of whom has any relatonship to the Company that interferes with the exercise of his or her independence from management and the Company, and each of whom qualifes as independent under the standards used by the NYSE, where the Company's shares are listed.</w:t>
      </w:r>
    </w:p>
    <w:p>
      <w:pPr>
        <w:spacing w:after="0" w:line="219"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The Compensaton Commitee has reviewed and discussed with management the Compensaton Discussion and Analysis appearing elsewhere in this proxy statement. Based on the review and discussions referred to above, the Compensaton Commitee recommended to the Company's Board of Directors that the Compensaton Discussion and Analysis be included in the Company's proxy statement on Schedule 14A.</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Compensaton Commitee</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David L. Hauser, Chair</w:t>
      </w:r>
    </w:p>
    <w:p>
      <w:pPr>
        <w:spacing w:after="0" w:line="235" w:lineRule="auto"/>
        <w:rPr>
          <w:sz w:val="20"/>
          <w:szCs w:val="20"/>
          <w:color w:val="auto"/>
        </w:rPr>
      </w:pPr>
      <w:r>
        <w:rPr>
          <w:rFonts w:ascii="Calibri" w:cs="Calibri" w:eastAsia="Calibri" w:hAnsi="Calibri"/>
          <w:sz w:val="18"/>
          <w:szCs w:val="18"/>
          <w:color w:val="auto"/>
        </w:rPr>
        <w:t>Frank A. Bozich, Member</w:t>
      </w:r>
    </w:p>
    <w:p>
      <w:pPr>
        <w:spacing w:after="0" w:line="236" w:lineRule="auto"/>
        <w:rPr>
          <w:sz w:val="20"/>
          <w:szCs w:val="20"/>
          <w:color w:val="auto"/>
        </w:rPr>
      </w:pPr>
      <w:r>
        <w:rPr>
          <w:rFonts w:ascii="Calibri" w:cs="Calibri" w:eastAsia="Calibri" w:hAnsi="Calibri"/>
          <w:sz w:val="18"/>
          <w:szCs w:val="18"/>
          <w:color w:val="auto"/>
        </w:rPr>
        <w:t>Cathy R. Gates, Member*</w:t>
      </w:r>
    </w:p>
    <w:p>
      <w:pPr>
        <w:spacing w:after="0" w:line="236" w:lineRule="auto"/>
        <w:rPr>
          <w:sz w:val="20"/>
          <w:szCs w:val="20"/>
          <w:color w:val="auto"/>
        </w:rPr>
      </w:pPr>
      <w:r>
        <w:rPr>
          <w:rFonts w:ascii="Calibri" w:cs="Calibri" w:eastAsia="Calibri" w:hAnsi="Calibri"/>
          <w:sz w:val="18"/>
          <w:szCs w:val="18"/>
          <w:color w:val="auto"/>
        </w:rPr>
        <w:t>Luther C. Kissam, IV, Member</w:t>
      </w:r>
    </w:p>
    <w:p>
      <w:pPr>
        <w:spacing w:after="0" w:line="236" w:lineRule="auto"/>
        <w:rPr>
          <w:sz w:val="20"/>
          <w:szCs w:val="20"/>
          <w:color w:val="auto"/>
        </w:rPr>
      </w:pPr>
      <w:r>
        <w:rPr>
          <w:rFonts w:ascii="Calibri" w:cs="Calibri" w:eastAsia="Calibri" w:hAnsi="Calibri"/>
          <w:sz w:val="18"/>
          <w:szCs w:val="18"/>
          <w:color w:val="auto"/>
        </w:rPr>
        <w:t>Judy R. McReynolds, Member</w:t>
      </w:r>
    </w:p>
    <w:p>
      <w:pPr>
        <w:spacing w:after="0" w:line="236" w:lineRule="auto"/>
        <w:rPr>
          <w:sz w:val="20"/>
          <w:szCs w:val="20"/>
          <w:color w:val="auto"/>
        </w:rPr>
      </w:pPr>
      <w:r>
        <w:rPr>
          <w:rFonts w:ascii="Calibri" w:cs="Calibri" w:eastAsia="Calibri" w:hAnsi="Calibri"/>
          <w:sz w:val="18"/>
          <w:szCs w:val="18"/>
          <w:color w:val="auto"/>
        </w:rPr>
        <w:t>Sheila G. Talton, Member</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color w:val="auto"/>
        </w:rPr>
        <w:t>*Ms. Gates has been a member of the Compensaton Commitee since January 3, 2023.</w:t>
      </w:r>
    </w:p>
    <w:p>
      <w:pPr>
        <w:spacing w:after="0" w:line="172" w:lineRule="exact"/>
        <w:rPr>
          <w:sz w:val="20"/>
          <w:szCs w:val="20"/>
          <w:color w:val="auto"/>
        </w:rPr>
      </w:pPr>
    </w:p>
    <w:p>
      <w:pPr>
        <w:spacing w:after="0"/>
        <w:tabs>
          <w:tab w:leader="none" w:pos="660" w:val="left"/>
        </w:tabs>
        <w:rPr>
          <w:sz w:val="20"/>
          <w:szCs w:val="20"/>
          <w:color w:val="auto"/>
        </w:rPr>
      </w:pPr>
      <w:r>
        <w:rPr>
          <w:rFonts w:ascii="Calibri" w:cs="Calibri" w:eastAsia="Calibri" w:hAnsi="Calibri"/>
          <w:sz w:val="18"/>
          <w:szCs w:val="18"/>
          <w:color w:val="auto"/>
        </w:rPr>
        <w:t>53</w:t>
      </w:r>
      <w:r>
        <w:rPr>
          <w:sz w:val="20"/>
          <w:szCs w:val="20"/>
          <w:color w:val="auto"/>
        </w:rPr>
        <w:tab/>
      </w:r>
      <w:r>
        <w:rPr>
          <w:rFonts w:ascii="Calibri" w:cs="Calibri" w:eastAsia="Calibri" w:hAnsi="Calibri"/>
          <w:sz w:val="18"/>
          <w:szCs w:val="18"/>
          <w:b w:val="1"/>
          <w:bCs w:val="1"/>
          <w:color w:val="EE2724"/>
        </w:rPr>
        <w:t xml:space="preserve">OGE Energy Corp. </w:t>
      </w:r>
      <w:r>
        <w:rPr>
          <w:rFonts w:ascii="Calibri" w:cs="Calibri" w:eastAsia="Calibri" w:hAnsi="Calibri"/>
          <w:sz w:val="18"/>
          <w:szCs w:val="18"/>
          <w:color w:val="00000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3" w:right="339" w:bottom="1440" w:gutter="0" w:footer="0" w:header="0"/>
        </w:sectPr>
      </w:pPr>
    </w:p>
    <w:bookmarkStart w:id="59" w:name="page60"/>
    <w:bookmarkEnd w:id="59"/>
    <w:p>
      <w:pPr>
        <w:ind w:left="60"/>
        <w:spacing w:after="0"/>
        <w:rPr>
          <w:sz w:val="20"/>
          <w:szCs w:val="20"/>
          <w:color w:val="auto"/>
        </w:rPr>
      </w:pPr>
      <w:r>
        <w:rPr>
          <w:rFonts w:ascii="Calibri" w:cs="Calibri" w:eastAsia="Calibri" w:hAnsi="Calibri"/>
          <w:sz w:val="22"/>
          <w:szCs w:val="22"/>
          <w:b w:val="1"/>
          <w:bCs w:val="1"/>
          <w:color w:val="auto"/>
        </w:rPr>
        <w:t>POTENTIAL PAYMENTS UPON TERMINATION OR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8"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The Company has entered into change of control agreements with each ofcer of the Company, including each of the Named Executve Ofcers, that will become efectve only upon a change of control of the Company. The change of control agreements are considered to be double trigger agreements because payment will only be made following a change of control and terminaton of employment. Under the agreements, a change of control generally means (i) any acquisiton of 20 percent or more of the Company's Common Stock (subject to limited exceptons for acquisitons directly from the Company, acquisitons by the Company or one of the Company's employee beneft plans, or acquisitons pursuant to specifed business combinatons approved by a majority of the incumbent directors), (ii) directors of the Company as of the date of the agreements and those directors who have been elected subsequently and whose nominaton was approved by such directors fail to consttute a majority of the Board, (iii) a merger, share exchange or sale of all or substantally all of the assets of the Company (each, a "business combinaton") (except specifed business combinatons approved by a majority of the incumbent directors), or (iv) shareholder approval of a complete liquidaton or dissoluton of the Company.</w:t>
      </w:r>
    </w:p>
    <w:p>
      <w:pPr>
        <w:spacing w:after="0" w:line="224"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Under the agreements, the ofcer is to remain an employee for a three-year period following a change of control of the Company. During this three-year period following a change of control of the Company, the ofcer is enttled to (i) an annual base salary in an amount at least equal to his or her base salary prior to the change of control, (ii) an annual incentve payout in an amount at least equal to his or her highest incentve payout in the three years prior to the change of control and (iii) contnued partcipaton in the incentve, savings, retrement and welfare beneft plans. The ofcer also is enttled to payment of expenses and provision of fringe benefts to the extent paid or provided to (i) such ofcer prior to the change of control or (ii) if more favorable, other peer executves of the Company.</w:t>
      </w:r>
    </w:p>
    <w:p>
      <w:pPr>
        <w:spacing w:after="0" w:line="221"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If an executve ofcer's employment is terminated by the Company "without cause" following a change of control, the executve ofcer is enttled to the following payments: (i) all accrued and unpaid compensaton and a prorated annual incentve payout and (ii) a severance payment equal to 2.99 tmes the sum of such ofcer's (a) annual base salary and (b) highest recent annual incentve payout. The ofcer is enttled to receive such amounts in a lump-sum payment within 30 days of terminaton, although if the ofcer is a "specifed employee" (within the meaning of Secton 409A of the Code), payment of the prorated incentve payout and severance payment will be delayed untl the frst day of the seventh month following the ofcer's terminaton (or earlier death). The ofcer also is enttled to contnued welfare benefts for three years and outplacement services. If these payments and benefts, when taken together with any other payments to the ofcer, would result in the impositon of the excise tax on excess parachute payments under Secton 4999 of the Code, then the severance benefts will be reduced to the extent where no excise tax would be payable if such reducton results in a greater afer-tax payment to the ofcer.</w:t>
      </w:r>
    </w:p>
    <w:p>
      <w:pPr>
        <w:spacing w:after="0" w:line="224"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Assuming that a change of control had occurred and the Named Executve Ofcers were terminated on December 31, 2023, then they would have been enttled to the following lump sum severance payments under their change of control agreements: S. Trauschke, $7,905,227, B. Buckler, $2,659,361, W. Sultemeier, $2,614,859, D. Jones, $2,373,482 and C. McQuiston, $1,602,357. For these purposes, it is assumed that the payments would not result in the impositon of the excise tax on excess parachute payments, which if triggered, could result in a reducton of the foregoing amounts. They would also be enttled to outplacement services, valued at $50,000 each, and contnued welfare benefts for three years at a value of $35,280 each. For these purposes we have assumed that health care costs will remain constant. These ofcers also would be enttled to the retrement benefts they would otherwise be enttled to receive as set forth in the 2023 Pension Benefts Table on page 46. Finally, matching credits under the nonqualifed Deferred Compensaton Plan would vest and the ofcers would be enttled to the benefts set forth in the 2023 Nonqualifed Deferred Compensaton Table on page 47.</w:t>
      </w:r>
    </w:p>
    <w:p>
      <w:pPr>
        <w:spacing w:after="0" w:line="223"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In additon, pursuant to the terms of the Company's incentve compensaton plans, upon a change of control, all performance units will vest and be paid out immediately in cash as if the applicable performance goals had been satsfed at target levels; all restricted stock units will vest and be paid out immediately in cash; and any annual incentve award outstanding for the year in which the partcipant's terminaton occurs for any reason, other than cause, within 24 months afer the change of control will be paid in cash at target level on a prorated basis. Assuming that a change of control occurred on December 31, 2023 and that the price of the Company's Common Stock (and the change of control price) was $34.93 (the closing price on December 29, 2023, as the market was closed on December 31, 2023), then the Named Executve Ofcers would have been enttled to the following lump sum payments for performance unit awards and restricted stock unit awards: S. Trauschke,</w:t>
      </w:r>
    </w:p>
    <w:p>
      <w:pPr>
        <w:spacing w:after="0" w:line="177" w:lineRule="exact"/>
        <w:rPr>
          <w:sz w:val="20"/>
          <w:szCs w:val="20"/>
          <w:color w:val="auto"/>
        </w:rPr>
      </w:pPr>
    </w:p>
    <w:p>
      <w:pPr>
        <w:spacing w:after="0"/>
        <w:tabs>
          <w:tab w:leader="none" w:pos="660" w:val="left"/>
        </w:tabs>
        <w:rPr>
          <w:sz w:val="20"/>
          <w:szCs w:val="20"/>
          <w:color w:val="auto"/>
        </w:rPr>
      </w:pPr>
      <w:r>
        <w:rPr>
          <w:rFonts w:ascii="Calibri" w:cs="Calibri" w:eastAsia="Calibri" w:hAnsi="Calibri"/>
          <w:sz w:val="18"/>
          <w:szCs w:val="18"/>
          <w:color w:val="auto"/>
        </w:rPr>
        <w:t>54</w:t>
      </w:r>
      <w:r>
        <w:rPr>
          <w:sz w:val="20"/>
          <w:szCs w:val="20"/>
          <w:color w:val="auto"/>
        </w:rPr>
        <w:tab/>
      </w:r>
      <w:r>
        <w:rPr>
          <w:rFonts w:ascii="Calibri" w:cs="Calibri" w:eastAsia="Calibri" w:hAnsi="Calibri"/>
          <w:sz w:val="18"/>
          <w:szCs w:val="18"/>
          <w:b w:val="1"/>
          <w:bCs w:val="1"/>
          <w:color w:val="EE2724"/>
        </w:rPr>
        <w:t xml:space="preserve">OGE Energy Corp. </w:t>
      </w:r>
      <w:r>
        <w:rPr>
          <w:rFonts w:ascii="Calibri" w:cs="Calibri" w:eastAsia="Calibri" w:hAnsi="Calibri"/>
          <w:sz w:val="18"/>
          <w:szCs w:val="18"/>
          <w:color w:val="00000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3" w:right="339" w:bottom="1440" w:gutter="0" w:footer="0" w:header="0"/>
        </w:sectPr>
      </w:pPr>
    </w:p>
    <w:bookmarkStart w:id="60" w:name="page61"/>
    <w:bookmarkEnd w:id="60"/>
    <w:p>
      <w:pPr>
        <w:jc w:val="both"/>
        <w:spacing w:after="0" w:line="235" w:lineRule="auto"/>
        <w:rPr>
          <w:sz w:val="20"/>
          <w:szCs w:val="20"/>
          <w:color w:val="auto"/>
        </w:rPr>
      </w:pPr>
      <w:r>
        <w:rPr>
          <w:rFonts w:ascii="Calibri" w:cs="Calibri" w:eastAsia="Calibri" w:hAnsi="Calibri"/>
          <w:sz w:val="18"/>
          <w:szCs w:val="18"/>
          <w:color w:val="auto"/>
        </w:rPr>
        <w:t>$7,676,042, B. Buckler, $1,352,245, W. Sultemeier, $1,190,519, D. Jones, $1,071,268 and C. McQuiston, $501,315. In additon, they would have received the same payout of the earned annual incentve compensaton for 2023 that is set forth in the Non-Equity Incentve Plan Compensaton column of the Summary Compensaton Table on page 43 and the same payout of long-term compensaton for the performance units whose three-year performance period ended December 31, 2023 as refected in the Stock Awards - Value Realized on Vestng column in the 2023 Opton Exercises and Stock Vested Table on page 46. The reason for the same payouts is that the individual would have been employed throughout the entre performance period for the awards. There were no stock optons outstanding as of December 31, 2023.</w:t>
      </w:r>
    </w:p>
    <w:p>
      <w:pPr>
        <w:spacing w:after="0" w:line="221" w:lineRule="exact"/>
        <w:rPr>
          <w:sz w:val="20"/>
          <w:szCs w:val="20"/>
          <w:color w:val="auto"/>
        </w:rPr>
      </w:pPr>
    </w:p>
    <w:p>
      <w:pPr>
        <w:jc w:val="both"/>
        <w:ind w:firstLine="374"/>
        <w:spacing w:after="0" w:line="250" w:lineRule="auto"/>
        <w:rPr>
          <w:sz w:val="20"/>
          <w:szCs w:val="20"/>
          <w:color w:val="auto"/>
        </w:rPr>
      </w:pPr>
      <w:r>
        <w:rPr>
          <w:rFonts w:ascii="Calibri" w:cs="Calibri" w:eastAsia="Calibri" w:hAnsi="Calibri"/>
          <w:sz w:val="17"/>
          <w:szCs w:val="17"/>
          <w:color w:val="auto"/>
        </w:rPr>
        <w:t>If a Named Executve Ofcer terminates employment other than following a change of control as described above, such ofcer will be enttled to receive amounts earned during the course of his or her employment, including accrued salary and unpaid salary and unused vacaton pay. If the terminaton was a result of death, disability or retrement, the executve ofcer or his or her representatve would be enttled to a regular payout of any earned annual and long-term awards whose performance periods had ended prior to the individual's terminaton, and to a prorated payout (based on the individual's number of full months of employment during the applicable performance period) for other outstanding annual incentve awards and performance units when and if payouts of such awards are subsequently earned and are made to partcipants who did not terminate their employment; provided that with respect to the performance units, in the event of a terminaton of employment due to death or disability, the Compensaton Commitee may elect a payout equal to the target amount of the award payable within 60 days following such death or disability so long as such payment would comply with Secton 409A of the Code. Assuming that the Named Executve Ofcers terminated their employment as a result of death, disability or retrement on December 31, 2023, each executve ofcer would have received the same payout of the earned annual incentve compensaton for 2023 that is set forth in the Non-Equity Incentve Plan Compensaton column of the Summary Compensaton Table on page 43 and the same payout of long-term compensaton for the performance units whose three-year performance period ended December 31, 2023 as refected in the Stock Awards - Value Realized on Vestng column in the 2023 Opton Exercises and Stock Vested Table on page 46. The reason for the same payouts is that the individual would have been employed throughout the entre performance period for the awards. For the outstanding grants of performance units whose performance periods ends on December 31, 2024 and December 31, 2025, and assuming that the Named Executve Ofcers terminated their employment as a result of death, disability or retrement on December 31, 2023, that the applicable goals for such performance units were subsequently satsfed at target levels and that the price of the Company's Common Stock was $34.93 (the closing price on December 29, 2023, as the market was closed on December 31, 2023) at the tme payouts of such performance units occurred, they would be enttled to receive the Company's Common Stock having the following values at the tme payout of such performance units occurred: S. Trauschke, $1,675,336 for the performance units whose performance period ends December 31, 2024 and $825,477 for the performance units whose performance period ends December 31, 2025; B. Buckler, $295,135 for the performance units whose performance period ends December 31, 2024 and $145,425 for the performance units whose performance period ends December 31, 2025; W. Sultemeier, $259,833 for the performance units whose performance period ends December 31, 2024 and $128,030 for the performance units whose performance period ends December 31, 2025; D. Jones, $221,945 for the performance units whose performance period ends December 31, 2024 and $121,137 for the performance units whose performance period ends December 31, 2025; and C. McQuiston, $105,908 for the performance units whose performance period ends December 31, 2024 and $55,667 for the performance units whose performance period ends December 31, 2025. Alternatvely, if the Compensaton Commitee elects to pay out the performance units for the performance periods ending December 31, 2024 and December 31, 2025 at target within 60 days of death or disability, and assuming that such death or disability occurred on December 31, 2023 and that the price of the Company's Common Stock was $34.93 (the closing price on December 29, 2023, as the market was closed on December 31, 2023), they would be enttled to receive the Company's Common Stock having the following values: S. Trauschke, $4,989,436, B. Buckler, $878,979, W. Sultemeier, $773,839, D. Jones, $696,330 and C. McQuiston, $325,862.</w:t>
      </w:r>
    </w:p>
    <w:p>
      <w:pPr>
        <w:spacing w:after="0" w:line="200" w:lineRule="exact"/>
        <w:rPr>
          <w:sz w:val="20"/>
          <w:szCs w:val="20"/>
          <w:color w:val="auto"/>
        </w:rPr>
      </w:pPr>
    </w:p>
    <w:p>
      <w:pPr>
        <w:spacing w:after="0" w:line="281"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All restricted stock units that have not vested will be forfeited upon a terminaton of employment; provided that in the event of a terminaton of employment due to death, disability, retrement or involuntary terminaton, the Compensaton Commitee may provide that all or a porton of the unvested units shall become vested. For the outstanding grants of restricted stock units whose restricted period ends on December 31, 2024 and December 31, 2025, and assuming that the Named Executve Ofcers terminated their employment as a result of death, disability, retrement or involuntary terminaton on December 31, 2023, that the Compensaton Commitee approved the pro rata vestng of all such restricted stock units, and that the price of the Company's Common Stock was $34.93 (the closing price on December 29, 2023, as the market was closed on December 31, 2023), they would be enttled to receive the Company's Common Stock having the following values: S. Trauschke, $902,102 for the restricted stock units whose vestng period ends December 31, 2024 and $444,484 for the restricted stock units whose vestng period ends December 31, 2025; B. Buckler, $158,908 for the restricted stock units whose vestng period</w:t>
      </w:r>
    </w:p>
    <w:p>
      <w:pPr>
        <w:spacing w:after="0" w:line="178" w:lineRule="exact"/>
        <w:rPr>
          <w:sz w:val="20"/>
          <w:szCs w:val="20"/>
          <w:color w:val="auto"/>
        </w:rPr>
      </w:pPr>
    </w:p>
    <w:p>
      <w:pPr>
        <w:spacing w:after="0"/>
        <w:tabs>
          <w:tab w:leader="none" w:pos="660" w:val="left"/>
        </w:tabs>
        <w:rPr>
          <w:sz w:val="20"/>
          <w:szCs w:val="20"/>
          <w:color w:val="auto"/>
        </w:rPr>
      </w:pPr>
      <w:r>
        <w:rPr>
          <w:rFonts w:ascii="Calibri" w:cs="Calibri" w:eastAsia="Calibri" w:hAnsi="Calibri"/>
          <w:sz w:val="18"/>
          <w:szCs w:val="18"/>
          <w:color w:val="auto"/>
        </w:rPr>
        <w:t>55</w:t>
      </w:r>
      <w:r>
        <w:rPr>
          <w:sz w:val="20"/>
          <w:szCs w:val="20"/>
          <w:color w:val="auto"/>
        </w:rPr>
        <w:tab/>
      </w:r>
      <w:r>
        <w:rPr>
          <w:rFonts w:ascii="Calibri" w:cs="Calibri" w:eastAsia="Calibri" w:hAnsi="Calibri"/>
          <w:sz w:val="18"/>
          <w:szCs w:val="18"/>
          <w:b w:val="1"/>
          <w:bCs w:val="1"/>
          <w:color w:val="EE2724"/>
        </w:rPr>
        <w:t xml:space="preserve">OGE Energy Corp. </w:t>
      </w:r>
      <w:r>
        <w:rPr>
          <w:rFonts w:ascii="Calibri" w:cs="Calibri" w:eastAsia="Calibri" w:hAnsi="Calibri"/>
          <w:sz w:val="18"/>
          <w:szCs w:val="18"/>
          <w:color w:val="00000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61" w:name="page62"/>
    <w:bookmarkEnd w:id="61"/>
    <w:p>
      <w:pPr>
        <w:jc w:val="both"/>
        <w:spacing w:after="0" w:line="235" w:lineRule="auto"/>
        <w:rPr>
          <w:sz w:val="20"/>
          <w:szCs w:val="20"/>
          <w:color w:val="auto"/>
        </w:rPr>
      </w:pPr>
      <w:r>
        <w:rPr>
          <w:rFonts w:ascii="Calibri" w:cs="Calibri" w:eastAsia="Calibri" w:hAnsi="Calibri"/>
          <w:sz w:val="18"/>
          <w:szCs w:val="18"/>
          <w:color w:val="auto"/>
        </w:rPr>
        <w:t>ends December 31, 2024 and $78,301 for the restricted stock units whose vestng period ends December 31, 2025; W. Sultemeier, $139,906 for the restricted stock units whose vestng period ends December 31, 2024 and $68,940 for the restricted stock units whose vestng period ends December 31, 2025; D. Jones, $119,507 for the restricted stock units whose vestng period ends December 31, 2024 and $65,226 for the restricted stock units whose vestng period ends December 31, 2025; and C. McQuiston, $57,029 for the restricted stock units whose vestng period ends December 31, 2024 and $29,970 for the restricted stock units whose vestng period ends December 31, 2025.</w:t>
      </w:r>
    </w:p>
    <w:p>
      <w:pPr>
        <w:spacing w:after="0" w:line="220"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In additon to the benefts described above, upon retrement, the Named Executve Ofcers will be enttled to receive the retrement benefts described in the 2023 Pension Benefts Table on page 46 and the nonqualifed deferred compensaton benefts set forth in the 2023 Nonqualifed Deferred Compensaton Table on page 47 as well as contributory lifetme retree medical benefts if they were hired prior to February 1, 2000.</w:t>
      </w:r>
    </w:p>
    <w:p>
      <w:pPr>
        <w:spacing w:after="0" w:line="296" w:lineRule="exact"/>
        <w:rPr>
          <w:sz w:val="20"/>
          <w:szCs w:val="20"/>
          <w:color w:val="auto"/>
        </w:rPr>
      </w:pPr>
    </w:p>
    <w:p>
      <w:pPr>
        <w:ind w:left="60"/>
        <w:spacing w:after="0"/>
        <w:rPr>
          <w:sz w:val="20"/>
          <w:szCs w:val="20"/>
          <w:color w:val="auto"/>
        </w:rPr>
      </w:pPr>
      <w:r>
        <w:rPr>
          <w:rFonts w:ascii="Calibri" w:cs="Calibri" w:eastAsia="Calibri" w:hAnsi="Calibri"/>
          <w:sz w:val="22"/>
          <w:szCs w:val="22"/>
          <w:b w:val="1"/>
          <w:bCs w:val="1"/>
          <w:color w:val="auto"/>
        </w:rPr>
        <w:t>INFORMATION ABOUT SHAREHOLDINGS AND 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7"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b w:val="1"/>
          <w:bCs w:val="1"/>
          <w:color w:val="auto"/>
        </w:rPr>
        <w:t xml:space="preserve">Security Ownership. </w:t>
      </w:r>
      <w:r>
        <w:rPr>
          <w:rFonts w:ascii="Calibri" w:cs="Calibri" w:eastAsia="Calibri" w:hAnsi="Calibri"/>
          <w:sz w:val="18"/>
          <w:szCs w:val="18"/>
          <w:color w:val="auto"/>
        </w:rPr>
        <w:t>The following table shows the number of shares of the Company's Common Stock benefcially owned on March 18, 2024, by each</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Director, by each of the Named Executve Ofcers, by all Executve Ofcers and Directors as a group and by each shareholder owning fve percent or more of the Company's Common Stock:</w:t>
      </w: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2680" w:type="dxa"/>
            <w:vAlign w:val="bottom"/>
            <w:tcBorders>
              <w:top w:val="single" w:sz="8" w:color="auto"/>
              <w:left w:val="single" w:sz="8" w:color="auto"/>
              <w:right w:val="single" w:sz="8" w:color="auto"/>
            </w:tcBorders>
          </w:tcPr>
          <w:p>
            <w:pPr>
              <w:spacing w:after="0"/>
              <w:rPr>
                <w:sz w:val="21"/>
                <w:szCs w:val="21"/>
                <w:color w:val="auto"/>
              </w:rPr>
            </w:pPr>
          </w:p>
        </w:tc>
        <w:tc>
          <w:tcPr>
            <w:tcW w:w="3000" w:type="dxa"/>
            <w:vAlign w:val="bottom"/>
            <w:tcBorders>
              <w:top w:val="single" w:sz="8" w:color="auto"/>
              <w:right w:val="single" w:sz="8" w:color="auto"/>
            </w:tcBorders>
            <w:gridSpan w:val="2"/>
          </w:tcPr>
          <w:p>
            <w:pPr>
              <w:jc w:val="center"/>
              <w:ind w:right="30"/>
              <w:spacing w:after="0"/>
              <w:rPr>
                <w:sz w:val="20"/>
                <w:szCs w:val="20"/>
                <w:color w:val="auto"/>
              </w:rPr>
            </w:pPr>
            <w:r>
              <w:rPr>
                <w:rFonts w:ascii="Calibri" w:cs="Calibri" w:eastAsia="Calibri" w:hAnsi="Calibri"/>
                <w:sz w:val="18"/>
                <w:szCs w:val="18"/>
                <w:color w:val="auto"/>
                <w:w w:val="98"/>
              </w:rPr>
              <w:t>Number of Common</w:t>
            </w:r>
          </w:p>
        </w:tc>
        <w:tc>
          <w:tcPr>
            <w:tcW w:w="3220" w:type="dxa"/>
            <w:vAlign w:val="bottom"/>
            <w:tcBorders>
              <w:top w:val="single" w:sz="8" w:color="auto"/>
              <w:right w:val="single" w:sz="8" w:color="auto"/>
            </w:tcBorders>
          </w:tcPr>
          <w:p>
            <w:pPr>
              <w:spacing w:after="0"/>
              <w:rPr>
                <w:sz w:val="21"/>
                <w:szCs w:val="21"/>
                <w:color w:val="auto"/>
              </w:rPr>
            </w:pPr>
          </w:p>
        </w:tc>
        <w:tc>
          <w:tcPr>
            <w:tcW w:w="2340" w:type="dxa"/>
            <w:vAlign w:val="bottom"/>
            <w:tcBorders>
              <w:top w:val="single" w:sz="8" w:color="auto"/>
              <w:right w:val="single" w:sz="8" w:color="auto"/>
            </w:tcBorders>
          </w:tcPr>
          <w:p>
            <w:pPr>
              <w:jc w:val="right"/>
              <w:ind w:right="410"/>
              <w:spacing w:after="0"/>
              <w:rPr>
                <w:sz w:val="20"/>
                <w:szCs w:val="20"/>
                <w:color w:val="auto"/>
              </w:rPr>
            </w:pPr>
            <w:r>
              <w:rPr>
                <w:rFonts w:ascii="Calibri" w:cs="Calibri" w:eastAsia="Calibri" w:hAnsi="Calibri"/>
                <w:sz w:val="18"/>
                <w:szCs w:val="18"/>
                <w:color w:val="auto"/>
              </w:rPr>
              <w:t>Number of Common</w:t>
            </w:r>
          </w:p>
        </w:tc>
      </w:tr>
      <w:tr>
        <w:trPr>
          <w:trHeight w:val="297"/>
        </w:trPr>
        <w:tc>
          <w:tcPr>
            <w:tcW w:w="2680" w:type="dxa"/>
            <w:vAlign w:val="bottom"/>
            <w:tcBorders>
              <w:left w:val="single" w:sz="8" w:color="auto"/>
              <w:right w:val="single" w:sz="8" w:color="auto"/>
            </w:tcBorders>
          </w:tcPr>
          <w:p>
            <w:pPr>
              <w:spacing w:after="0"/>
              <w:rPr>
                <w:sz w:val="24"/>
                <w:szCs w:val="24"/>
                <w:color w:val="auto"/>
              </w:rPr>
            </w:pPr>
          </w:p>
        </w:tc>
        <w:tc>
          <w:tcPr>
            <w:tcW w:w="1980" w:type="dxa"/>
            <w:vAlign w:val="bottom"/>
          </w:tcPr>
          <w:p>
            <w:pPr>
              <w:jc w:val="center"/>
              <w:ind w:left="810"/>
              <w:spacing w:after="0"/>
              <w:rPr>
                <w:sz w:val="20"/>
                <w:szCs w:val="20"/>
                <w:color w:val="auto"/>
              </w:rPr>
            </w:pPr>
            <w:r>
              <w:rPr>
                <w:rFonts w:ascii="Calibri" w:cs="Calibri" w:eastAsia="Calibri" w:hAnsi="Calibri"/>
                <w:sz w:val="18"/>
                <w:szCs w:val="18"/>
                <w:color w:val="auto"/>
                <w:w w:val="99"/>
              </w:rPr>
              <w:t>Shares (1) (2)</w:t>
            </w:r>
          </w:p>
        </w:tc>
        <w:tc>
          <w:tcPr>
            <w:tcW w:w="1020" w:type="dxa"/>
            <w:vAlign w:val="bottom"/>
            <w:tcBorders>
              <w:right w:val="single" w:sz="8" w:color="auto"/>
            </w:tcBorders>
          </w:tcPr>
          <w:p>
            <w:pPr>
              <w:spacing w:after="0"/>
              <w:rPr>
                <w:sz w:val="24"/>
                <w:szCs w:val="24"/>
                <w:color w:val="auto"/>
              </w:rPr>
            </w:pPr>
          </w:p>
        </w:tc>
        <w:tc>
          <w:tcPr>
            <w:tcW w:w="3220" w:type="dxa"/>
            <w:vAlign w:val="bottom"/>
            <w:tcBorders>
              <w:right w:val="single" w:sz="8" w:color="auto"/>
            </w:tcBorders>
          </w:tcPr>
          <w:p>
            <w:pPr>
              <w:spacing w:after="0"/>
              <w:rPr>
                <w:sz w:val="24"/>
                <w:szCs w:val="24"/>
                <w:color w:val="auto"/>
              </w:rPr>
            </w:pPr>
          </w:p>
        </w:tc>
        <w:tc>
          <w:tcPr>
            <w:tcW w:w="2340" w:type="dxa"/>
            <w:vAlign w:val="bottom"/>
            <w:tcBorders>
              <w:right w:val="single" w:sz="8" w:color="auto"/>
            </w:tcBorders>
          </w:tcPr>
          <w:p>
            <w:pPr>
              <w:jc w:val="right"/>
              <w:ind w:right="670"/>
              <w:spacing w:after="0"/>
              <w:rPr>
                <w:sz w:val="20"/>
                <w:szCs w:val="20"/>
                <w:color w:val="auto"/>
              </w:rPr>
            </w:pPr>
            <w:r>
              <w:rPr>
                <w:rFonts w:ascii="Calibri" w:cs="Calibri" w:eastAsia="Calibri" w:hAnsi="Calibri"/>
                <w:sz w:val="18"/>
                <w:szCs w:val="18"/>
                <w:color w:val="auto"/>
              </w:rPr>
              <w:t>Shares (1) (2)</w:t>
            </w:r>
          </w:p>
        </w:tc>
      </w:tr>
      <w:tr>
        <w:trPr>
          <w:trHeight w:val="64"/>
        </w:trPr>
        <w:tc>
          <w:tcPr>
            <w:tcW w:w="2680" w:type="dxa"/>
            <w:vAlign w:val="bottom"/>
            <w:tcBorders>
              <w:left w:val="single" w:sz="8" w:color="auto"/>
              <w:bottom w:val="single" w:sz="8" w:color="auto"/>
              <w:right w:val="single" w:sz="8" w:color="auto"/>
            </w:tcBorders>
          </w:tcPr>
          <w:p>
            <w:pPr>
              <w:spacing w:after="0"/>
              <w:rPr>
                <w:sz w:val="5"/>
                <w:szCs w:val="5"/>
                <w:color w:val="auto"/>
              </w:rPr>
            </w:pPr>
          </w:p>
        </w:tc>
        <w:tc>
          <w:tcPr>
            <w:tcW w:w="1980" w:type="dxa"/>
            <w:vAlign w:val="bottom"/>
            <w:tcBorders>
              <w:bottom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3220" w:type="dxa"/>
            <w:vAlign w:val="bottom"/>
            <w:tcBorders>
              <w:bottom w:val="single" w:sz="8" w:color="auto"/>
              <w:right w:val="single" w:sz="8" w:color="auto"/>
            </w:tcBorders>
          </w:tcPr>
          <w:p>
            <w:pPr>
              <w:spacing w:after="0"/>
              <w:rPr>
                <w:sz w:val="5"/>
                <w:szCs w:val="5"/>
                <w:color w:val="auto"/>
              </w:rPr>
            </w:pPr>
          </w:p>
        </w:tc>
        <w:tc>
          <w:tcPr>
            <w:tcW w:w="2340" w:type="dxa"/>
            <w:vAlign w:val="bottom"/>
            <w:tcBorders>
              <w:bottom w:val="single" w:sz="8" w:color="auto"/>
              <w:right w:val="single" w:sz="8" w:color="auto"/>
            </w:tcBorders>
          </w:tcPr>
          <w:p>
            <w:pPr>
              <w:spacing w:after="0"/>
              <w:rPr>
                <w:sz w:val="5"/>
                <w:szCs w:val="5"/>
                <w:color w:val="auto"/>
              </w:rPr>
            </w:pPr>
          </w:p>
        </w:tc>
      </w:tr>
      <w:tr>
        <w:trPr>
          <w:trHeight w:val="242"/>
        </w:trPr>
        <w:tc>
          <w:tcPr>
            <w:tcW w:w="2680" w:type="dxa"/>
            <w:vAlign w:val="bottom"/>
            <w:tcBorders>
              <w:left w:val="single" w:sz="8" w:color="auto"/>
              <w:bottom w:val="single" w:sz="8" w:color="D9D9D9"/>
              <w:right w:val="single" w:sz="8" w:color="auto"/>
            </w:tcBorders>
            <w:shd w:val="clear" w:color="auto" w:fill="D9D9D9"/>
          </w:tcPr>
          <w:p>
            <w:pPr>
              <w:ind w:left="40"/>
              <w:spacing w:after="0" w:line="208" w:lineRule="exact"/>
              <w:rPr>
                <w:sz w:val="20"/>
                <w:szCs w:val="20"/>
                <w:color w:val="auto"/>
              </w:rPr>
            </w:pPr>
            <w:r>
              <w:rPr>
                <w:rFonts w:ascii="Calibri" w:cs="Calibri" w:eastAsia="Calibri" w:hAnsi="Calibri"/>
                <w:sz w:val="18"/>
                <w:szCs w:val="18"/>
                <w:color w:val="auto"/>
              </w:rPr>
              <w:t>Frank A. Bozich</w:t>
            </w:r>
          </w:p>
        </w:tc>
        <w:tc>
          <w:tcPr>
            <w:tcW w:w="1980" w:type="dxa"/>
            <w:vAlign w:val="bottom"/>
            <w:tcBorders>
              <w:bottom w:val="single" w:sz="8" w:color="D9D9D9"/>
            </w:tcBorders>
            <w:shd w:val="clear" w:color="auto" w:fill="D9D9D9"/>
          </w:tcPr>
          <w:p>
            <w:pPr>
              <w:spacing w:after="0"/>
              <w:rPr>
                <w:sz w:val="20"/>
                <w:szCs w:val="20"/>
                <w:color w:val="auto"/>
              </w:rPr>
            </w:pPr>
          </w:p>
        </w:tc>
        <w:tc>
          <w:tcPr>
            <w:tcW w:w="1020" w:type="dxa"/>
            <w:vAlign w:val="bottom"/>
            <w:tcBorders>
              <w:bottom w:val="single" w:sz="8" w:color="D9D9D9"/>
              <w:right w:val="single" w:sz="8" w:color="auto"/>
            </w:tcBorders>
            <w:shd w:val="clear" w:color="auto" w:fill="D9D9D9"/>
          </w:tcPr>
          <w:p>
            <w:pPr>
              <w:jc w:val="right"/>
              <w:ind w:right="50"/>
              <w:spacing w:after="0" w:line="208" w:lineRule="exact"/>
              <w:rPr>
                <w:sz w:val="20"/>
                <w:szCs w:val="20"/>
                <w:color w:val="auto"/>
              </w:rPr>
            </w:pPr>
            <w:r>
              <w:rPr>
                <w:rFonts w:ascii="Calibri" w:cs="Calibri" w:eastAsia="Calibri" w:hAnsi="Calibri"/>
                <w:sz w:val="18"/>
                <w:szCs w:val="18"/>
                <w:color w:val="auto"/>
              </w:rPr>
              <w:t>34,805</w:t>
            </w:r>
          </w:p>
        </w:tc>
        <w:tc>
          <w:tcPr>
            <w:tcW w:w="3220" w:type="dxa"/>
            <w:vAlign w:val="bottom"/>
            <w:tcBorders>
              <w:bottom w:val="single" w:sz="8" w:color="D9D9D9"/>
              <w:right w:val="single" w:sz="8" w:color="auto"/>
            </w:tcBorders>
            <w:shd w:val="clear" w:color="auto" w:fill="D9D9D9"/>
          </w:tcPr>
          <w:p>
            <w:pPr>
              <w:ind w:left="20"/>
              <w:spacing w:after="0" w:line="208" w:lineRule="exact"/>
              <w:rPr>
                <w:sz w:val="20"/>
                <w:szCs w:val="20"/>
                <w:color w:val="auto"/>
              </w:rPr>
            </w:pPr>
            <w:r>
              <w:rPr>
                <w:rFonts w:ascii="Calibri" w:cs="Calibri" w:eastAsia="Calibri" w:hAnsi="Calibri"/>
                <w:sz w:val="18"/>
                <w:szCs w:val="18"/>
                <w:color w:val="auto"/>
              </w:rPr>
              <w:t>S. Trauschke</w:t>
            </w:r>
          </w:p>
        </w:tc>
        <w:tc>
          <w:tcPr>
            <w:tcW w:w="2340" w:type="dxa"/>
            <w:vAlign w:val="bottom"/>
            <w:tcBorders>
              <w:bottom w:val="single" w:sz="8" w:color="D9D9D9"/>
              <w:right w:val="single" w:sz="8" w:color="auto"/>
            </w:tcBorders>
            <w:shd w:val="clear" w:color="auto" w:fill="D9D9D9"/>
          </w:tcPr>
          <w:p>
            <w:pPr>
              <w:jc w:val="right"/>
              <w:ind w:right="30"/>
              <w:spacing w:after="0" w:line="208" w:lineRule="exact"/>
              <w:rPr>
                <w:sz w:val="20"/>
                <w:szCs w:val="20"/>
                <w:color w:val="auto"/>
              </w:rPr>
            </w:pPr>
            <w:r>
              <w:rPr>
                <w:rFonts w:ascii="Calibri" w:cs="Calibri" w:eastAsia="Calibri" w:hAnsi="Calibri"/>
                <w:sz w:val="18"/>
                <w:szCs w:val="18"/>
                <w:color w:val="auto"/>
              </w:rPr>
              <w:t>450,935</w:t>
            </w:r>
          </w:p>
        </w:tc>
      </w:tr>
      <w:tr>
        <w:trPr>
          <w:trHeight w:val="208"/>
        </w:trPr>
        <w:tc>
          <w:tcPr>
            <w:tcW w:w="2680" w:type="dxa"/>
            <w:vAlign w:val="bottom"/>
            <w:tcBorders>
              <w:top w:val="single" w:sz="8" w:color="auto"/>
              <w:left w:val="single" w:sz="8" w:color="auto"/>
              <w:right w:val="single" w:sz="8" w:color="auto"/>
            </w:tcBorders>
          </w:tcPr>
          <w:p>
            <w:pPr>
              <w:ind w:left="40"/>
              <w:spacing w:after="0" w:line="208" w:lineRule="exact"/>
              <w:rPr>
                <w:sz w:val="20"/>
                <w:szCs w:val="20"/>
                <w:color w:val="auto"/>
              </w:rPr>
            </w:pPr>
            <w:r>
              <w:rPr>
                <w:rFonts w:ascii="Calibri" w:cs="Calibri" w:eastAsia="Calibri" w:hAnsi="Calibri"/>
                <w:sz w:val="18"/>
                <w:szCs w:val="18"/>
                <w:color w:val="auto"/>
              </w:rPr>
              <w:t>Peter D. Clarke</w:t>
            </w:r>
          </w:p>
        </w:tc>
        <w:tc>
          <w:tcPr>
            <w:tcW w:w="1980" w:type="dxa"/>
            <w:vAlign w:val="bottom"/>
            <w:tcBorders>
              <w:top w:val="single" w:sz="8" w:color="auto"/>
            </w:tcBorders>
          </w:tcPr>
          <w:p>
            <w:pPr>
              <w:spacing w:after="0"/>
              <w:rPr>
                <w:sz w:val="18"/>
                <w:szCs w:val="18"/>
                <w:color w:val="auto"/>
              </w:rPr>
            </w:pPr>
          </w:p>
        </w:tc>
        <w:tc>
          <w:tcPr>
            <w:tcW w:w="1020" w:type="dxa"/>
            <w:vAlign w:val="bottom"/>
            <w:tcBorders>
              <w:top w:val="single" w:sz="8" w:color="auto"/>
              <w:right w:val="single" w:sz="8" w:color="auto"/>
            </w:tcBorders>
          </w:tcPr>
          <w:p>
            <w:pPr>
              <w:jc w:val="right"/>
              <w:ind w:right="50"/>
              <w:spacing w:after="0" w:line="208" w:lineRule="exact"/>
              <w:rPr>
                <w:sz w:val="20"/>
                <w:szCs w:val="20"/>
                <w:color w:val="auto"/>
              </w:rPr>
            </w:pPr>
            <w:r>
              <w:rPr>
                <w:rFonts w:ascii="Calibri" w:cs="Calibri" w:eastAsia="Calibri" w:hAnsi="Calibri"/>
                <w:sz w:val="18"/>
                <w:szCs w:val="18"/>
                <w:color w:val="auto"/>
              </w:rPr>
              <w:t>25,884</w:t>
            </w:r>
          </w:p>
        </w:tc>
        <w:tc>
          <w:tcPr>
            <w:tcW w:w="3220" w:type="dxa"/>
            <w:vAlign w:val="bottom"/>
            <w:tcBorders>
              <w:top w:val="single" w:sz="8" w:color="auto"/>
              <w:right w:val="single" w:sz="8" w:color="auto"/>
            </w:tcBorders>
          </w:tcPr>
          <w:p>
            <w:pPr>
              <w:ind w:left="20"/>
              <w:spacing w:after="0" w:line="208" w:lineRule="exact"/>
              <w:rPr>
                <w:sz w:val="20"/>
                <w:szCs w:val="20"/>
                <w:color w:val="auto"/>
              </w:rPr>
            </w:pPr>
            <w:r>
              <w:rPr>
                <w:rFonts w:ascii="Calibri" w:cs="Calibri" w:eastAsia="Calibri" w:hAnsi="Calibri"/>
                <w:sz w:val="18"/>
                <w:szCs w:val="18"/>
                <w:color w:val="auto"/>
              </w:rPr>
              <w:t>B. Buckler</w:t>
            </w:r>
          </w:p>
        </w:tc>
        <w:tc>
          <w:tcPr>
            <w:tcW w:w="2340" w:type="dxa"/>
            <w:vAlign w:val="bottom"/>
            <w:tcBorders>
              <w:top w:val="single" w:sz="8" w:color="auto"/>
              <w:right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23,604</w:t>
            </w:r>
          </w:p>
        </w:tc>
      </w:tr>
      <w:tr>
        <w:trPr>
          <w:trHeight w:val="28"/>
        </w:trPr>
        <w:tc>
          <w:tcPr>
            <w:tcW w:w="2680" w:type="dxa"/>
            <w:vAlign w:val="bottom"/>
            <w:tcBorders>
              <w:left w:val="single" w:sz="8" w:color="auto"/>
              <w:bottom w:val="single" w:sz="8" w:color="auto"/>
              <w:right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322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r>
      <w:tr>
        <w:trPr>
          <w:trHeight w:val="242"/>
        </w:trPr>
        <w:tc>
          <w:tcPr>
            <w:tcW w:w="2680" w:type="dxa"/>
            <w:vAlign w:val="bottom"/>
            <w:tcBorders>
              <w:left w:val="single" w:sz="8" w:color="auto"/>
              <w:bottom w:val="single" w:sz="8" w:color="D9D9D9"/>
              <w:right w:val="single" w:sz="8" w:color="auto"/>
            </w:tcBorders>
            <w:shd w:val="clear" w:color="auto" w:fill="D9D9D9"/>
          </w:tcPr>
          <w:p>
            <w:pPr>
              <w:ind w:left="40"/>
              <w:spacing w:after="0" w:line="208" w:lineRule="exact"/>
              <w:rPr>
                <w:sz w:val="20"/>
                <w:szCs w:val="20"/>
                <w:color w:val="auto"/>
              </w:rPr>
            </w:pPr>
            <w:r>
              <w:rPr>
                <w:rFonts w:ascii="Calibri" w:cs="Calibri" w:eastAsia="Calibri" w:hAnsi="Calibri"/>
                <w:sz w:val="18"/>
                <w:szCs w:val="18"/>
                <w:color w:val="auto"/>
              </w:rPr>
              <w:t>Cathy R. Gates</w:t>
            </w:r>
          </w:p>
        </w:tc>
        <w:tc>
          <w:tcPr>
            <w:tcW w:w="1980" w:type="dxa"/>
            <w:vAlign w:val="bottom"/>
            <w:tcBorders>
              <w:bottom w:val="single" w:sz="8" w:color="D9D9D9"/>
            </w:tcBorders>
            <w:shd w:val="clear" w:color="auto" w:fill="D9D9D9"/>
          </w:tcPr>
          <w:p>
            <w:pPr>
              <w:spacing w:after="0"/>
              <w:rPr>
                <w:sz w:val="20"/>
                <w:szCs w:val="20"/>
                <w:color w:val="auto"/>
              </w:rPr>
            </w:pPr>
          </w:p>
        </w:tc>
        <w:tc>
          <w:tcPr>
            <w:tcW w:w="1020" w:type="dxa"/>
            <w:vAlign w:val="bottom"/>
            <w:tcBorders>
              <w:bottom w:val="single" w:sz="8" w:color="D9D9D9"/>
              <w:right w:val="single" w:sz="8" w:color="auto"/>
            </w:tcBorders>
            <w:shd w:val="clear" w:color="auto" w:fill="D9D9D9"/>
          </w:tcPr>
          <w:p>
            <w:pPr>
              <w:jc w:val="right"/>
              <w:ind w:right="50"/>
              <w:spacing w:after="0" w:line="208" w:lineRule="exact"/>
              <w:rPr>
                <w:sz w:val="20"/>
                <w:szCs w:val="20"/>
                <w:color w:val="auto"/>
              </w:rPr>
            </w:pPr>
            <w:r>
              <w:rPr>
                <w:rFonts w:ascii="Calibri" w:cs="Calibri" w:eastAsia="Calibri" w:hAnsi="Calibri"/>
                <w:sz w:val="18"/>
                <w:szCs w:val="18"/>
                <w:color w:val="auto"/>
              </w:rPr>
              <w:t>4,473</w:t>
            </w:r>
          </w:p>
        </w:tc>
        <w:tc>
          <w:tcPr>
            <w:tcW w:w="3220" w:type="dxa"/>
            <w:vAlign w:val="bottom"/>
            <w:tcBorders>
              <w:bottom w:val="single" w:sz="8" w:color="D9D9D9"/>
              <w:right w:val="single" w:sz="8" w:color="auto"/>
            </w:tcBorders>
            <w:shd w:val="clear" w:color="auto" w:fill="D9D9D9"/>
          </w:tcPr>
          <w:p>
            <w:pPr>
              <w:ind w:left="20"/>
              <w:spacing w:after="0" w:line="208" w:lineRule="exact"/>
              <w:rPr>
                <w:sz w:val="20"/>
                <w:szCs w:val="20"/>
                <w:color w:val="auto"/>
              </w:rPr>
            </w:pPr>
            <w:r>
              <w:rPr>
                <w:rFonts w:ascii="Calibri" w:cs="Calibri" w:eastAsia="Calibri" w:hAnsi="Calibri"/>
                <w:sz w:val="18"/>
                <w:szCs w:val="18"/>
                <w:color w:val="auto"/>
              </w:rPr>
              <w:t>W. Sultemeier</w:t>
            </w:r>
          </w:p>
        </w:tc>
        <w:tc>
          <w:tcPr>
            <w:tcW w:w="2340" w:type="dxa"/>
            <w:vAlign w:val="bottom"/>
            <w:tcBorders>
              <w:bottom w:val="single" w:sz="8" w:color="D9D9D9"/>
              <w:right w:val="single" w:sz="8" w:color="auto"/>
            </w:tcBorders>
            <w:shd w:val="clear" w:color="auto" w:fill="D9D9D9"/>
          </w:tcPr>
          <w:p>
            <w:pPr>
              <w:jc w:val="right"/>
              <w:ind w:right="30"/>
              <w:spacing w:after="0" w:line="208" w:lineRule="exact"/>
              <w:rPr>
                <w:sz w:val="20"/>
                <w:szCs w:val="20"/>
                <w:color w:val="auto"/>
              </w:rPr>
            </w:pPr>
            <w:r>
              <w:rPr>
                <w:rFonts w:ascii="Calibri" w:cs="Calibri" w:eastAsia="Calibri" w:hAnsi="Calibri"/>
                <w:sz w:val="18"/>
                <w:szCs w:val="18"/>
                <w:color w:val="auto"/>
              </w:rPr>
              <w:t>54,884</w:t>
            </w:r>
          </w:p>
        </w:tc>
      </w:tr>
      <w:tr>
        <w:trPr>
          <w:trHeight w:val="208"/>
        </w:trPr>
        <w:tc>
          <w:tcPr>
            <w:tcW w:w="2680" w:type="dxa"/>
            <w:vAlign w:val="bottom"/>
            <w:tcBorders>
              <w:top w:val="single" w:sz="8" w:color="auto"/>
              <w:left w:val="single" w:sz="8" w:color="auto"/>
              <w:right w:val="single" w:sz="8" w:color="auto"/>
            </w:tcBorders>
          </w:tcPr>
          <w:p>
            <w:pPr>
              <w:ind w:left="40"/>
              <w:spacing w:after="0" w:line="208" w:lineRule="exact"/>
              <w:rPr>
                <w:sz w:val="20"/>
                <w:szCs w:val="20"/>
                <w:color w:val="auto"/>
              </w:rPr>
            </w:pPr>
            <w:r>
              <w:rPr>
                <w:rFonts w:ascii="Calibri" w:cs="Calibri" w:eastAsia="Calibri" w:hAnsi="Calibri"/>
                <w:sz w:val="18"/>
                <w:szCs w:val="18"/>
                <w:color w:val="auto"/>
              </w:rPr>
              <w:t>David L. Hauser</w:t>
            </w:r>
          </w:p>
        </w:tc>
        <w:tc>
          <w:tcPr>
            <w:tcW w:w="1980" w:type="dxa"/>
            <w:vAlign w:val="bottom"/>
            <w:tcBorders>
              <w:top w:val="single" w:sz="8" w:color="auto"/>
            </w:tcBorders>
          </w:tcPr>
          <w:p>
            <w:pPr>
              <w:spacing w:after="0"/>
              <w:rPr>
                <w:sz w:val="18"/>
                <w:szCs w:val="18"/>
                <w:color w:val="auto"/>
              </w:rPr>
            </w:pPr>
          </w:p>
        </w:tc>
        <w:tc>
          <w:tcPr>
            <w:tcW w:w="1020" w:type="dxa"/>
            <w:vAlign w:val="bottom"/>
            <w:tcBorders>
              <w:top w:val="single" w:sz="8" w:color="auto"/>
              <w:right w:val="single" w:sz="8" w:color="auto"/>
            </w:tcBorders>
          </w:tcPr>
          <w:p>
            <w:pPr>
              <w:jc w:val="right"/>
              <w:ind w:right="50"/>
              <w:spacing w:after="0" w:line="208" w:lineRule="exact"/>
              <w:rPr>
                <w:sz w:val="20"/>
                <w:szCs w:val="20"/>
                <w:color w:val="auto"/>
              </w:rPr>
            </w:pPr>
            <w:r>
              <w:rPr>
                <w:rFonts w:ascii="Calibri" w:cs="Calibri" w:eastAsia="Calibri" w:hAnsi="Calibri"/>
                <w:sz w:val="18"/>
                <w:szCs w:val="18"/>
                <w:color w:val="auto"/>
              </w:rPr>
              <w:t>44,395</w:t>
            </w:r>
          </w:p>
        </w:tc>
        <w:tc>
          <w:tcPr>
            <w:tcW w:w="3220" w:type="dxa"/>
            <w:vAlign w:val="bottom"/>
            <w:tcBorders>
              <w:top w:val="single" w:sz="8" w:color="auto"/>
              <w:right w:val="single" w:sz="8" w:color="auto"/>
            </w:tcBorders>
          </w:tcPr>
          <w:p>
            <w:pPr>
              <w:ind w:left="20"/>
              <w:spacing w:after="0" w:line="208" w:lineRule="exact"/>
              <w:rPr>
                <w:sz w:val="20"/>
                <w:szCs w:val="20"/>
                <w:color w:val="auto"/>
              </w:rPr>
            </w:pPr>
            <w:r>
              <w:rPr>
                <w:rFonts w:ascii="Calibri" w:cs="Calibri" w:eastAsia="Calibri" w:hAnsi="Calibri"/>
                <w:sz w:val="18"/>
                <w:szCs w:val="18"/>
                <w:color w:val="auto"/>
              </w:rPr>
              <w:t>D. Jones</w:t>
            </w:r>
          </w:p>
        </w:tc>
        <w:tc>
          <w:tcPr>
            <w:tcW w:w="2340" w:type="dxa"/>
            <w:vAlign w:val="bottom"/>
            <w:tcBorders>
              <w:top w:val="single" w:sz="8" w:color="auto"/>
              <w:right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42,230</w:t>
            </w:r>
          </w:p>
        </w:tc>
      </w:tr>
      <w:tr>
        <w:trPr>
          <w:trHeight w:val="28"/>
        </w:trPr>
        <w:tc>
          <w:tcPr>
            <w:tcW w:w="2680" w:type="dxa"/>
            <w:vAlign w:val="bottom"/>
            <w:tcBorders>
              <w:left w:val="single" w:sz="8" w:color="auto"/>
              <w:bottom w:val="single" w:sz="8" w:color="auto"/>
              <w:right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322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r>
      <w:tr>
        <w:trPr>
          <w:trHeight w:val="242"/>
        </w:trPr>
        <w:tc>
          <w:tcPr>
            <w:tcW w:w="2680" w:type="dxa"/>
            <w:vAlign w:val="bottom"/>
            <w:tcBorders>
              <w:left w:val="single" w:sz="8" w:color="auto"/>
              <w:bottom w:val="single" w:sz="8" w:color="D9D9D9"/>
              <w:right w:val="single" w:sz="8" w:color="auto"/>
            </w:tcBorders>
            <w:shd w:val="clear" w:color="auto" w:fill="D9D9D9"/>
          </w:tcPr>
          <w:p>
            <w:pPr>
              <w:ind w:left="40"/>
              <w:spacing w:after="0" w:line="208" w:lineRule="exact"/>
              <w:rPr>
                <w:sz w:val="20"/>
                <w:szCs w:val="20"/>
                <w:color w:val="auto"/>
              </w:rPr>
            </w:pPr>
            <w:r>
              <w:rPr>
                <w:rFonts w:ascii="Calibri" w:cs="Calibri" w:eastAsia="Calibri" w:hAnsi="Calibri"/>
                <w:sz w:val="18"/>
                <w:szCs w:val="18"/>
                <w:color w:val="auto"/>
              </w:rPr>
              <w:t>Luther C. Kissam, IV</w:t>
            </w:r>
          </w:p>
        </w:tc>
        <w:tc>
          <w:tcPr>
            <w:tcW w:w="1980" w:type="dxa"/>
            <w:vAlign w:val="bottom"/>
            <w:tcBorders>
              <w:bottom w:val="single" w:sz="8" w:color="D9D9D9"/>
            </w:tcBorders>
            <w:shd w:val="clear" w:color="auto" w:fill="D9D9D9"/>
          </w:tcPr>
          <w:p>
            <w:pPr>
              <w:spacing w:after="0"/>
              <w:rPr>
                <w:sz w:val="20"/>
                <w:szCs w:val="20"/>
                <w:color w:val="auto"/>
              </w:rPr>
            </w:pPr>
          </w:p>
        </w:tc>
        <w:tc>
          <w:tcPr>
            <w:tcW w:w="1020" w:type="dxa"/>
            <w:vAlign w:val="bottom"/>
            <w:tcBorders>
              <w:bottom w:val="single" w:sz="8" w:color="D9D9D9"/>
              <w:right w:val="single" w:sz="8" w:color="auto"/>
            </w:tcBorders>
            <w:shd w:val="clear" w:color="auto" w:fill="D9D9D9"/>
          </w:tcPr>
          <w:p>
            <w:pPr>
              <w:jc w:val="right"/>
              <w:ind w:right="50"/>
              <w:spacing w:after="0" w:line="208" w:lineRule="exact"/>
              <w:rPr>
                <w:sz w:val="20"/>
                <w:szCs w:val="20"/>
                <w:color w:val="auto"/>
              </w:rPr>
            </w:pPr>
            <w:r>
              <w:rPr>
                <w:rFonts w:ascii="Calibri" w:cs="Calibri" w:eastAsia="Calibri" w:hAnsi="Calibri"/>
                <w:sz w:val="18"/>
                <w:szCs w:val="18"/>
                <w:color w:val="auto"/>
              </w:rPr>
              <w:t>21,255</w:t>
            </w:r>
          </w:p>
        </w:tc>
        <w:tc>
          <w:tcPr>
            <w:tcW w:w="3220" w:type="dxa"/>
            <w:vAlign w:val="bottom"/>
            <w:tcBorders>
              <w:bottom w:val="single" w:sz="8" w:color="D9D9D9"/>
              <w:right w:val="single" w:sz="8" w:color="auto"/>
            </w:tcBorders>
            <w:shd w:val="clear" w:color="auto" w:fill="D9D9D9"/>
          </w:tcPr>
          <w:p>
            <w:pPr>
              <w:ind w:left="20"/>
              <w:spacing w:after="0" w:line="208" w:lineRule="exact"/>
              <w:rPr>
                <w:sz w:val="20"/>
                <w:szCs w:val="20"/>
                <w:color w:val="auto"/>
              </w:rPr>
            </w:pPr>
            <w:r>
              <w:rPr>
                <w:rFonts w:ascii="Calibri" w:cs="Calibri" w:eastAsia="Calibri" w:hAnsi="Calibri"/>
                <w:sz w:val="18"/>
                <w:szCs w:val="18"/>
                <w:color w:val="auto"/>
              </w:rPr>
              <w:t>C. McQuiston</w:t>
            </w:r>
          </w:p>
        </w:tc>
        <w:tc>
          <w:tcPr>
            <w:tcW w:w="2340" w:type="dxa"/>
            <w:vAlign w:val="bottom"/>
            <w:tcBorders>
              <w:bottom w:val="single" w:sz="8" w:color="D9D9D9"/>
              <w:right w:val="single" w:sz="8" w:color="auto"/>
            </w:tcBorders>
            <w:shd w:val="clear" w:color="auto" w:fill="D9D9D9"/>
          </w:tcPr>
          <w:p>
            <w:pPr>
              <w:jc w:val="right"/>
              <w:ind w:right="30"/>
              <w:spacing w:after="0" w:line="208" w:lineRule="exact"/>
              <w:rPr>
                <w:sz w:val="20"/>
                <w:szCs w:val="20"/>
                <w:color w:val="auto"/>
              </w:rPr>
            </w:pPr>
            <w:r>
              <w:rPr>
                <w:rFonts w:ascii="Calibri" w:cs="Calibri" w:eastAsia="Calibri" w:hAnsi="Calibri"/>
                <w:sz w:val="18"/>
                <w:szCs w:val="18"/>
                <w:color w:val="auto"/>
              </w:rPr>
              <w:t>21,542</w:t>
            </w:r>
          </w:p>
        </w:tc>
      </w:tr>
      <w:tr>
        <w:trPr>
          <w:trHeight w:val="227"/>
        </w:trPr>
        <w:tc>
          <w:tcPr>
            <w:tcW w:w="2680" w:type="dxa"/>
            <w:vAlign w:val="bottom"/>
            <w:tcBorders>
              <w:top w:val="single" w:sz="8" w:color="auto"/>
              <w:left w:val="single" w:sz="8" w:color="auto"/>
              <w:right w:val="single" w:sz="8" w:color="auto"/>
            </w:tcBorders>
          </w:tcPr>
          <w:p>
            <w:pPr>
              <w:ind w:left="40"/>
              <w:spacing w:after="0"/>
              <w:rPr>
                <w:sz w:val="20"/>
                <w:szCs w:val="20"/>
                <w:color w:val="auto"/>
              </w:rPr>
            </w:pPr>
            <w:r>
              <w:rPr>
                <w:rFonts w:ascii="Calibri" w:cs="Calibri" w:eastAsia="Calibri" w:hAnsi="Calibri"/>
                <w:sz w:val="18"/>
                <w:szCs w:val="18"/>
                <w:color w:val="auto"/>
              </w:rPr>
              <w:t>Judy R. McReynolds</w:t>
            </w:r>
          </w:p>
        </w:tc>
        <w:tc>
          <w:tcPr>
            <w:tcW w:w="1980" w:type="dxa"/>
            <w:vAlign w:val="bottom"/>
            <w:tcBorders>
              <w:top w:val="single" w:sz="8" w:color="auto"/>
            </w:tcBorders>
          </w:tcPr>
          <w:p>
            <w:pPr>
              <w:spacing w:after="0"/>
              <w:rPr>
                <w:sz w:val="19"/>
                <w:szCs w:val="19"/>
                <w:color w:val="auto"/>
              </w:rPr>
            </w:pPr>
          </w:p>
        </w:tc>
        <w:tc>
          <w:tcPr>
            <w:tcW w:w="1020" w:type="dxa"/>
            <w:vAlign w:val="bottom"/>
            <w:tcBorders>
              <w:top w:val="single" w:sz="8" w:color="auto"/>
              <w:right w:val="single" w:sz="8" w:color="auto"/>
            </w:tcBorders>
          </w:tcPr>
          <w:p>
            <w:pPr>
              <w:jc w:val="right"/>
              <w:ind w:right="50"/>
              <w:spacing w:after="0"/>
              <w:rPr>
                <w:sz w:val="20"/>
                <w:szCs w:val="20"/>
                <w:color w:val="auto"/>
              </w:rPr>
            </w:pPr>
            <w:r>
              <w:rPr>
                <w:rFonts w:ascii="Calibri" w:cs="Calibri" w:eastAsia="Calibri" w:hAnsi="Calibri"/>
                <w:sz w:val="18"/>
                <w:szCs w:val="18"/>
                <w:color w:val="auto"/>
              </w:rPr>
              <w:t>53,011</w:t>
            </w:r>
          </w:p>
        </w:tc>
        <w:tc>
          <w:tcPr>
            <w:tcW w:w="3220" w:type="dxa"/>
            <w:vAlign w:val="bottom"/>
            <w:tcBorders>
              <w:top w:val="single" w:sz="8" w:color="auto"/>
              <w:right w:val="single" w:sz="8" w:color="auto"/>
            </w:tcBorders>
          </w:tcPr>
          <w:p>
            <w:pPr>
              <w:spacing w:after="0"/>
              <w:rPr>
                <w:sz w:val="19"/>
                <w:szCs w:val="19"/>
                <w:color w:val="auto"/>
              </w:rPr>
            </w:pPr>
          </w:p>
        </w:tc>
        <w:tc>
          <w:tcPr>
            <w:tcW w:w="2340" w:type="dxa"/>
            <w:vAlign w:val="bottom"/>
            <w:tcBorders>
              <w:top w:val="single" w:sz="8" w:color="auto"/>
              <w:right w:val="single" w:sz="8" w:color="auto"/>
            </w:tcBorders>
          </w:tcPr>
          <w:p>
            <w:pPr>
              <w:spacing w:after="0"/>
              <w:rPr>
                <w:sz w:val="19"/>
                <w:szCs w:val="19"/>
                <w:color w:val="auto"/>
              </w:rPr>
            </w:pPr>
          </w:p>
        </w:tc>
      </w:tr>
      <w:tr>
        <w:trPr>
          <w:trHeight w:val="64"/>
        </w:trPr>
        <w:tc>
          <w:tcPr>
            <w:tcW w:w="2680" w:type="dxa"/>
            <w:vAlign w:val="bottom"/>
            <w:tcBorders>
              <w:left w:val="single" w:sz="8" w:color="auto"/>
              <w:bottom w:val="single" w:sz="8" w:color="auto"/>
              <w:right w:val="single" w:sz="8" w:color="auto"/>
            </w:tcBorders>
          </w:tcPr>
          <w:p>
            <w:pPr>
              <w:spacing w:after="0"/>
              <w:rPr>
                <w:sz w:val="5"/>
                <w:szCs w:val="5"/>
                <w:color w:val="auto"/>
              </w:rPr>
            </w:pPr>
          </w:p>
        </w:tc>
        <w:tc>
          <w:tcPr>
            <w:tcW w:w="1980" w:type="dxa"/>
            <w:vAlign w:val="bottom"/>
            <w:tcBorders>
              <w:bottom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3220" w:type="dxa"/>
            <w:vAlign w:val="bottom"/>
            <w:tcBorders>
              <w:bottom w:val="single" w:sz="8" w:color="auto"/>
              <w:right w:val="single" w:sz="8" w:color="auto"/>
            </w:tcBorders>
          </w:tcPr>
          <w:p>
            <w:pPr>
              <w:spacing w:after="0"/>
              <w:rPr>
                <w:sz w:val="5"/>
                <w:szCs w:val="5"/>
                <w:color w:val="auto"/>
              </w:rPr>
            </w:pPr>
          </w:p>
        </w:tc>
        <w:tc>
          <w:tcPr>
            <w:tcW w:w="2340" w:type="dxa"/>
            <w:vAlign w:val="bottom"/>
            <w:tcBorders>
              <w:bottom w:val="single" w:sz="8" w:color="auto"/>
              <w:right w:val="single" w:sz="8" w:color="auto"/>
            </w:tcBorders>
          </w:tcPr>
          <w:p>
            <w:pPr>
              <w:spacing w:after="0"/>
              <w:rPr>
                <w:sz w:val="5"/>
                <w:szCs w:val="5"/>
                <w:color w:val="auto"/>
              </w:rPr>
            </w:pPr>
          </w:p>
        </w:tc>
      </w:tr>
      <w:tr>
        <w:trPr>
          <w:trHeight w:val="227"/>
        </w:trPr>
        <w:tc>
          <w:tcPr>
            <w:tcW w:w="2680" w:type="dxa"/>
            <w:vAlign w:val="bottom"/>
            <w:tcBorders>
              <w:left w:val="single" w:sz="8" w:color="auto"/>
              <w:right w:val="single" w:sz="8" w:color="auto"/>
            </w:tcBorders>
            <w:shd w:val="clear" w:color="auto" w:fill="D9D9D9"/>
          </w:tcPr>
          <w:p>
            <w:pPr>
              <w:ind w:left="40"/>
              <w:spacing w:after="0"/>
              <w:rPr>
                <w:sz w:val="20"/>
                <w:szCs w:val="20"/>
                <w:color w:val="auto"/>
              </w:rPr>
            </w:pPr>
            <w:r>
              <w:rPr>
                <w:rFonts w:ascii="Calibri" w:cs="Calibri" w:eastAsia="Calibri" w:hAnsi="Calibri"/>
                <w:sz w:val="18"/>
                <w:szCs w:val="18"/>
                <w:color w:val="auto"/>
              </w:rPr>
              <w:t>David E. Rainbolt</w:t>
            </w:r>
          </w:p>
        </w:tc>
        <w:tc>
          <w:tcPr>
            <w:tcW w:w="1980" w:type="dxa"/>
            <w:vAlign w:val="bottom"/>
            <w:shd w:val="clear" w:color="auto" w:fill="D9D9D9"/>
          </w:tcPr>
          <w:p>
            <w:pPr>
              <w:spacing w:after="0"/>
              <w:rPr>
                <w:sz w:val="19"/>
                <w:szCs w:val="19"/>
                <w:color w:val="auto"/>
              </w:rPr>
            </w:pPr>
          </w:p>
        </w:tc>
        <w:tc>
          <w:tcPr>
            <w:tcW w:w="1020" w:type="dxa"/>
            <w:vAlign w:val="bottom"/>
            <w:tcBorders>
              <w:right w:val="single" w:sz="8" w:color="auto"/>
            </w:tcBorders>
            <w:shd w:val="clear" w:color="auto" w:fill="D9D9D9"/>
          </w:tcPr>
          <w:p>
            <w:pPr>
              <w:jc w:val="right"/>
              <w:ind w:right="50"/>
              <w:spacing w:after="0"/>
              <w:rPr>
                <w:sz w:val="20"/>
                <w:szCs w:val="20"/>
                <w:color w:val="auto"/>
              </w:rPr>
            </w:pPr>
            <w:r>
              <w:rPr>
                <w:rFonts w:ascii="Calibri" w:cs="Calibri" w:eastAsia="Calibri" w:hAnsi="Calibri"/>
                <w:sz w:val="18"/>
                <w:szCs w:val="18"/>
                <w:color w:val="auto"/>
              </w:rPr>
              <w:t>44,776</w:t>
            </w:r>
          </w:p>
        </w:tc>
        <w:tc>
          <w:tcPr>
            <w:tcW w:w="3220" w:type="dxa"/>
            <w:vAlign w:val="bottom"/>
            <w:tcBorders>
              <w:right w:val="single" w:sz="8" w:color="auto"/>
            </w:tcBorders>
            <w:shd w:val="clear" w:color="auto" w:fill="D9D9D9"/>
          </w:tcPr>
          <w:p>
            <w:pPr>
              <w:spacing w:after="0"/>
              <w:rPr>
                <w:sz w:val="19"/>
                <w:szCs w:val="19"/>
                <w:color w:val="auto"/>
              </w:rPr>
            </w:pPr>
          </w:p>
        </w:tc>
        <w:tc>
          <w:tcPr>
            <w:tcW w:w="2340" w:type="dxa"/>
            <w:vAlign w:val="bottom"/>
            <w:tcBorders>
              <w:right w:val="single" w:sz="8" w:color="auto"/>
            </w:tcBorders>
            <w:shd w:val="clear" w:color="auto" w:fill="D9D9D9"/>
          </w:tcPr>
          <w:p>
            <w:pPr>
              <w:spacing w:after="0"/>
              <w:rPr>
                <w:sz w:val="19"/>
                <w:szCs w:val="19"/>
                <w:color w:val="auto"/>
              </w:rPr>
            </w:pPr>
          </w:p>
        </w:tc>
      </w:tr>
      <w:tr>
        <w:trPr>
          <w:trHeight w:val="64"/>
        </w:trPr>
        <w:tc>
          <w:tcPr>
            <w:tcW w:w="2680" w:type="dxa"/>
            <w:vAlign w:val="bottom"/>
            <w:tcBorders>
              <w:left w:val="single" w:sz="8" w:color="auto"/>
              <w:bottom w:val="single" w:sz="8" w:color="auto"/>
              <w:right w:val="single" w:sz="8" w:color="auto"/>
            </w:tcBorders>
            <w:shd w:val="clear" w:color="auto" w:fill="D9D9D9"/>
          </w:tcPr>
          <w:p>
            <w:pPr>
              <w:spacing w:after="0"/>
              <w:rPr>
                <w:sz w:val="5"/>
                <w:szCs w:val="5"/>
                <w:color w:val="auto"/>
              </w:rPr>
            </w:pPr>
          </w:p>
        </w:tc>
        <w:tc>
          <w:tcPr>
            <w:tcW w:w="1980" w:type="dxa"/>
            <w:vAlign w:val="bottom"/>
            <w:tcBorders>
              <w:bottom w:val="single" w:sz="8" w:color="auto"/>
            </w:tcBorders>
            <w:shd w:val="clear" w:color="auto" w:fill="D9D9D9"/>
          </w:tcPr>
          <w:p>
            <w:pPr>
              <w:spacing w:after="0"/>
              <w:rPr>
                <w:sz w:val="5"/>
                <w:szCs w:val="5"/>
                <w:color w:val="auto"/>
              </w:rPr>
            </w:pPr>
          </w:p>
        </w:tc>
        <w:tc>
          <w:tcPr>
            <w:tcW w:w="1020" w:type="dxa"/>
            <w:vAlign w:val="bottom"/>
            <w:tcBorders>
              <w:bottom w:val="single" w:sz="8" w:color="auto"/>
              <w:right w:val="single" w:sz="8" w:color="auto"/>
            </w:tcBorders>
            <w:shd w:val="clear" w:color="auto" w:fill="D9D9D9"/>
          </w:tcPr>
          <w:p>
            <w:pPr>
              <w:spacing w:after="0"/>
              <w:rPr>
                <w:sz w:val="5"/>
                <w:szCs w:val="5"/>
                <w:color w:val="auto"/>
              </w:rPr>
            </w:pPr>
          </w:p>
        </w:tc>
        <w:tc>
          <w:tcPr>
            <w:tcW w:w="3220" w:type="dxa"/>
            <w:vAlign w:val="bottom"/>
            <w:tcBorders>
              <w:bottom w:val="single" w:sz="8" w:color="auto"/>
              <w:right w:val="single" w:sz="8" w:color="auto"/>
            </w:tcBorders>
            <w:shd w:val="clear" w:color="auto" w:fill="D9D9D9"/>
          </w:tcPr>
          <w:p>
            <w:pPr>
              <w:spacing w:after="0"/>
              <w:rPr>
                <w:sz w:val="5"/>
                <w:szCs w:val="5"/>
                <w:color w:val="auto"/>
              </w:rPr>
            </w:pPr>
          </w:p>
        </w:tc>
        <w:tc>
          <w:tcPr>
            <w:tcW w:w="2340" w:type="dxa"/>
            <w:vAlign w:val="bottom"/>
            <w:tcBorders>
              <w:bottom w:val="single" w:sz="8" w:color="auto"/>
              <w:right w:val="single" w:sz="8" w:color="auto"/>
            </w:tcBorders>
            <w:shd w:val="clear" w:color="auto" w:fill="D9D9D9"/>
          </w:tcPr>
          <w:p>
            <w:pPr>
              <w:spacing w:after="0"/>
              <w:rPr>
                <w:sz w:val="5"/>
                <w:szCs w:val="5"/>
                <w:color w:val="auto"/>
              </w:rPr>
            </w:pPr>
          </w:p>
        </w:tc>
      </w:tr>
      <w:tr>
        <w:trPr>
          <w:trHeight w:val="227"/>
        </w:trPr>
        <w:tc>
          <w:tcPr>
            <w:tcW w:w="268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8"/>
                <w:szCs w:val="18"/>
                <w:color w:val="auto"/>
              </w:rPr>
              <w:t>J. Michael Sanner</w:t>
            </w:r>
          </w:p>
        </w:tc>
        <w:tc>
          <w:tcPr>
            <w:tcW w:w="1980" w:type="dxa"/>
            <w:vAlign w:val="bottom"/>
          </w:tcPr>
          <w:p>
            <w:pPr>
              <w:spacing w:after="0"/>
              <w:rPr>
                <w:sz w:val="19"/>
                <w:szCs w:val="19"/>
                <w:color w:val="auto"/>
              </w:rPr>
            </w:pPr>
          </w:p>
        </w:tc>
        <w:tc>
          <w:tcPr>
            <w:tcW w:w="1020" w:type="dxa"/>
            <w:vAlign w:val="bottom"/>
            <w:tcBorders>
              <w:right w:val="single" w:sz="8" w:color="auto"/>
            </w:tcBorders>
          </w:tcPr>
          <w:p>
            <w:pPr>
              <w:jc w:val="right"/>
              <w:ind w:right="50"/>
              <w:spacing w:after="0"/>
              <w:rPr>
                <w:sz w:val="20"/>
                <w:szCs w:val="20"/>
                <w:color w:val="auto"/>
              </w:rPr>
            </w:pPr>
            <w:r>
              <w:rPr>
                <w:rFonts w:ascii="Calibri" w:cs="Calibri" w:eastAsia="Calibri" w:hAnsi="Calibri"/>
                <w:sz w:val="18"/>
                <w:szCs w:val="18"/>
                <w:color w:val="auto"/>
              </w:rPr>
              <w:t>51,747</w:t>
            </w:r>
          </w:p>
        </w:tc>
        <w:tc>
          <w:tcPr>
            <w:tcW w:w="3220" w:type="dxa"/>
            <w:vAlign w:val="bottom"/>
            <w:tcBorders>
              <w:right w:val="single" w:sz="8" w:color="auto"/>
            </w:tcBorders>
          </w:tcPr>
          <w:p>
            <w:pPr>
              <w:spacing w:after="0"/>
              <w:rPr>
                <w:sz w:val="19"/>
                <w:szCs w:val="19"/>
                <w:color w:val="auto"/>
              </w:rPr>
            </w:pPr>
          </w:p>
        </w:tc>
        <w:tc>
          <w:tcPr>
            <w:tcW w:w="2340" w:type="dxa"/>
            <w:vAlign w:val="bottom"/>
            <w:tcBorders>
              <w:right w:val="single" w:sz="8" w:color="auto"/>
            </w:tcBorders>
          </w:tcPr>
          <w:p>
            <w:pPr>
              <w:spacing w:after="0"/>
              <w:rPr>
                <w:sz w:val="19"/>
                <w:szCs w:val="19"/>
                <w:color w:val="auto"/>
              </w:rPr>
            </w:pPr>
          </w:p>
        </w:tc>
      </w:tr>
      <w:tr>
        <w:trPr>
          <w:trHeight w:val="64"/>
        </w:trPr>
        <w:tc>
          <w:tcPr>
            <w:tcW w:w="2680" w:type="dxa"/>
            <w:vAlign w:val="bottom"/>
            <w:tcBorders>
              <w:left w:val="single" w:sz="8" w:color="auto"/>
              <w:bottom w:val="single" w:sz="8" w:color="auto"/>
              <w:right w:val="single" w:sz="8" w:color="auto"/>
            </w:tcBorders>
          </w:tcPr>
          <w:p>
            <w:pPr>
              <w:spacing w:after="0"/>
              <w:rPr>
                <w:sz w:val="5"/>
                <w:szCs w:val="5"/>
                <w:color w:val="auto"/>
              </w:rPr>
            </w:pPr>
          </w:p>
        </w:tc>
        <w:tc>
          <w:tcPr>
            <w:tcW w:w="1980" w:type="dxa"/>
            <w:vAlign w:val="bottom"/>
            <w:tcBorders>
              <w:bottom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3220" w:type="dxa"/>
            <w:vAlign w:val="bottom"/>
            <w:tcBorders>
              <w:bottom w:val="single" w:sz="8" w:color="auto"/>
              <w:right w:val="single" w:sz="8" w:color="auto"/>
            </w:tcBorders>
          </w:tcPr>
          <w:p>
            <w:pPr>
              <w:spacing w:after="0"/>
              <w:rPr>
                <w:sz w:val="5"/>
                <w:szCs w:val="5"/>
                <w:color w:val="auto"/>
              </w:rPr>
            </w:pPr>
          </w:p>
        </w:tc>
        <w:tc>
          <w:tcPr>
            <w:tcW w:w="2340" w:type="dxa"/>
            <w:vAlign w:val="bottom"/>
            <w:tcBorders>
              <w:bottom w:val="single" w:sz="8" w:color="auto"/>
              <w:right w:val="single" w:sz="8" w:color="auto"/>
            </w:tcBorders>
          </w:tcPr>
          <w:p>
            <w:pPr>
              <w:spacing w:after="0"/>
              <w:rPr>
                <w:sz w:val="5"/>
                <w:szCs w:val="5"/>
                <w:color w:val="auto"/>
              </w:rPr>
            </w:pPr>
          </w:p>
        </w:tc>
      </w:tr>
      <w:tr>
        <w:trPr>
          <w:trHeight w:val="241"/>
        </w:trPr>
        <w:tc>
          <w:tcPr>
            <w:tcW w:w="2680" w:type="dxa"/>
            <w:vAlign w:val="bottom"/>
            <w:tcBorders>
              <w:left w:val="single" w:sz="8" w:color="auto"/>
              <w:bottom w:val="single" w:sz="8" w:color="D9D9D9"/>
              <w:right w:val="single" w:sz="8" w:color="auto"/>
            </w:tcBorders>
            <w:shd w:val="clear" w:color="auto" w:fill="D9D9D9"/>
          </w:tcPr>
          <w:p>
            <w:pPr>
              <w:ind w:left="40"/>
              <w:spacing w:after="0" w:line="208" w:lineRule="exact"/>
              <w:rPr>
                <w:sz w:val="20"/>
                <w:szCs w:val="20"/>
                <w:color w:val="auto"/>
              </w:rPr>
            </w:pPr>
            <w:r>
              <w:rPr>
                <w:rFonts w:ascii="Calibri" w:cs="Calibri" w:eastAsia="Calibri" w:hAnsi="Calibri"/>
                <w:sz w:val="18"/>
                <w:szCs w:val="18"/>
                <w:color w:val="auto"/>
              </w:rPr>
              <w:t>Sheila G. Talton</w:t>
            </w:r>
          </w:p>
        </w:tc>
        <w:tc>
          <w:tcPr>
            <w:tcW w:w="1980" w:type="dxa"/>
            <w:vAlign w:val="bottom"/>
            <w:tcBorders>
              <w:bottom w:val="single" w:sz="8" w:color="D9D9D9"/>
            </w:tcBorders>
            <w:shd w:val="clear" w:color="auto" w:fill="D9D9D9"/>
          </w:tcPr>
          <w:p>
            <w:pPr>
              <w:spacing w:after="0"/>
              <w:rPr>
                <w:sz w:val="20"/>
                <w:szCs w:val="20"/>
                <w:color w:val="auto"/>
              </w:rPr>
            </w:pPr>
          </w:p>
        </w:tc>
        <w:tc>
          <w:tcPr>
            <w:tcW w:w="1020" w:type="dxa"/>
            <w:vAlign w:val="bottom"/>
            <w:tcBorders>
              <w:bottom w:val="single" w:sz="8" w:color="D9D9D9"/>
              <w:right w:val="single" w:sz="8" w:color="auto"/>
            </w:tcBorders>
            <w:shd w:val="clear" w:color="auto" w:fill="D9D9D9"/>
          </w:tcPr>
          <w:p>
            <w:pPr>
              <w:jc w:val="right"/>
              <w:ind w:right="50"/>
              <w:spacing w:after="0" w:line="208" w:lineRule="exact"/>
              <w:rPr>
                <w:sz w:val="20"/>
                <w:szCs w:val="20"/>
                <w:color w:val="auto"/>
              </w:rPr>
            </w:pPr>
            <w:r>
              <w:rPr>
                <w:rFonts w:ascii="Calibri" w:cs="Calibri" w:eastAsia="Calibri" w:hAnsi="Calibri"/>
                <w:sz w:val="18"/>
                <w:szCs w:val="18"/>
                <w:color w:val="auto"/>
              </w:rPr>
              <w:t>38,200</w:t>
            </w:r>
          </w:p>
        </w:tc>
        <w:tc>
          <w:tcPr>
            <w:tcW w:w="3220" w:type="dxa"/>
            <w:vAlign w:val="bottom"/>
            <w:tcBorders>
              <w:bottom w:val="single" w:sz="8" w:color="D9D9D9"/>
              <w:right w:val="single" w:sz="8" w:color="D9D9D9"/>
            </w:tcBorders>
            <w:shd w:val="clear" w:color="auto" w:fill="D9D9D9"/>
          </w:tcPr>
          <w:p>
            <w:pPr>
              <w:ind w:left="20"/>
              <w:spacing w:after="0" w:line="208" w:lineRule="exact"/>
              <w:rPr>
                <w:sz w:val="20"/>
                <w:szCs w:val="20"/>
                <w:color w:val="auto"/>
              </w:rPr>
            </w:pPr>
            <w:r>
              <w:rPr>
                <w:rFonts w:ascii="Calibri" w:cs="Calibri" w:eastAsia="Calibri" w:hAnsi="Calibri"/>
                <w:sz w:val="18"/>
                <w:szCs w:val="18"/>
                <w:color w:val="auto"/>
              </w:rPr>
              <w:t>All Executve Ofcers and Directors</w:t>
            </w:r>
          </w:p>
        </w:tc>
        <w:tc>
          <w:tcPr>
            <w:tcW w:w="2340" w:type="dxa"/>
            <w:vAlign w:val="bottom"/>
            <w:tcBorders>
              <w:bottom w:val="single" w:sz="8" w:color="D9D9D9"/>
              <w:right w:val="single" w:sz="8" w:color="auto"/>
            </w:tcBorders>
            <w:shd w:val="clear" w:color="auto" w:fill="D9D9D9"/>
          </w:tcPr>
          <w:p>
            <w:pPr>
              <w:jc w:val="right"/>
              <w:ind w:right="30"/>
              <w:spacing w:after="0" w:line="208" w:lineRule="exact"/>
              <w:rPr>
                <w:sz w:val="20"/>
                <w:szCs w:val="20"/>
                <w:color w:val="auto"/>
              </w:rPr>
            </w:pPr>
            <w:r>
              <w:rPr>
                <w:rFonts w:ascii="Calibri" w:cs="Calibri" w:eastAsia="Calibri" w:hAnsi="Calibri"/>
                <w:sz w:val="18"/>
                <w:szCs w:val="18"/>
                <w:color w:val="auto"/>
              </w:rPr>
              <w:t>1,067,306</w:t>
            </w:r>
          </w:p>
        </w:tc>
      </w:tr>
      <w:tr>
        <w:trPr>
          <w:trHeight w:val="227"/>
        </w:trPr>
        <w:tc>
          <w:tcPr>
            <w:tcW w:w="2680" w:type="dxa"/>
            <w:vAlign w:val="bottom"/>
            <w:tcBorders>
              <w:top w:val="single" w:sz="8" w:color="auto"/>
              <w:left w:val="single" w:sz="8" w:color="auto"/>
              <w:right w:val="single" w:sz="8" w:color="auto"/>
            </w:tcBorders>
          </w:tcPr>
          <w:p>
            <w:pPr>
              <w:spacing w:after="0"/>
              <w:rPr>
                <w:sz w:val="19"/>
                <w:szCs w:val="19"/>
                <w:color w:val="auto"/>
              </w:rPr>
            </w:pPr>
          </w:p>
        </w:tc>
        <w:tc>
          <w:tcPr>
            <w:tcW w:w="1980" w:type="dxa"/>
            <w:vAlign w:val="bottom"/>
            <w:tcBorders>
              <w:top w:val="single" w:sz="8" w:color="auto"/>
            </w:tcBorders>
          </w:tcPr>
          <w:p>
            <w:pPr>
              <w:spacing w:after="0"/>
              <w:rPr>
                <w:sz w:val="19"/>
                <w:szCs w:val="19"/>
                <w:color w:val="auto"/>
              </w:rPr>
            </w:pPr>
          </w:p>
        </w:tc>
        <w:tc>
          <w:tcPr>
            <w:tcW w:w="1020" w:type="dxa"/>
            <w:vAlign w:val="bottom"/>
            <w:tcBorders>
              <w:top w:val="single" w:sz="8" w:color="auto"/>
              <w:right w:val="single" w:sz="8" w:color="auto"/>
            </w:tcBorders>
          </w:tcPr>
          <w:p>
            <w:pPr>
              <w:spacing w:after="0"/>
              <w:rPr>
                <w:sz w:val="19"/>
                <w:szCs w:val="19"/>
                <w:color w:val="auto"/>
              </w:rPr>
            </w:pPr>
          </w:p>
        </w:tc>
        <w:tc>
          <w:tcPr>
            <w:tcW w:w="3220" w:type="dxa"/>
            <w:vAlign w:val="bottom"/>
            <w:tcBorders>
              <w:top w:val="single" w:sz="8" w:color="D9D9D9"/>
              <w:right w:val="single" w:sz="8" w:color="auto"/>
            </w:tcBorders>
          </w:tcPr>
          <w:p>
            <w:pPr>
              <w:ind w:left="20"/>
              <w:spacing w:after="0"/>
              <w:rPr>
                <w:sz w:val="20"/>
                <w:szCs w:val="20"/>
                <w:color w:val="auto"/>
              </w:rPr>
            </w:pPr>
            <w:r>
              <w:rPr>
                <w:rFonts w:ascii="Calibri" w:cs="Calibri" w:eastAsia="Calibri" w:hAnsi="Calibri"/>
                <w:sz w:val="18"/>
                <w:szCs w:val="18"/>
                <w:color w:val="auto"/>
              </w:rPr>
              <w:t>(as a group of 25 persons)</w:t>
            </w:r>
          </w:p>
        </w:tc>
        <w:tc>
          <w:tcPr>
            <w:tcW w:w="2340" w:type="dxa"/>
            <w:vAlign w:val="bottom"/>
            <w:tcBorders>
              <w:top w:val="single" w:sz="8" w:color="D9D9D9"/>
              <w:right w:val="single" w:sz="8" w:color="auto"/>
            </w:tcBorders>
          </w:tcPr>
          <w:p>
            <w:pPr>
              <w:spacing w:after="0"/>
              <w:rPr>
                <w:sz w:val="19"/>
                <w:szCs w:val="19"/>
                <w:color w:val="auto"/>
              </w:rPr>
            </w:pPr>
          </w:p>
        </w:tc>
      </w:tr>
      <w:tr>
        <w:trPr>
          <w:trHeight w:val="64"/>
        </w:trPr>
        <w:tc>
          <w:tcPr>
            <w:tcW w:w="2680" w:type="dxa"/>
            <w:vAlign w:val="bottom"/>
            <w:tcBorders>
              <w:left w:val="single" w:sz="8" w:color="auto"/>
              <w:bottom w:val="single" w:sz="8" w:color="auto"/>
              <w:right w:val="single" w:sz="8" w:color="auto"/>
            </w:tcBorders>
          </w:tcPr>
          <w:p>
            <w:pPr>
              <w:spacing w:after="0"/>
              <w:rPr>
                <w:sz w:val="5"/>
                <w:szCs w:val="5"/>
                <w:color w:val="auto"/>
              </w:rPr>
            </w:pPr>
          </w:p>
        </w:tc>
        <w:tc>
          <w:tcPr>
            <w:tcW w:w="1980" w:type="dxa"/>
            <w:vAlign w:val="bottom"/>
            <w:tcBorders>
              <w:bottom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3220" w:type="dxa"/>
            <w:vAlign w:val="bottom"/>
            <w:tcBorders>
              <w:bottom w:val="single" w:sz="8" w:color="auto"/>
              <w:right w:val="single" w:sz="8" w:color="auto"/>
            </w:tcBorders>
          </w:tcPr>
          <w:p>
            <w:pPr>
              <w:spacing w:after="0"/>
              <w:rPr>
                <w:sz w:val="5"/>
                <w:szCs w:val="5"/>
                <w:color w:val="auto"/>
              </w:rPr>
            </w:pPr>
          </w:p>
        </w:tc>
        <w:tc>
          <w:tcPr>
            <w:tcW w:w="2340" w:type="dxa"/>
            <w:vAlign w:val="bottom"/>
            <w:tcBorders>
              <w:bottom w:val="single" w:sz="8" w:color="auto"/>
              <w:right w:val="single" w:sz="8" w:color="auto"/>
            </w:tcBorders>
          </w:tcPr>
          <w:p>
            <w:pPr>
              <w:spacing w:after="0"/>
              <w:rPr>
                <w:sz w:val="5"/>
                <w:szCs w:val="5"/>
                <w:color w:val="auto"/>
              </w:rPr>
            </w:pPr>
          </w:p>
        </w:tc>
      </w:tr>
      <w:tr>
        <w:trPr>
          <w:trHeight w:val="217"/>
        </w:trPr>
        <w:tc>
          <w:tcPr>
            <w:tcW w:w="2680" w:type="dxa"/>
            <w:vAlign w:val="bottom"/>
            <w:tcBorders>
              <w:left w:val="single" w:sz="8" w:color="auto"/>
              <w:bottom w:val="single" w:sz="8" w:color="D9D9D9"/>
              <w:right w:val="single" w:sz="8" w:color="auto"/>
            </w:tcBorders>
            <w:shd w:val="clear" w:color="auto" w:fill="D9D9D9"/>
          </w:tcPr>
          <w:p>
            <w:pPr>
              <w:ind w:left="40"/>
              <w:spacing w:after="0" w:line="208" w:lineRule="exact"/>
              <w:rPr>
                <w:sz w:val="20"/>
                <w:szCs w:val="20"/>
                <w:color w:val="auto"/>
              </w:rPr>
            </w:pPr>
            <w:r>
              <w:rPr>
                <w:rFonts w:ascii="Calibri" w:cs="Calibri" w:eastAsia="Calibri" w:hAnsi="Calibri"/>
                <w:sz w:val="18"/>
                <w:szCs w:val="18"/>
                <w:color w:val="auto"/>
              </w:rPr>
              <w:t>BlackRock, Inc. (3)</w:t>
            </w:r>
          </w:p>
        </w:tc>
        <w:tc>
          <w:tcPr>
            <w:tcW w:w="1980" w:type="dxa"/>
            <w:vAlign w:val="bottom"/>
            <w:tcBorders>
              <w:bottom w:val="single" w:sz="8" w:color="D9D9D9"/>
            </w:tcBorders>
            <w:shd w:val="clear" w:color="auto" w:fill="D9D9D9"/>
          </w:tcPr>
          <w:p>
            <w:pPr>
              <w:spacing w:after="0"/>
              <w:rPr>
                <w:sz w:val="18"/>
                <w:szCs w:val="18"/>
                <w:color w:val="auto"/>
              </w:rPr>
            </w:pPr>
          </w:p>
        </w:tc>
        <w:tc>
          <w:tcPr>
            <w:tcW w:w="1020" w:type="dxa"/>
            <w:vAlign w:val="bottom"/>
            <w:tcBorders>
              <w:bottom w:val="single" w:sz="8" w:color="D9D9D9"/>
              <w:right w:val="single" w:sz="8" w:color="auto"/>
            </w:tcBorders>
            <w:shd w:val="clear" w:color="auto" w:fill="D9D9D9"/>
          </w:tcPr>
          <w:p>
            <w:pPr>
              <w:jc w:val="right"/>
              <w:ind w:right="50"/>
              <w:spacing w:after="0" w:line="208" w:lineRule="exact"/>
              <w:rPr>
                <w:sz w:val="20"/>
                <w:szCs w:val="20"/>
                <w:color w:val="auto"/>
              </w:rPr>
            </w:pPr>
            <w:r>
              <w:rPr>
                <w:rFonts w:ascii="Calibri" w:cs="Calibri" w:eastAsia="Calibri" w:hAnsi="Calibri"/>
                <w:sz w:val="18"/>
                <w:szCs w:val="18"/>
                <w:color w:val="auto"/>
              </w:rPr>
              <w:t>24,893,403</w:t>
            </w:r>
          </w:p>
        </w:tc>
        <w:tc>
          <w:tcPr>
            <w:tcW w:w="3220" w:type="dxa"/>
            <w:vAlign w:val="bottom"/>
            <w:tcBorders>
              <w:bottom w:val="single" w:sz="8" w:color="D9D9D9"/>
              <w:right w:val="single" w:sz="8" w:color="auto"/>
            </w:tcBorders>
            <w:shd w:val="clear" w:color="auto" w:fill="D9D9D9"/>
          </w:tcPr>
          <w:p>
            <w:pPr>
              <w:ind w:left="20"/>
              <w:spacing w:after="0" w:line="208" w:lineRule="exact"/>
              <w:rPr>
                <w:sz w:val="20"/>
                <w:szCs w:val="20"/>
                <w:color w:val="auto"/>
              </w:rPr>
            </w:pPr>
            <w:r>
              <w:rPr>
                <w:rFonts w:ascii="Calibri" w:cs="Calibri" w:eastAsia="Calibri" w:hAnsi="Calibri"/>
                <w:sz w:val="18"/>
                <w:szCs w:val="18"/>
                <w:color w:val="auto"/>
              </w:rPr>
              <w:t>The Vanguard Group (4)</w:t>
            </w:r>
          </w:p>
        </w:tc>
        <w:tc>
          <w:tcPr>
            <w:tcW w:w="2340" w:type="dxa"/>
            <w:vAlign w:val="bottom"/>
            <w:tcBorders>
              <w:bottom w:val="single" w:sz="8" w:color="D9D9D9"/>
              <w:right w:val="single" w:sz="8" w:color="auto"/>
            </w:tcBorders>
            <w:shd w:val="clear" w:color="auto" w:fill="D9D9D9"/>
          </w:tcPr>
          <w:p>
            <w:pPr>
              <w:jc w:val="right"/>
              <w:ind w:right="30"/>
              <w:spacing w:after="0" w:line="208" w:lineRule="exact"/>
              <w:rPr>
                <w:sz w:val="20"/>
                <w:szCs w:val="20"/>
                <w:color w:val="auto"/>
              </w:rPr>
            </w:pPr>
            <w:r>
              <w:rPr>
                <w:rFonts w:ascii="Calibri" w:cs="Calibri" w:eastAsia="Calibri" w:hAnsi="Calibri"/>
                <w:sz w:val="18"/>
                <w:szCs w:val="18"/>
                <w:color w:val="auto"/>
              </w:rPr>
              <w:t>21,173,212</w:t>
            </w:r>
          </w:p>
        </w:tc>
      </w:tr>
      <w:tr>
        <w:trPr>
          <w:trHeight w:val="233"/>
        </w:trPr>
        <w:tc>
          <w:tcPr>
            <w:tcW w:w="2680" w:type="dxa"/>
            <w:vAlign w:val="bottom"/>
            <w:tcBorders>
              <w:left w:val="single" w:sz="8" w:color="auto"/>
              <w:right w:val="single" w:sz="8" w:color="auto"/>
            </w:tcBorders>
          </w:tcPr>
          <w:p>
            <w:pPr>
              <w:ind w:left="40"/>
              <w:spacing w:after="0"/>
              <w:rPr>
                <w:sz w:val="20"/>
                <w:szCs w:val="20"/>
                <w:color w:val="auto"/>
              </w:rPr>
            </w:pPr>
            <w:r>
              <w:rPr>
                <w:rFonts w:ascii="Calibri" w:cs="Calibri" w:eastAsia="Calibri" w:hAnsi="Calibri"/>
                <w:sz w:val="18"/>
                <w:szCs w:val="18"/>
                <w:color w:val="auto"/>
              </w:rPr>
              <w:t>55 East 52nd Street</w:t>
            </w:r>
          </w:p>
        </w:tc>
        <w:tc>
          <w:tcPr>
            <w:tcW w:w="198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3220" w:type="dxa"/>
            <w:vAlign w:val="bottom"/>
            <w:tcBorders>
              <w:right w:val="single" w:sz="8" w:color="auto"/>
            </w:tcBorders>
          </w:tcPr>
          <w:p>
            <w:pPr>
              <w:ind w:left="20"/>
              <w:spacing w:after="0"/>
              <w:rPr>
                <w:sz w:val="20"/>
                <w:szCs w:val="20"/>
                <w:color w:val="auto"/>
              </w:rPr>
            </w:pPr>
            <w:r>
              <w:rPr>
                <w:rFonts w:ascii="Calibri" w:cs="Calibri" w:eastAsia="Calibri" w:hAnsi="Calibri"/>
                <w:sz w:val="18"/>
                <w:szCs w:val="18"/>
                <w:color w:val="auto"/>
              </w:rPr>
              <w:t>100 Vanguard Blvd.</w:t>
            </w:r>
          </w:p>
        </w:tc>
        <w:tc>
          <w:tcPr>
            <w:tcW w:w="2340" w:type="dxa"/>
            <w:vAlign w:val="bottom"/>
            <w:tcBorders>
              <w:right w:val="single" w:sz="8" w:color="auto"/>
            </w:tcBorders>
          </w:tcPr>
          <w:p>
            <w:pPr>
              <w:spacing w:after="0"/>
              <w:rPr>
                <w:sz w:val="20"/>
                <w:szCs w:val="20"/>
                <w:color w:val="auto"/>
              </w:rPr>
            </w:pPr>
          </w:p>
        </w:tc>
      </w:tr>
      <w:tr>
        <w:trPr>
          <w:trHeight w:val="64"/>
        </w:trPr>
        <w:tc>
          <w:tcPr>
            <w:tcW w:w="2680" w:type="dxa"/>
            <w:vAlign w:val="bottom"/>
            <w:tcBorders>
              <w:left w:val="single" w:sz="8" w:color="auto"/>
              <w:right w:val="single" w:sz="8" w:color="auto"/>
            </w:tcBorders>
          </w:tcPr>
          <w:p>
            <w:pPr>
              <w:spacing w:after="0"/>
              <w:rPr>
                <w:sz w:val="5"/>
                <w:szCs w:val="5"/>
                <w:color w:val="auto"/>
              </w:rPr>
            </w:pPr>
          </w:p>
        </w:tc>
        <w:tc>
          <w:tcPr>
            <w:tcW w:w="1980" w:type="dxa"/>
            <w:vAlign w:val="bottom"/>
          </w:tcPr>
          <w:p>
            <w:pPr>
              <w:spacing w:after="0"/>
              <w:rPr>
                <w:sz w:val="5"/>
                <w:szCs w:val="5"/>
                <w:color w:val="auto"/>
              </w:rPr>
            </w:pPr>
          </w:p>
        </w:tc>
        <w:tc>
          <w:tcPr>
            <w:tcW w:w="1020" w:type="dxa"/>
            <w:vAlign w:val="bottom"/>
            <w:tcBorders>
              <w:right w:val="single" w:sz="8" w:color="auto"/>
            </w:tcBorders>
          </w:tcPr>
          <w:p>
            <w:pPr>
              <w:spacing w:after="0"/>
              <w:rPr>
                <w:sz w:val="5"/>
                <w:szCs w:val="5"/>
                <w:color w:val="auto"/>
              </w:rPr>
            </w:pPr>
          </w:p>
        </w:tc>
        <w:tc>
          <w:tcPr>
            <w:tcW w:w="3220" w:type="dxa"/>
            <w:vAlign w:val="bottom"/>
            <w:tcBorders>
              <w:right w:val="single" w:sz="8" w:color="auto"/>
            </w:tcBorders>
          </w:tcPr>
          <w:p>
            <w:pPr>
              <w:spacing w:after="0"/>
              <w:rPr>
                <w:sz w:val="5"/>
                <w:szCs w:val="5"/>
                <w:color w:val="auto"/>
              </w:rPr>
            </w:pPr>
          </w:p>
        </w:tc>
        <w:tc>
          <w:tcPr>
            <w:tcW w:w="2340" w:type="dxa"/>
            <w:vAlign w:val="bottom"/>
            <w:tcBorders>
              <w:right w:val="single" w:sz="8" w:color="auto"/>
            </w:tcBorders>
          </w:tcPr>
          <w:p>
            <w:pPr>
              <w:spacing w:after="0"/>
              <w:rPr>
                <w:sz w:val="5"/>
                <w:szCs w:val="5"/>
                <w:color w:val="auto"/>
              </w:rPr>
            </w:pPr>
          </w:p>
        </w:tc>
      </w:tr>
      <w:tr>
        <w:trPr>
          <w:trHeight w:val="233"/>
        </w:trPr>
        <w:tc>
          <w:tcPr>
            <w:tcW w:w="2680" w:type="dxa"/>
            <w:vAlign w:val="bottom"/>
            <w:tcBorders>
              <w:left w:val="single" w:sz="8" w:color="auto"/>
              <w:right w:val="single" w:sz="8" w:color="auto"/>
            </w:tcBorders>
            <w:shd w:val="clear" w:color="auto" w:fill="D9D9D9"/>
          </w:tcPr>
          <w:p>
            <w:pPr>
              <w:ind w:left="40"/>
              <w:spacing w:after="0"/>
              <w:rPr>
                <w:sz w:val="20"/>
                <w:szCs w:val="20"/>
                <w:color w:val="auto"/>
              </w:rPr>
            </w:pPr>
            <w:r>
              <w:rPr>
                <w:rFonts w:ascii="Calibri" w:cs="Calibri" w:eastAsia="Calibri" w:hAnsi="Calibri"/>
                <w:sz w:val="18"/>
                <w:szCs w:val="18"/>
                <w:color w:val="auto"/>
              </w:rPr>
              <w:t>New York, NY 10055</w:t>
            </w:r>
          </w:p>
        </w:tc>
        <w:tc>
          <w:tcPr>
            <w:tcW w:w="1980" w:type="dxa"/>
            <w:vAlign w:val="bottom"/>
            <w:shd w:val="clear" w:color="auto" w:fill="D9D9D9"/>
          </w:tcPr>
          <w:p>
            <w:pPr>
              <w:spacing w:after="0"/>
              <w:rPr>
                <w:sz w:val="20"/>
                <w:szCs w:val="20"/>
                <w:color w:val="auto"/>
              </w:rPr>
            </w:pPr>
          </w:p>
        </w:tc>
        <w:tc>
          <w:tcPr>
            <w:tcW w:w="1020" w:type="dxa"/>
            <w:vAlign w:val="bottom"/>
            <w:tcBorders>
              <w:right w:val="single" w:sz="8" w:color="auto"/>
            </w:tcBorders>
            <w:shd w:val="clear" w:color="auto" w:fill="D9D9D9"/>
          </w:tcPr>
          <w:p>
            <w:pPr>
              <w:spacing w:after="0"/>
              <w:rPr>
                <w:sz w:val="20"/>
                <w:szCs w:val="20"/>
                <w:color w:val="auto"/>
              </w:rPr>
            </w:pPr>
          </w:p>
        </w:tc>
        <w:tc>
          <w:tcPr>
            <w:tcW w:w="3220" w:type="dxa"/>
            <w:vAlign w:val="bottom"/>
            <w:tcBorders>
              <w:right w:val="single" w:sz="8" w:color="auto"/>
            </w:tcBorders>
            <w:shd w:val="clear" w:color="auto" w:fill="D9D9D9"/>
          </w:tcPr>
          <w:p>
            <w:pPr>
              <w:ind w:left="20"/>
              <w:spacing w:after="0"/>
              <w:rPr>
                <w:sz w:val="20"/>
                <w:szCs w:val="20"/>
                <w:color w:val="auto"/>
              </w:rPr>
            </w:pPr>
            <w:r>
              <w:rPr>
                <w:rFonts w:ascii="Calibri" w:cs="Calibri" w:eastAsia="Calibri" w:hAnsi="Calibri"/>
                <w:sz w:val="18"/>
                <w:szCs w:val="18"/>
                <w:color w:val="auto"/>
              </w:rPr>
              <w:t>Malvern, PA 19355</w:t>
            </w:r>
          </w:p>
        </w:tc>
        <w:tc>
          <w:tcPr>
            <w:tcW w:w="2340" w:type="dxa"/>
            <w:vAlign w:val="bottom"/>
            <w:tcBorders>
              <w:right w:val="single" w:sz="8" w:color="auto"/>
            </w:tcBorders>
            <w:shd w:val="clear" w:color="auto" w:fill="D9D9D9"/>
          </w:tcPr>
          <w:p>
            <w:pPr>
              <w:spacing w:after="0"/>
              <w:rPr>
                <w:sz w:val="20"/>
                <w:szCs w:val="20"/>
                <w:color w:val="auto"/>
              </w:rPr>
            </w:pPr>
          </w:p>
        </w:tc>
      </w:tr>
      <w:tr>
        <w:trPr>
          <w:trHeight w:val="64"/>
        </w:trPr>
        <w:tc>
          <w:tcPr>
            <w:tcW w:w="2680" w:type="dxa"/>
            <w:vAlign w:val="bottom"/>
            <w:tcBorders>
              <w:left w:val="single" w:sz="8" w:color="auto"/>
              <w:bottom w:val="single" w:sz="8" w:color="auto"/>
              <w:right w:val="single" w:sz="8" w:color="auto"/>
            </w:tcBorders>
            <w:shd w:val="clear" w:color="auto" w:fill="D9D9D9"/>
          </w:tcPr>
          <w:p>
            <w:pPr>
              <w:spacing w:after="0"/>
              <w:rPr>
                <w:sz w:val="5"/>
                <w:szCs w:val="5"/>
                <w:color w:val="auto"/>
              </w:rPr>
            </w:pPr>
          </w:p>
        </w:tc>
        <w:tc>
          <w:tcPr>
            <w:tcW w:w="1980" w:type="dxa"/>
            <w:vAlign w:val="bottom"/>
            <w:tcBorders>
              <w:bottom w:val="single" w:sz="8" w:color="auto"/>
            </w:tcBorders>
            <w:shd w:val="clear" w:color="auto" w:fill="D9D9D9"/>
          </w:tcPr>
          <w:p>
            <w:pPr>
              <w:spacing w:after="0"/>
              <w:rPr>
                <w:sz w:val="5"/>
                <w:szCs w:val="5"/>
                <w:color w:val="auto"/>
              </w:rPr>
            </w:pPr>
          </w:p>
        </w:tc>
        <w:tc>
          <w:tcPr>
            <w:tcW w:w="1020" w:type="dxa"/>
            <w:vAlign w:val="bottom"/>
            <w:tcBorders>
              <w:bottom w:val="single" w:sz="8" w:color="auto"/>
              <w:right w:val="single" w:sz="8" w:color="auto"/>
            </w:tcBorders>
            <w:shd w:val="clear" w:color="auto" w:fill="D9D9D9"/>
          </w:tcPr>
          <w:p>
            <w:pPr>
              <w:spacing w:after="0"/>
              <w:rPr>
                <w:sz w:val="5"/>
                <w:szCs w:val="5"/>
                <w:color w:val="auto"/>
              </w:rPr>
            </w:pPr>
          </w:p>
        </w:tc>
        <w:tc>
          <w:tcPr>
            <w:tcW w:w="3220" w:type="dxa"/>
            <w:vAlign w:val="bottom"/>
            <w:tcBorders>
              <w:bottom w:val="single" w:sz="8" w:color="auto"/>
              <w:right w:val="single" w:sz="8" w:color="auto"/>
            </w:tcBorders>
            <w:shd w:val="clear" w:color="auto" w:fill="D9D9D9"/>
          </w:tcPr>
          <w:p>
            <w:pPr>
              <w:spacing w:after="0"/>
              <w:rPr>
                <w:sz w:val="5"/>
                <w:szCs w:val="5"/>
                <w:color w:val="auto"/>
              </w:rPr>
            </w:pPr>
          </w:p>
        </w:tc>
        <w:tc>
          <w:tcPr>
            <w:tcW w:w="2340" w:type="dxa"/>
            <w:vAlign w:val="bottom"/>
            <w:tcBorders>
              <w:bottom w:val="single" w:sz="8" w:color="auto"/>
              <w:right w:val="single" w:sz="8" w:color="auto"/>
            </w:tcBorders>
            <w:shd w:val="clear" w:color="auto" w:fill="D9D9D9"/>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-912495</wp:posOffset>
            </wp:positionV>
            <wp:extent cx="2052955" cy="1885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052955" cy="188595"/>
                    </a:xfrm>
                    <a:prstGeom prst="rect">
                      <a:avLst/>
                    </a:prstGeom>
                    <a:noFill/>
                  </pic:spPr>
                </pic:pic>
              </a:graphicData>
            </a:graphic>
          </wp:anchor>
        </w:drawing>
      </w:r>
    </w:p>
    <w:p>
      <w:pPr>
        <w:jc w:val="both"/>
        <w:ind w:left="380" w:hanging="372"/>
        <w:spacing w:after="0" w:line="230" w:lineRule="auto"/>
        <w:tabs>
          <w:tab w:leader="none" w:pos="380" w:val="left"/>
        </w:tabs>
        <w:numPr>
          <w:ilvl w:val="0"/>
          <w:numId w:val="55"/>
        </w:numPr>
        <w:rPr>
          <w:rFonts w:ascii="Calibri" w:cs="Calibri" w:eastAsia="Calibri" w:hAnsi="Calibri"/>
          <w:sz w:val="18"/>
          <w:szCs w:val="18"/>
          <w:color w:val="auto"/>
        </w:rPr>
      </w:pPr>
      <w:r>
        <w:rPr>
          <w:rFonts w:ascii="Calibri" w:cs="Calibri" w:eastAsia="Calibri" w:hAnsi="Calibri"/>
          <w:sz w:val="18"/>
          <w:szCs w:val="18"/>
          <w:color w:val="auto"/>
        </w:rPr>
        <w:t>Ownership by each executve ofcer is less than 0.3 percent of the class, by each director other than Mr. Trauschke is less than 0.1 percent of the class and, for all executve ofcers and directors as a group, is less than 1.0 percent of the class. Amounts shown include shares for which, in certain instances, an individual has disclaimed benefcial interest. Amounts shown for executve ofcers include 95,788 shares of the Company's Common Stock representng their interest in shares held under the Company's 401(k) Plan and Deferred Compensaton Plan for which in certain instances they have votng power but not investment power.</w:t>
      </w:r>
    </w:p>
    <w:p>
      <w:pPr>
        <w:spacing w:after="0" w:line="4" w:lineRule="exact"/>
        <w:rPr>
          <w:rFonts w:ascii="Calibri" w:cs="Calibri" w:eastAsia="Calibri" w:hAnsi="Calibri"/>
          <w:sz w:val="18"/>
          <w:szCs w:val="18"/>
          <w:color w:val="auto"/>
        </w:rPr>
      </w:pPr>
    </w:p>
    <w:p>
      <w:pPr>
        <w:ind w:left="380" w:hanging="372"/>
        <w:spacing w:after="0" w:line="235" w:lineRule="auto"/>
        <w:tabs>
          <w:tab w:leader="none" w:pos="380" w:val="left"/>
        </w:tabs>
        <w:numPr>
          <w:ilvl w:val="0"/>
          <w:numId w:val="55"/>
        </w:numPr>
        <w:rPr>
          <w:rFonts w:ascii="Calibri" w:cs="Calibri" w:eastAsia="Calibri" w:hAnsi="Calibri"/>
          <w:sz w:val="18"/>
          <w:szCs w:val="18"/>
          <w:color w:val="auto"/>
        </w:rPr>
      </w:pPr>
      <w:r>
        <w:rPr>
          <w:rFonts w:ascii="Calibri" w:cs="Calibri" w:eastAsia="Calibri" w:hAnsi="Calibri"/>
          <w:sz w:val="18"/>
          <w:szCs w:val="18"/>
          <w:color w:val="auto"/>
        </w:rPr>
        <w:t>Amounts shown for Messrs. Bozich, Clarke, Hauser, Kissam, Rainbolt and Sanner and Mses. Gates, McReynolds and Talton include, 19,619; 24,034; 41,395; 13,755; 29,776; 46,747; 4,373; 52,011; and 38,200 common stock units, respectvely, under the Company's Deferred Compensaton Plan.</w:t>
      </w:r>
    </w:p>
    <w:p>
      <w:pPr>
        <w:spacing w:after="0" w:line="1" w:lineRule="exact"/>
        <w:rPr>
          <w:rFonts w:ascii="Calibri" w:cs="Calibri" w:eastAsia="Calibri" w:hAnsi="Calibri"/>
          <w:sz w:val="18"/>
          <w:szCs w:val="18"/>
          <w:color w:val="auto"/>
        </w:rPr>
      </w:pPr>
    </w:p>
    <w:p>
      <w:pPr>
        <w:ind w:left="380" w:hanging="372"/>
        <w:spacing w:after="0" w:line="235" w:lineRule="auto"/>
        <w:tabs>
          <w:tab w:leader="none" w:pos="380" w:val="left"/>
        </w:tabs>
        <w:numPr>
          <w:ilvl w:val="0"/>
          <w:numId w:val="55"/>
        </w:numPr>
        <w:rPr>
          <w:rFonts w:ascii="Calibri" w:cs="Calibri" w:eastAsia="Calibri" w:hAnsi="Calibri"/>
          <w:sz w:val="18"/>
          <w:szCs w:val="18"/>
          <w:color w:val="auto"/>
        </w:rPr>
      </w:pPr>
      <w:r>
        <w:rPr>
          <w:rFonts w:ascii="Calibri" w:cs="Calibri" w:eastAsia="Calibri" w:hAnsi="Calibri"/>
          <w:sz w:val="18"/>
          <w:szCs w:val="18"/>
          <w:color w:val="auto"/>
        </w:rPr>
        <w:t>Based on a Schedule 13G fled on January 23, 2024, BlackRock, Inc. along with certain other afliates, is deemed to benefcially own these shares. These shares represented 12.4 percent of the Company's outstanding Common Stock on March 18, 2024.</w:t>
      </w:r>
    </w:p>
    <w:p>
      <w:pPr>
        <w:spacing w:after="0" w:line="1" w:lineRule="exact"/>
        <w:rPr>
          <w:rFonts w:ascii="Calibri" w:cs="Calibri" w:eastAsia="Calibri" w:hAnsi="Calibri"/>
          <w:sz w:val="18"/>
          <w:szCs w:val="18"/>
          <w:color w:val="auto"/>
        </w:rPr>
      </w:pPr>
    </w:p>
    <w:p>
      <w:pPr>
        <w:ind w:left="380" w:hanging="372"/>
        <w:spacing w:after="0" w:line="235" w:lineRule="auto"/>
        <w:tabs>
          <w:tab w:leader="none" w:pos="380" w:val="left"/>
        </w:tabs>
        <w:numPr>
          <w:ilvl w:val="0"/>
          <w:numId w:val="55"/>
        </w:numPr>
        <w:rPr>
          <w:rFonts w:ascii="Calibri" w:cs="Calibri" w:eastAsia="Calibri" w:hAnsi="Calibri"/>
          <w:sz w:val="18"/>
          <w:szCs w:val="18"/>
          <w:color w:val="auto"/>
        </w:rPr>
      </w:pPr>
      <w:r>
        <w:rPr>
          <w:rFonts w:ascii="Calibri" w:cs="Calibri" w:eastAsia="Calibri" w:hAnsi="Calibri"/>
          <w:sz w:val="18"/>
          <w:szCs w:val="18"/>
          <w:color w:val="auto"/>
        </w:rPr>
        <w:t>Based on a Schedule 13G fled on February 13, 2024, The Vanguard Group along with certain other afliates, is deemed to benefcially own these shares. These shares represented 10.6 percent of the Company's outstanding Common Stock on March 18, 2024.</w:t>
      </w:r>
    </w:p>
    <w:p>
      <w:pPr>
        <w:spacing w:after="0" w:line="218" w:lineRule="exact"/>
        <w:rPr>
          <w:sz w:val="20"/>
          <w:szCs w:val="20"/>
          <w:color w:val="auto"/>
        </w:rPr>
      </w:pPr>
    </w:p>
    <w:p>
      <w:pPr>
        <w:ind w:firstLine="374"/>
        <w:spacing w:after="0" w:line="235" w:lineRule="auto"/>
        <w:rPr>
          <w:sz w:val="20"/>
          <w:szCs w:val="20"/>
          <w:color w:val="auto"/>
        </w:rPr>
      </w:pPr>
      <w:r>
        <w:rPr>
          <w:rFonts w:ascii="Calibri" w:cs="Calibri" w:eastAsia="Calibri" w:hAnsi="Calibri"/>
          <w:sz w:val="18"/>
          <w:szCs w:val="18"/>
          <w:color w:val="auto"/>
        </w:rPr>
        <w:t>The informaton on share ownership is based on informaton furnished to us by the individuals listed above and all shares listed are benefcially owned by the individuals or by members of their immediate family unless otherwise indicated.</w:t>
      </w:r>
    </w:p>
    <w:p>
      <w:pPr>
        <w:spacing w:after="0" w:line="172" w:lineRule="exact"/>
        <w:rPr>
          <w:sz w:val="20"/>
          <w:szCs w:val="20"/>
          <w:color w:val="auto"/>
        </w:rPr>
      </w:pPr>
    </w:p>
    <w:p>
      <w:pPr>
        <w:spacing w:after="0"/>
        <w:tabs>
          <w:tab w:leader="none" w:pos="660" w:val="left"/>
        </w:tabs>
        <w:rPr>
          <w:sz w:val="20"/>
          <w:szCs w:val="20"/>
          <w:color w:val="auto"/>
        </w:rPr>
      </w:pPr>
      <w:r>
        <w:rPr>
          <w:rFonts w:ascii="Calibri" w:cs="Calibri" w:eastAsia="Calibri" w:hAnsi="Calibri"/>
          <w:sz w:val="18"/>
          <w:szCs w:val="18"/>
          <w:color w:val="auto"/>
        </w:rPr>
        <w:t>56</w:t>
      </w:r>
      <w:r>
        <w:rPr>
          <w:sz w:val="20"/>
          <w:szCs w:val="20"/>
          <w:color w:val="auto"/>
        </w:rPr>
        <w:tab/>
      </w:r>
      <w:r>
        <w:rPr>
          <w:rFonts w:ascii="Calibri" w:cs="Calibri" w:eastAsia="Calibri" w:hAnsi="Calibri"/>
          <w:sz w:val="18"/>
          <w:szCs w:val="18"/>
          <w:b w:val="1"/>
          <w:bCs w:val="1"/>
          <w:color w:val="EE2724"/>
        </w:rPr>
        <w:t xml:space="preserve">OGE Energy Corp. </w:t>
      </w:r>
      <w:r>
        <w:rPr>
          <w:rFonts w:ascii="Calibri" w:cs="Calibri" w:eastAsia="Calibri" w:hAnsi="Calibri"/>
          <w:sz w:val="18"/>
          <w:szCs w:val="18"/>
          <w:color w:val="00000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62" w:name="page63"/>
    <w:bookmarkEnd w:id="62"/>
    <w:p>
      <w:pPr>
        <w:ind w:left="380"/>
        <w:spacing w:after="0"/>
        <w:rPr>
          <w:sz w:val="20"/>
          <w:szCs w:val="20"/>
          <w:color w:val="auto"/>
        </w:rPr>
      </w:pPr>
      <w:r>
        <w:rPr>
          <w:rFonts w:ascii="Calibri" w:cs="Calibri" w:eastAsia="Calibri" w:hAnsi="Calibri"/>
          <w:sz w:val="18"/>
          <w:szCs w:val="18"/>
          <w:b w:val="1"/>
          <w:bCs w:val="1"/>
          <w:color w:val="auto"/>
        </w:rPr>
        <w:t xml:space="preserve">Equity Compensaton Plan Informaton. </w:t>
      </w:r>
      <w:r>
        <w:rPr>
          <w:rFonts w:ascii="Calibri" w:cs="Calibri" w:eastAsia="Calibri" w:hAnsi="Calibri"/>
          <w:sz w:val="18"/>
          <w:szCs w:val="18"/>
          <w:color w:val="auto"/>
        </w:rPr>
        <w:t>The following table provides certain informaton as of December 31, 2023 with respect to the shares of the</w:t>
      </w:r>
    </w:p>
    <w:p>
      <w:pPr>
        <w:spacing w:after="0" w:line="235" w:lineRule="auto"/>
        <w:rPr>
          <w:sz w:val="20"/>
          <w:szCs w:val="20"/>
          <w:color w:val="auto"/>
        </w:rPr>
      </w:pPr>
      <w:r>
        <w:rPr>
          <w:rFonts w:ascii="Calibri" w:cs="Calibri" w:eastAsia="Calibri" w:hAnsi="Calibri"/>
          <w:sz w:val="18"/>
          <w:szCs w:val="18"/>
          <w:color w:val="auto"/>
        </w:rPr>
        <w:t>Company's Common Stock that may be issued under the existng equity compensaton plan:</w:t>
      </w:r>
    </w:p>
    <w:p>
      <w:pPr>
        <w:spacing w:after="0" w:line="4"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4940" w:type="dxa"/>
            <w:vAlign w:val="bottom"/>
            <w:tcBorders>
              <w:top w:val="single" w:sz="8" w:color="auto"/>
              <w:left w:val="single" w:sz="8" w:color="auto"/>
            </w:tcBorders>
          </w:tcPr>
          <w:p>
            <w:pPr>
              <w:spacing w:after="0"/>
              <w:rPr>
                <w:sz w:val="19"/>
                <w:szCs w:val="19"/>
                <w:color w:val="auto"/>
              </w:rPr>
            </w:pPr>
          </w:p>
        </w:tc>
        <w:tc>
          <w:tcPr>
            <w:tcW w:w="1240" w:type="dxa"/>
            <w:vAlign w:val="bottom"/>
            <w:tcBorders>
              <w:top w:val="single" w:sz="8" w:color="auto"/>
            </w:tcBorders>
          </w:tcPr>
          <w:p>
            <w:pPr>
              <w:jc w:val="center"/>
              <w:ind w:right="90"/>
              <w:spacing w:after="0"/>
              <w:rPr>
                <w:sz w:val="20"/>
                <w:szCs w:val="20"/>
                <w:color w:val="auto"/>
              </w:rPr>
            </w:pPr>
            <w:r>
              <w:rPr>
                <w:rFonts w:ascii="Calibri" w:cs="Calibri" w:eastAsia="Calibri" w:hAnsi="Calibri"/>
                <w:sz w:val="18"/>
                <w:szCs w:val="18"/>
                <w:color w:val="auto"/>
                <w:w w:val="95"/>
              </w:rPr>
              <w:t>A</w:t>
            </w:r>
          </w:p>
        </w:tc>
        <w:tc>
          <w:tcPr>
            <w:tcW w:w="64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center"/>
              <w:ind w:right="130"/>
              <w:spacing w:after="0"/>
              <w:rPr>
                <w:sz w:val="20"/>
                <w:szCs w:val="20"/>
                <w:color w:val="auto"/>
              </w:rPr>
            </w:pPr>
            <w:r>
              <w:rPr>
                <w:rFonts w:ascii="Calibri" w:cs="Calibri" w:eastAsia="Calibri" w:hAnsi="Calibri"/>
                <w:sz w:val="18"/>
                <w:szCs w:val="18"/>
                <w:color w:val="auto"/>
              </w:rPr>
              <w:t>B</w:t>
            </w:r>
          </w:p>
        </w:tc>
        <w:tc>
          <w:tcPr>
            <w:tcW w:w="2860" w:type="dxa"/>
            <w:vAlign w:val="bottom"/>
            <w:tcBorders>
              <w:top w:val="single" w:sz="8" w:color="auto"/>
              <w:right w:val="single" w:sz="8" w:color="auto"/>
            </w:tcBorders>
            <w:gridSpan w:val="2"/>
          </w:tcPr>
          <w:p>
            <w:pPr>
              <w:jc w:val="center"/>
              <w:ind w:right="380"/>
              <w:spacing w:after="0"/>
              <w:rPr>
                <w:sz w:val="20"/>
                <w:szCs w:val="20"/>
                <w:color w:val="auto"/>
              </w:rPr>
            </w:pPr>
            <w:r>
              <w:rPr>
                <w:rFonts w:ascii="Calibri" w:cs="Calibri" w:eastAsia="Calibri" w:hAnsi="Calibri"/>
                <w:sz w:val="18"/>
                <w:szCs w:val="18"/>
                <w:color w:val="auto"/>
                <w:w w:val="82"/>
              </w:rPr>
              <w:t>C</w:t>
            </w:r>
          </w:p>
        </w:tc>
      </w:tr>
      <w:tr>
        <w:trPr>
          <w:trHeight w:val="28"/>
        </w:trPr>
        <w:tc>
          <w:tcPr>
            <w:tcW w:w="4940" w:type="dxa"/>
            <w:vAlign w:val="bottom"/>
            <w:tcBorders>
              <w:left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860" w:type="dxa"/>
            <w:vAlign w:val="bottom"/>
            <w:tcBorders>
              <w:right w:val="single" w:sz="8" w:color="auto"/>
            </w:tcBorders>
            <w:gridSpan w:val="2"/>
          </w:tcPr>
          <w:p>
            <w:pPr>
              <w:spacing w:after="0"/>
              <w:rPr>
                <w:sz w:val="2"/>
                <w:szCs w:val="2"/>
                <w:color w:val="auto"/>
              </w:rPr>
            </w:pPr>
          </w:p>
        </w:tc>
      </w:tr>
      <w:tr>
        <w:trPr>
          <w:trHeight w:val="201"/>
        </w:trPr>
        <w:tc>
          <w:tcPr>
            <w:tcW w:w="4940" w:type="dxa"/>
            <w:vAlign w:val="bottom"/>
            <w:tcBorders>
              <w:left w:val="single" w:sz="8" w:color="auto"/>
            </w:tcBorders>
          </w:tcPr>
          <w:p>
            <w:pPr>
              <w:spacing w:after="0"/>
              <w:rPr>
                <w:sz w:val="17"/>
                <w:szCs w:val="17"/>
                <w:color w:val="auto"/>
              </w:rPr>
            </w:pPr>
          </w:p>
        </w:tc>
        <w:tc>
          <w:tcPr>
            <w:tcW w:w="1240" w:type="dxa"/>
            <w:vAlign w:val="bottom"/>
            <w:tcBorders>
              <w:top w:val="single" w:sz="8" w:color="auto"/>
            </w:tcBorders>
          </w:tcPr>
          <w:p>
            <w:pPr>
              <w:jc w:val="center"/>
              <w:ind w:right="90"/>
              <w:spacing w:after="0" w:line="201" w:lineRule="exact"/>
              <w:rPr>
                <w:sz w:val="20"/>
                <w:szCs w:val="20"/>
                <w:color w:val="auto"/>
              </w:rPr>
            </w:pPr>
            <w:r>
              <w:rPr>
                <w:rFonts w:ascii="Calibri" w:cs="Calibri" w:eastAsia="Calibri" w:hAnsi="Calibri"/>
                <w:sz w:val="18"/>
                <w:szCs w:val="18"/>
                <w:color w:val="auto"/>
                <w:w w:val="98"/>
              </w:rPr>
              <w:t>Number of</w:t>
            </w:r>
          </w:p>
        </w:tc>
        <w:tc>
          <w:tcPr>
            <w:tcW w:w="64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2540" w:type="dxa"/>
            <w:vAlign w:val="bottom"/>
            <w:tcBorders>
              <w:top w:val="single" w:sz="8" w:color="auto"/>
            </w:tcBorders>
          </w:tcPr>
          <w:p>
            <w:pPr>
              <w:jc w:val="center"/>
              <w:spacing w:after="0" w:line="201" w:lineRule="exact"/>
              <w:rPr>
                <w:sz w:val="20"/>
                <w:szCs w:val="20"/>
                <w:color w:val="auto"/>
              </w:rPr>
            </w:pPr>
            <w:r>
              <w:rPr>
                <w:rFonts w:ascii="Calibri" w:cs="Calibri" w:eastAsia="Calibri" w:hAnsi="Calibri"/>
                <w:sz w:val="18"/>
                <w:szCs w:val="18"/>
                <w:color w:val="auto"/>
              </w:rPr>
              <w:t>Number of Securites</w:t>
            </w:r>
          </w:p>
        </w:tc>
        <w:tc>
          <w:tcPr>
            <w:tcW w:w="320" w:type="dxa"/>
            <w:vAlign w:val="bottom"/>
            <w:tcBorders>
              <w:right w:val="single" w:sz="8" w:color="auto"/>
            </w:tcBorders>
          </w:tcPr>
          <w:p>
            <w:pPr>
              <w:spacing w:after="0"/>
              <w:rPr>
                <w:sz w:val="17"/>
                <w:szCs w:val="17"/>
                <w:color w:val="auto"/>
              </w:rPr>
            </w:pPr>
          </w:p>
        </w:tc>
      </w:tr>
      <w:tr>
        <w:trPr>
          <w:trHeight w:val="215"/>
        </w:trPr>
        <w:tc>
          <w:tcPr>
            <w:tcW w:w="4940" w:type="dxa"/>
            <w:vAlign w:val="bottom"/>
            <w:tcBorders>
              <w:left w:val="single" w:sz="8" w:color="auto"/>
            </w:tcBorders>
          </w:tcPr>
          <w:p>
            <w:pPr>
              <w:spacing w:after="0"/>
              <w:rPr>
                <w:sz w:val="18"/>
                <w:szCs w:val="18"/>
                <w:color w:val="auto"/>
              </w:rPr>
            </w:pPr>
          </w:p>
        </w:tc>
        <w:tc>
          <w:tcPr>
            <w:tcW w:w="1240" w:type="dxa"/>
            <w:vAlign w:val="bottom"/>
          </w:tcPr>
          <w:p>
            <w:pPr>
              <w:jc w:val="center"/>
              <w:ind w:right="90"/>
              <w:spacing w:after="0" w:line="215" w:lineRule="exact"/>
              <w:rPr>
                <w:sz w:val="20"/>
                <w:szCs w:val="20"/>
                <w:color w:val="auto"/>
              </w:rPr>
            </w:pPr>
            <w:r>
              <w:rPr>
                <w:rFonts w:ascii="Calibri" w:cs="Calibri" w:eastAsia="Calibri" w:hAnsi="Calibri"/>
                <w:sz w:val="18"/>
                <w:szCs w:val="18"/>
                <w:color w:val="auto"/>
              </w:rPr>
              <w:t>Securites</w:t>
            </w:r>
          </w:p>
        </w:tc>
        <w:tc>
          <w:tcPr>
            <w:tcW w:w="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60" w:type="dxa"/>
            <w:vAlign w:val="bottom"/>
            <w:tcBorders>
              <w:right w:val="single" w:sz="8" w:color="auto"/>
            </w:tcBorders>
            <w:gridSpan w:val="2"/>
          </w:tcPr>
          <w:p>
            <w:pPr>
              <w:jc w:val="center"/>
              <w:ind w:right="380"/>
              <w:spacing w:after="0" w:line="215" w:lineRule="exact"/>
              <w:rPr>
                <w:sz w:val="20"/>
                <w:szCs w:val="20"/>
                <w:color w:val="auto"/>
              </w:rPr>
            </w:pPr>
            <w:r>
              <w:rPr>
                <w:rFonts w:ascii="Calibri" w:cs="Calibri" w:eastAsia="Calibri" w:hAnsi="Calibri"/>
                <w:sz w:val="18"/>
                <w:szCs w:val="18"/>
                <w:color w:val="auto"/>
                <w:w w:val="97"/>
              </w:rPr>
              <w:t>Remaining Available</w:t>
            </w:r>
          </w:p>
        </w:tc>
      </w:tr>
      <w:tr>
        <w:trPr>
          <w:trHeight w:val="216"/>
        </w:trPr>
        <w:tc>
          <w:tcPr>
            <w:tcW w:w="4940" w:type="dxa"/>
            <w:vAlign w:val="bottom"/>
            <w:tcBorders>
              <w:left w:val="single" w:sz="8" w:color="auto"/>
            </w:tcBorders>
          </w:tcPr>
          <w:p>
            <w:pPr>
              <w:spacing w:after="0"/>
              <w:rPr>
                <w:sz w:val="18"/>
                <w:szCs w:val="18"/>
                <w:color w:val="auto"/>
              </w:rPr>
            </w:pPr>
          </w:p>
        </w:tc>
        <w:tc>
          <w:tcPr>
            <w:tcW w:w="1240" w:type="dxa"/>
            <w:vAlign w:val="bottom"/>
          </w:tcPr>
          <w:p>
            <w:pPr>
              <w:jc w:val="center"/>
              <w:ind w:right="90"/>
              <w:spacing w:after="0" w:line="216" w:lineRule="exact"/>
              <w:rPr>
                <w:sz w:val="20"/>
                <w:szCs w:val="20"/>
                <w:color w:val="auto"/>
              </w:rPr>
            </w:pPr>
            <w:r>
              <w:rPr>
                <w:rFonts w:ascii="Calibri" w:cs="Calibri" w:eastAsia="Calibri" w:hAnsi="Calibri"/>
                <w:sz w:val="18"/>
                <w:szCs w:val="18"/>
                <w:color w:val="auto"/>
                <w:w w:val="97"/>
              </w:rPr>
              <w:t>to be Issued</w:t>
            </w:r>
          </w:p>
        </w:tc>
        <w:tc>
          <w:tcPr>
            <w:tcW w:w="640" w:type="dxa"/>
            <w:vAlign w:val="bottom"/>
          </w:tcPr>
          <w:p>
            <w:pPr>
              <w:spacing w:after="0"/>
              <w:rPr>
                <w:sz w:val="18"/>
                <w:szCs w:val="18"/>
                <w:color w:val="auto"/>
              </w:rPr>
            </w:pPr>
          </w:p>
        </w:tc>
        <w:tc>
          <w:tcPr>
            <w:tcW w:w="1560" w:type="dxa"/>
            <w:vAlign w:val="bottom"/>
          </w:tcPr>
          <w:p>
            <w:pPr>
              <w:jc w:val="center"/>
              <w:ind w:right="130"/>
              <w:spacing w:after="0" w:line="216" w:lineRule="exact"/>
              <w:rPr>
                <w:sz w:val="20"/>
                <w:szCs w:val="20"/>
                <w:color w:val="auto"/>
              </w:rPr>
            </w:pPr>
            <w:r>
              <w:rPr>
                <w:rFonts w:ascii="Calibri" w:cs="Calibri" w:eastAsia="Calibri" w:hAnsi="Calibri"/>
                <w:sz w:val="18"/>
                <w:szCs w:val="18"/>
                <w:color w:val="auto"/>
                <w:w w:val="97"/>
              </w:rPr>
              <w:t>Weighted</w:t>
            </w:r>
          </w:p>
        </w:tc>
        <w:tc>
          <w:tcPr>
            <w:tcW w:w="2860" w:type="dxa"/>
            <w:vAlign w:val="bottom"/>
            <w:tcBorders>
              <w:right w:val="single" w:sz="8" w:color="auto"/>
            </w:tcBorders>
            <w:gridSpan w:val="2"/>
          </w:tcPr>
          <w:p>
            <w:pPr>
              <w:jc w:val="center"/>
              <w:ind w:right="380"/>
              <w:spacing w:after="0" w:line="216" w:lineRule="exact"/>
              <w:rPr>
                <w:sz w:val="20"/>
                <w:szCs w:val="20"/>
                <w:color w:val="auto"/>
              </w:rPr>
            </w:pPr>
            <w:r>
              <w:rPr>
                <w:rFonts w:ascii="Calibri" w:cs="Calibri" w:eastAsia="Calibri" w:hAnsi="Calibri"/>
                <w:sz w:val="18"/>
                <w:szCs w:val="18"/>
                <w:color w:val="auto"/>
                <w:w w:val="96"/>
              </w:rPr>
              <w:t>for future issuances</w:t>
            </w:r>
          </w:p>
        </w:tc>
      </w:tr>
      <w:tr>
        <w:trPr>
          <w:trHeight w:val="216"/>
        </w:trPr>
        <w:tc>
          <w:tcPr>
            <w:tcW w:w="4940" w:type="dxa"/>
            <w:vAlign w:val="bottom"/>
            <w:tcBorders>
              <w:left w:val="single" w:sz="8" w:color="auto"/>
            </w:tcBorders>
          </w:tcPr>
          <w:p>
            <w:pPr>
              <w:spacing w:after="0"/>
              <w:rPr>
                <w:sz w:val="18"/>
                <w:szCs w:val="18"/>
                <w:color w:val="auto"/>
              </w:rPr>
            </w:pPr>
          </w:p>
        </w:tc>
        <w:tc>
          <w:tcPr>
            <w:tcW w:w="1240" w:type="dxa"/>
            <w:vAlign w:val="bottom"/>
          </w:tcPr>
          <w:p>
            <w:pPr>
              <w:jc w:val="center"/>
              <w:ind w:right="90"/>
              <w:spacing w:after="0" w:line="216" w:lineRule="exact"/>
              <w:rPr>
                <w:sz w:val="20"/>
                <w:szCs w:val="20"/>
                <w:color w:val="auto"/>
              </w:rPr>
            </w:pPr>
            <w:r>
              <w:rPr>
                <w:rFonts w:ascii="Calibri" w:cs="Calibri" w:eastAsia="Calibri" w:hAnsi="Calibri"/>
                <w:sz w:val="18"/>
                <w:szCs w:val="18"/>
                <w:color w:val="auto"/>
              </w:rPr>
              <w:t>upon</w:t>
            </w:r>
          </w:p>
        </w:tc>
        <w:tc>
          <w:tcPr>
            <w:tcW w:w="640" w:type="dxa"/>
            <w:vAlign w:val="bottom"/>
          </w:tcPr>
          <w:p>
            <w:pPr>
              <w:spacing w:after="0"/>
              <w:rPr>
                <w:sz w:val="18"/>
                <w:szCs w:val="18"/>
                <w:color w:val="auto"/>
              </w:rPr>
            </w:pPr>
          </w:p>
        </w:tc>
        <w:tc>
          <w:tcPr>
            <w:tcW w:w="1560" w:type="dxa"/>
            <w:vAlign w:val="bottom"/>
          </w:tcPr>
          <w:p>
            <w:pPr>
              <w:jc w:val="center"/>
              <w:ind w:right="130"/>
              <w:spacing w:after="0" w:line="216" w:lineRule="exact"/>
              <w:rPr>
                <w:sz w:val="20"/>
                <w:szCs w:val="20"/>
                <w:color w:val="auto"/>
              </w:rPr>
            </w:pPr>
            <w:r>
              <w:rPr>
                <w:rFonts w:ascii="Calibri" w:cs="Calibri" w:eastAsia="Calibri" w:hAnsi="Calibri"/>
                <w:sz w:val="18"/>
                <w:szCs w:val="18"/>
                <w:color w:val="auto"/>
                <w:w w:val="96"/>
              </w:rPr>
              <w:t>Average</w:t>
            </w:r>
          </w:p>
        </w:tc>
        <w:tc>
          <w:tcPr>
            <w:tcW w:w="2860" w:type="dxa"/>
            <w:vAlign w:val="bottom"/>
            <w:tcBorders>
              <w:right w:val="single" w:sz="8" w:color="auto"/>
            </w:tcBorders>
            <w:gridSpan w:val="2"/>
          </w:tcPr>
          <w:p>
            <w:pPr>
              <w:jc w:val="center"/>
              <w:ind w:right="380"/>
              <w:spacing w:after="0" w:line="216" w:lineRule="exact"/>
              <w:rPr>
                <w:sz w:val="20"/>
                <w:szCs w:val="20"/>
                <w:color w:val="auto"/>
              </w:rPr>
            </w:pPr>
            <w:r>
              <w:rPr>
                <w:rFonts w:ascii="Calibri" w:cs="Calibri" w:eastAsia="Calibri" w:hAnsi="Calibri"/>
                <w:sz w:val="18"/>
                <w:szCs w:val="18"/>
                <w:color w:val="auto"/>
                <w:w w:val="97"/>
              </w:rPr>
              <w:t>under equity</w:t>
            </w:r>
          </w:p>
        </w:tc>
      </w:tr>
      <w:tr>
        <w:trPr>
          <w:trHeight w:val="216"/>
        </w:trPr>
        <w:tc>
          <w:tcPr>
            <w:tcW w:w="4940" w:type="dxa"/>
            <w:vAlign w:val="bottom"/>
            <w:tcBorders>
              <w:left w:val="single" w:sz="8" w:color="auto"/>
            </w:tcBorders>
          </w:tcPr>
          <w:p>
            <w:pPr>
              <w:spacing w:after="0"/>
              <w:rPr>
                <w:sz w:val="18"/>
                <w:szCs w:val="18"/>
                <w:color w:val="auto"/>
              </w:rPr>
            </w:pPr>
          </w:p>
        </w:tc>
        <w:tc>
          <w:tcPr>
            <w:tcW w:w="1240" w:type="dxa"/>
            <w:vAlign w:val="bottom"/>
          </w:tcPr>
          <w:p>
            <w:pPr>
              <w:jc w:val="center"/>
              <w:ind w:right="110"/>
              <w:spacing w:after="0" w:line="216" w:lineRule="exact"/>
              <w:rPr>
                <w:sz w:val="20"/>
                <w:szCs w:val="20"/>
                <w:color w:val="auto"/>
              </w:rPr>
            </w:pPr>
            <w:r>
              <w:rPr>
                <w:rFonts w:ascii="Calibri" w:cs="Calibri" w:eastAsia="Calibri" w:hAnsi="Calibri"/>
                <w:sz w:val="18"/>
                <w:szCs w:val="18"/>
                <w:color w:val="auto"/>
                <w:w w:val="96"/>
              </w:rPr>
              <w:t>Exercise of</w:t>
            </w:r>
          </w:p>
        </w:tc>
        <w:tc>
          <w:tcPr>
            <w:tcW w:w="640" w:type="dxa"/>
            <w:vAlign w:val="bottom"/>
          </w:tcPr>
          <w:p>
            <w:pPr>
              <w:spacing w:after="0"/>
              <w:rPr>
                <w:sz w:val="18"/>
                <w:szCs w:val="18"/>
                <w:color w:val="auto"/>
              </w:rPr>
            </w:pPr>
          </w:p>
        </w:tc>
        <w:tc>
          <w:tcPr>
            <w:tcW w:w="1560" w:type="dxa"/>
            <w:vAlign w:val="bottom"/>
          </w:tcPr>
          <w:p>
            <w:pPr>
              <w:jc w:val="center"/>
              <w:ind w:right="130"/>
              <w:spacing w:after="0" w:line="216" w:lineRule="exact"/>
              <w:rPr>
                <w:sz w:val="20"/>
                <w:szCs w:val="20"/>
                <w:color w:val="auto"/>
              </w:rPr>
            </w:pPr>
            <w:r>
              <w:rPr>
                <w:rFonts w:ascii="Calibri" w:cs="Calibri" w:eastAsia="Calibri" w:hAnsi="Calibri"/>
                <w:sz w:val="18"/>
                <w:szCs w:val="18"/>
                <w:color w:val="auto"/>
                <w:w w:val="97"/>
              </w:rPr>
              <w:t>Price of</w:t>
            </w:r>
          </w:p>
        </w:tc>
        <w:tc>
          <w:tcPr>
            <w:tcW w:w="2860" w:type="dxa"/>
            <w:vAlign w:val="bottom"/>
            <w:tcBorders>
              <w:right w:val="single" w:sz="8" w:color="auto"/>
            </w:tcBorders>
            <w:gridSpan w:val="2"/>
          </w:tcPr>
          <w:p>
            <w:pPr>
              <w:jc w:val="center"/>
              <w:ind w:right="380"/>
              <w:spacing w:after="0" w:line="216" w:lineRule="exact"/>
              <w:rPr>
                <w:sz w:val="20"/>
                <w:szCs w:val="20"/>
                <w:color w:val="auto"/>
              </w:rPr>
            </w:pPr>
            <w:r>
              <w:rPr>
                <w:rFonts w:ascii="Calibri" w:cs="Calibri" w:eastAsia="Calibri" w:hAnsi="Calibri"/>
                <w:sz w:val="18"/>
                <w:szCs w:val="18"/>
                <w:color w:val="auto"/>
              </w:rPr>
              <w:t>compensaton plans</w:t>
            </w:r>
          </w:p>
        </w:tc>
      </w:tr>
      <w:tr>
        <w:trPr>
          <w:trHeight w:val="216"/>
        </w:trPr>
        <w:tc>
          <w:tcPr>
            <w:tcW w:w="4940" w:type="dxa"/>
            <w:vAlign w:val="bottom"/>
            <w:tcBorders>
              <w:left w:val="single" w:sz="8" w:color="auto"/>
            </w:tcBorders>
          </w:tcPr>
          <w:p>
            <w:pPr>
              <w:spacing w:after="0"/>
              <w:rPr>
                <w:sz w:val="18"/>
                <w:szCs w:val="18"/>
                <w:color w:val="auto"/>
              </w:rPr>
            </w:pPr>
          </w:p>
        </w:tc>
        <w:tc>
          <w:tcPr>
            <w:tcW w:w="1240" w:type="dxa"/>
            <w:vAlign w:val="bottom"/>
          </w:tcPr>
          <w:p>
            <w:pPr>
              <w:jc w:val="center"/>
              <w:ind w:right="90"/>
              <w:spacing w:after="0" w:line="216" w:lineRule="exact"/>
              <w:rPr>
                <w:sz w:val="20"/>
                <w:szCs w:val="20"/>
                <w:color w:val="auto"/>
              </w:rPr>
            </w:pPr>
            <w:r>
              <w:rPr>
                <w:rFonts w:ascii="Calibri" w:cs="Calibri" w:eastAsia="Calibri" w:hAnsi="Calibri"/>
                <w:sz w:val="18"/>
                <w:szCs w:val="18"/>
                <w:color w:val="auto"/>
                <w:w w:val="95"/>
              </w:rPr>
              <w:t>Outstanding</w:t>
            </w:r>
          </w:p>
        </w:tc>
        <w:tc>
          <w:tcPr>
            <w:tcW w:w="640" w:type="dxa"/>
            <w:vAlign w:val="bottom"/>
          </w:tcPr>
          <w:p>
            <w:pPr>
              <w:spacing w:after="0"/>
              <w:rPr>
                <w:sz w:val="18"/>
                <w:szCs w:val="18"/>
                <w:color w:val="auto"/>
              </w:rPr>
            </w:pPr>
          </w:p>
        </w:tc>
        <w:tc>
          <w:tcPr>
            <w:tcW w:w="1560" w:type="dxa"/>
            <w:vAlign w:val="bottom"/>
          </w:tcPr>
          <w:p>
            <w:pPr>
              <w:jc w:val="center"/>
              <w:ind w:right="130"/>
              <w:spacing w:after="0" w:line="216" w:lineRule="exact"/>
              <w:rPr>
                <w:sz w:val="20"/>
                <w:szCs w:val="20"/>
                <w:color w:val="auto"/>
              </w:rPr>
            </w:pPr>
            <w:r>
              <w:rPr>
                <w:rFonts w:ascii="Calibri" w:cs="Calibri" w:eastAsia="Calibri" w:hAnsi="Calibri"/>
                <w:sz w:val="18"/>
                <w:szCs w:val="18"/>
                <w:color w:val="auto"/>
                <w:w w:val="95"/>
              </w:rPr>
              <w:t>Outstanding</w:t>
            </w:r>
          </w:p>
        </w:tc>
        <w:tc>
          <w:tcPr>
            <w:tcW w:w="2860" w:type="dxa"/>
            <w:vAlign w:val="bottom"/>
            <w:tcBorders>
              <w:right w:val="single" w:sz="8" w:color="auto"/>
            </w:tcBorders>
            <w:gridSpan w:val="2"/>
          </w:tcPr>
          <w:p>
            <w:pPr>
              <w:jc w:val="center"/>
              <w:ind w:right="380"/>
              <w:spacing w:after="0" w:line="216" w:lineRule="exact"/>
              <w:rPr>
                <w:sz w:val="20"/>
                <w:szCs w:val="20"/>
                <w:color w:val="auto"/>
              </w:rPr>
            </w:pPr>
            <w:r>
              <w:rPr>
                <w:rFonts w:ascii="Calibri" w:cs="Calibri" w:eastAsia="Calibri" w:hAnsi="Calibri"/>
                <w:sz w:val="18"/>
                <w:szCs w:val="18"/>
                <w:color w:val="auto"/>
                <w:w w:val="99"/>
              </w:rPr>
              <w:t>(excluding securites</w:t>
            </w:r>
          </w:p>
        </w:tc>
      </w:tr>
      <w:tr>
        <w:trPr>
          <w:trHeight w:val="216"/>
        </w:trPr>
        <w:tc>
          <w:tcPr>
            <w:tcW w:w="4940" w:type="dxa"/>
            <w:vAlign w:val="bottom"/>
            <w:tcBorders>
              <w:left w:val="single" w:sz="8" w:color="auto"/>
            </w:tcBorders>
          </w:tcPr>
          <w:p>
            <w:pPr>
              <w:ind w:left="1980"/>
              <w:spacing w:after="0" w:line="216" w:lineRule="exact"/>
              <w:rPr>
                <w:sz w:val="20"/>
                <w:szCs w:val="20"/>
                <w:color w:val="auto"/>
              </w:rPr>
            </w:pPr>
            <w:r>
              <w:rPr>
                <w:rFonts w:ascii="Calibri" w:cs="Calibri" w:eastAsia="Calibri" w:hAnsi="Calibri"/>
                <w:sz w:val="18"/>
                <w:szCs w:val="18"/>
                <w:color w:val="auto"/>
              </w:rPr>
              <w:t>Plan Category</w:t>
            </w:r>
          </w:p>
        </w:tc>
        <w:tc>
          <w:tcPr>
            <w:tcW w:w="1240" w:type="dxa"/>
            <w:vAlign w:val="bottom"/>
          </w:tcPr>
          <w:p>
            <w:pPr>
              <w:jc w:val="center"/>
              <w:ind w:right="110"/>
              <w:spacing w:after="0" w:line="216" w:lineRule="exact"/>
              <w:rPr>
                <w:sz w:val="20"/>
                <w:szCs w:val="20"/>
                <w:color w:val="auto"/>
              </w:rPr>
            </w:pPr>
            <w:r>
              <w:rPr>
                <w:rFonts w:ascii="Calibri" w:cs="Calibri" w:eastAsia="Calibri" w:hAnsi="Calibri"/>
                <w:sz w:val="18"/>
                <w:szCs w:val="18"/>
                <w:color w:val="auto"/>
              </w:rPr>
              <w:t>Optons</w:t>
            </w:r>
          </w:p>
        </w:tc>
        <w:tc>
          <w:tcPr>
            <w:tcW w:w="640" w:type="dxa"/>
            <w:vAlign w:val="bottom"/>
          </w:tcPr>
          <w:p>
            <w:pPr>
              <w:spacing w:after="0"/>
              <w:rPr>
                <w:sz w:val="18"/>
                <w:szCs w:val="18"/>
                <w:color w:val="auto"/>
              </w:rPr>
            </w:pPr>
          </w:p>
        </w:tc>
        <w:tc>
          <w:tcPr>
            <w:tcW w:w="1560" w:type="dxa"/>
            <w:vAlign w:val="bottom"/>
          </w:tcPr>
          <w:p>
            <w:pPr>
              <w:jc w:val="center"/>
              <w:ind w:right="150"/>
              <w:spacing w:after="0" w:line="216" w:lineRule="exact"/>
              <w:rPr>
                <w:sz w:val="20"/>
                <w:szCs w:val="20"/>
                <w:color w:val="auto"/>
              </w:rPr>
            </w:pPr>
            <w:r>
              <w:rPr>
                <w:rFonts w:ascii="Calibri" w:cs="Calibri" w:eastAsia="Calibri" w:hAnsi="Calibri"/>
                <w:sz w:val="18"/>
                <w:szCs w:val="18"/>
                <w:color w:val="auto"/>
              </w:rPr>
              <w:t>Optons</w:t>
            </w:r>
          </w:p>
        </w:tc>
        <w:tc>
          <w:tcPr>
            <w:tcW w:w="2860" w:type="dxa"/>
            <w:vAlign w:val="bottom"/>
            <w:tcBorders>
              <w:right w:val="single" w:sz="8" w:color="auto"/>
            </w:tcBorders>
            <w:gridSpan w:val="2"/>
          </w:tcPr>
          <w:p>
            <w:pPr>
              <w:jc w:val="center"/>
              <w:ind w:right="380"/>
              <w:spacing w:after="0" w:line="216" w:lineRule="exact"/>
              <w:rPr>
                <w:sz w:val="20"/>
                <w:szCs w:val="20"/>
                <w:color w:val="auto"/>
              </w:rPr>
            </w:pPr>
            <w:r>
              <w:rPr>
                <w:rFonts w:ascii="Calibri" w:cs="Calibri" w:eastAsia="Calibri" w:hAnsi="Calibri"/>
                <w:sz w:val="18"/>
                <w:szCs w:val="18"/>
                <w:color w:val="auto"/>
              </w:rPr>
              <w:t>refected in Column A)</w:t>
            </w:r>
          </w:p>
        </w:tc>
      </w:tr>
      <w:tr>
        <w:trPr>
          <w:trHeight w:val="37"/>
        </w:trPr>
        <w:tc>
          <w:tcPr>
            <w:tcW w:w="4940" w:type="dxa"/>
            <w:vAlign w:val="bottom"/>
            <w:tcBorders>
              <w:left w:val="single" w:sz="8" w:color="auto"/>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2540" w:type="dxa"/>
            <w:vAlign w:val="bottom"/>
            <w:tcBorders>
              <w:bottom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r>
      <w:tr>
        <w:trPr>
          <w:trHeight w:val="201"/>
        </w:trPr>
        <w:tc>
          <w:tcPr>
            <w:tcW w:w="4940" w:type="dxa"/>
            <w:vAlign w:val="bottom"/>
            <w:tcBorders>
              <w:left w:val="single" w:sz="8" w:color="auto"/>
            </w:tcBorders>
            <w:shd w:val="clear" w:color="auto" w:fill="E7E6E6"/>
          </w:tcPr>
          <w:p>
            <w:pPr>
              <w:spacing w:after="0"/>
              <w:rPr>
                <w:sz w:val="17"/>
                <w:szCs w:val="17"/>
                <w:color w:val="auto"/>
              </w:rPr>
            </w:pPr>
          </w:p>
        </w:tc>
        <w:tc>
          <w:tcPr>
            <w:tcW w:w="1240" w:type="dxa"/>
            <w:vAlign w:val="bottom"/>
            <w:shd w:val="clear" w:color="auto" w:fill="E7E6E6"/>
          </w:tcPr>
          <w:p>
            <w:pPr>
              <w:spacing w:after="0"/>
              <w:rPr>
                <w:sz w:val="17"/>
                <w:szCs w:val="17"/>
                <w:color w:val="auto"/>
              </w:rPr>
            </w:pPr>
          </w:p>
        </w:tc>
        <w:tc>
          <w:tcPr>
            <w:tcW w:w="640" w:type="dxa"/>
            <w:vAlign w:val="bottom"/>
            <w:shd w:val="clear" w:color="auto" w:fill="E7E6E6"/>
          </w:tcPr>
          <w:p>
            <w:pPr>
              <w:spacing w:after="0"/>
              <w:rPr>
                <w:sz w:val="17"/>
                <w:szCs w:val="17"/>
                <w:color w:val="auto"/>
              </w:rPr>
            </w:pPr>
          </w:p>
        </w:tc>
        <w:tc>
          <w:tcPr>
            <w:tcW w:w="1560" w:type="dxa"/>
            <w:vAlign w:val="bottom"/>
            <w:shd w:val="clear" w:color="auto" w:fill="E7E6E6"/>
          </w:tcPr>
          <w:p>
            <w:pPr>
              <w:spacing w:after="0"/>
              <w:rPr>
                <w:sz w:val="17"/>
                <w:szCs w:val="17"/>
                <w:color w:val="auto"/>
              </w:rPr>
            </w:pPr>
          </w:p>
        </w:tc>
        <w:tc>
          <w:tcPr>
            <w:tcW w:w="2860" w:type="dxa"/>
            <w:vAlign w:val="bottom"/>
            <w:tcBorders>
              <w:right w:val="single" w:sz="8" w:color="auto"/>
            </w:tcBorders>
            <w:gridSpan w:val="2"/>
            <w:shd w:val="clear" w:color="auto" w:fill="E7E6E6"/>
          </w:tcPr>
          <w:p>
            <w:pPr>
              <w:jc w:val="right"/>
              <w:ind w:right="120"/>
              <w:spacing w:after="0" w:line="201" w:lineRule="exact"/>
              <w:rPr>
                <w:sz w:val="20"/>
                <w:szCs w:val="20"/>
                <w:color w:val="auto"/>
              </w:rPr>
            </w:pPr>
            <w:r>
              <w:rPr>
                <w:rFonts w:ascii="Calibri" w:cs="Calibri" w:eastAsia="Calibri" w:hAnsi="Calibri"/>
                <w:sz w:val="18"/>
                <w:szCs w:val="18"/>
                <w:color w:val="auto"/>
              </w:rPr>
              <w:t>(</w:t>
            </w:r>
          </w:p>
        </w:tc>
      </w:tr>
      <w:tr>
        <w:trPr>
          <w:trHeight w:val="232"/>
        </w:trPr>
        <w:tc>
          <w:tcPr>
            <w:tcW w:w="4940" w:type="dxa"/>
            <w:vAlign w:val="bottom"/>
            <w:tcBorders>
              <w:left w:val="single" w:sz="8" w:color="auto"/>
              <w:bottom w:val="single" w:sz="8" w:color="E7E6E6"/>
            </w:tcBorders>
            <w:shd w:val="clear" w:color="auto" w:fill="E7E6E6"/>
          </w:tcPr>
          <w:p>
            <w:pPr>
              <w:ind w:left="40"/>
              <w:spacing w:after="0" w:line="215" w:lineRule="exact"/>
              <w:rPr>
                <w:sz w:val="20"/>
                <w:szCs w:val="20"/>
                <w:color w:val="auto"/>
              </w:rPr>
            </w:pPr>
            <w:r>
              <w:rPr>
                <w:rFonts w:ascii="Calibri" w:cs="Calibri" w:eastAsia="Calibri" w:hAnsi="Calibri"/>
                <w:sz w:val="18"/>
                <w:szCs w:val="18"/>
                <w:color w:val="auto"/>
              </w:rPr>
              <w:t>Equity Compensaton Plans Approved by Shareholders</w:t>
            </w:r>
          </w:p>
        </w:tc>
        <w:tc>
          <w:tcPr>
            <w:tcW w:w="1240" w:type="dxa"/>
            <w:vAlign w:val="bottom"/>
            <w:tcBorders>
              <w:bottom w:val="single" w:sz="8" w:color="E7E6E6"/>
            </w:tcBorders>
            <w:shd w:val="clear" w:color="auto" w:fill="E7E6E6"/>
          </w:tcPr>
          <w:p>
            <w:pPr>
              <w:jc w:val="right"/>
              <w:ind w:right="90"/>
              <w:spacing w:after="0" w:line="215" w:lineRule="exact"/>
              <w:rPr>
                <w:sz w:val="20"/>
                <w:szCs w:val="20"/>
                <w:color w:val="auto"/>
              </w:rPr>
            </w:pPr>
            <w:r>
              <w:rPr>
                <w:rFonts w:ascii="Calibri" w:cs="Calibri" w:eastAsia="Calibri" w:hAnsi="Calibri"/>
                <w:sz w:val="18"/>
                <w:szCs w:val="18"/>
                <w:color w:val="auto"/>
              </w:rPr>
              <w:t>875,264</w:t>
            </w:r>
          </w:p>
        </w:tc>
        <w:tc>
          <w:tcPr>
            <w:tcW w:w="640" w:type="dxa"/>
            <w:vAlign w:val="bottom"/>
            <w:tcBorders>
              <w:bottom w:val="single" w:sz="8" w:color="E7E6E6"/>
            </w:tcBorders>
            <w:shd w:val="clear" w:color="auto" w:fill="E7E6E6"/>
          </w:tcPr>
          <w:p>
            <w:pPr>
              <w:jc w:val="right"/>
              <w:ind w:right="130"/>
              <w:spacing w:after="0" w:line="215" w:lineRule="exact"/>
              <w:rPr>
                <w:sz w:val="20"/>
                <w:szCs w:val="20"/>
                <w:color w:val="auto"/>
              </w:rPr>
            </w:pPr>
            <w:r>
              <w:rPr>
                <w:rFonts w:ascii="Calibri" w:cs="Calibri" w:eastAsia="Calibri" w:hAnsi="Calibri"/>
                <w:sz w:val="18"/>
                <w:szCs w:val="18"/>
                <w:color w:val="auto"/>
              </w:rPr>
              <w:t>(1 )</w:t>
            </w:r>
          </w:p>
        </w:tc>
        <w:tc>
          <w:tcPr>
            <w:tcW w:w="1560" w:type="dxa"/>
            <w:vAlign w:val="bottom"/>
            <w:tcBorders>
              <w:bottom w:val="single" w:sz="8" w:color="E7E6E6"/>
            </w:tcBorders>
            <w:shd w:val="clear" w:color="auto" w:fill="E7E6E6"/>
          </w:tcPr>
          <w:p>
            <w:pPr>
              <w:jc w:val="center"/>
              <w:ind w:right="150"/>
              <w:spacing w:after="0" w:line="215" w:lineRule="exact"/>
              <w:rPr>
                <w:sz w:val="20"/>
                <w:szCs w:val="20"/>
                <w:color w:val="auto"/>
              </w:rPr>
            </w:pPr>
            <w:r>
              <w:rPr>
                <w:rFonts w:ascii="Calibri" w:cs="Calibri" w:eastAsia="Calibri" w:hAnsi="Calibri"/>
                <w:sz w:val="18"/>
                <w:szCs w:val="18"/>
                <w:color w:val="auto"/>
                <w:w w:val="96"/>
              </w:rPr>
              <w:t>N/A</w:t>
            </w:r>
          </w:p>
        </w:tc>
        <w:tc>
          <w:tcPr>
            <w:tcW w:w="2860" w:type="dxa"/>
            <w:vAlign w:val="bottom"/>
            <w:tcBorders>
              <w:bottom w:val="single" w:sz="8" w:color="E7E6E6"/>
              <w:right w:val="single" w:sz="8" w:color="auto"/>
            </w:tcBorders>
            <w:gridSpan w:val="2"/>
            <w:shd w:val="clear" w:color="auto" w:fill="E7E6E6"/>
          </w:tcPr>
          <w:p>
            <w:pPr>
              <w:jc w:val="right"/>
              <w:ind w:right="40"/>
              <w:spacing w:after="0" w:line="215" w:lineRule="exact"/>
              <w:rPr>
                <w:sz w:val="20"/>
                <w:szCs w:val="20"/>
                <w:color w:val="auto"/>
              </w:rPr>
            </w:pPr>
            <w:r>
              <w:rPr>
                <w:rFonts w:ascii="Calibri" w:cs="Calibri" w:eastAsia="Calibri" w:hAnsi="Calibri"/>
                <w:sz w:val="18"/>
                <w:szCs w:val="18"/>
                <w:color w:val="auto"/>
              </w:rPr>
              <w:t>7,413,969   2)</w:t>
            </w:r>
          </w:p>
        </w:tc>
      </w:tr>
      <w:tr>
        <w:trPr>
          <w:trHeight w:val="215"/>
        </w:trPr>
        <w:tc>
          <w:tcPr>
            <w:tcW w:w="4940" w:type="dxa"/>
            <w:vAlign w:val="bottom"/>
            <w:tcBorders>
              <w:left w:val="single" w:sz="8" w:color="auto"/>
            </w:tcBorders>
          </w:tcPr>
          <w:p>
            <w:pPr>
              <w:ind w:left="40"/>
              <w:spacing w:after="0" w:line="215" w:lineRule="exact"/>
              <w:rPr>
                <w:sz w:val="20"/>
                <w:szCs w:val="20"/>
                <w:color w:val="auto"/>
              </w:rPr>
            </w:pPr>
            <w:r>
              <w:rPr>
                <w:rFonts w:ascii="Calibri" w:cs="Calibri" w:eastAsia="Calibri" w:hAnsi="Calibri"/>
                <w:sz w:val="18"/>
                <w:szCs w:val="18"/>
                <w:color w:val="auto"/>
              </w:rPr>
              <w:t>Equity Compensaton Plans Not Approved by Shareholders</w:t>
            </w:r>
          </w:p>
        </w:tc>
        <w:tc>
          <w:tcPr>
            <w:tcW w:w="124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640" w:type="dxa"/>
            <w:vAlign w:val="bottom"/>
          </w:tcPr>
          <w:p>
            <w:pPr>
              <w:spacing w:after="0"/>
              <w:rPr>
                <w:sz w:val="18"/>
                <w:szCs w:val="18"/>
                <w:color w:val="auto"/>
              </w:rPr>
            </w:pPr>
          </w:p>
        </w:tc>
        <w:tc>
          <w:tcPr>
            <w:tcW w:w="1560" w:type="dxa"/>
            <w:vAlign w:val="bottom"/>
          </w:tcPr>
          <w:p>
            <w:pPr>
              <w:jc w:val="center"/>
              <w:ind w:right="150"/>
              <w:spacing w:after="0" w:line="215" w:lineRule="exact"/>
              <w:rPr>
                <w:sz w:val="20"/>
                <w:szCs w:val="20"/>
                <w:color w:val="auto"/>
              </w:rPr>
            </w:pPr>
            <w:r>
              <w:rPr>
                <w:rFonts w:ascii="Calibri" w:cs="Calibri" w:eastAsia="Calibri" w:hAnsi="Calibri"/>
                <w:sz w:val="18"/>
                <w:szCs w:val="18"/>
                <w:color w:val="auto"/>
                <w:w w:val="96"/>
              </w:rPr>
              <w:t>N/A</w:t>
            </w:r>
          </w:p>
        </w:tc>
        <w:tc>
          <w:tcPr>
            <w:tcW w:w="2860" w:type="dxa"/>
            <w:vAlign w:val="bottom"/>
            <w:tcBorders>
              <w:right w:val="single" w:sz="8" w:color="auto"/>
            </w:tcBorders>
            <w:gridSpan w:val="2"/>
          </w:tcPr>
          <w:p>
            <w:pPr>
              <w:jc w:val="center"/>
              <w:ind w:right="380"/>
              <w:spacing w:after="0" w:line="215" w:lineRule="exact"/>
              <w:rPr>
                <w:sz w:val="20"/>
                <w:szCs w:val="20"/>
                <w:color w:val="auto"/>
              </w:rPr>
            </w:pPr>
            <w:r>
              <w:rPr>
                <w:rFonts w:ascii="Calibri" w:cs="Calibri" w:eastAsia="Calibri" w:hAnsi="Calibri"/>
                <w:sz w:val="18"/>
                <w:szCs w:val="18"/>
                <w:color w:val="auto"/>
                <w:w w:val="96"/>
              </w:rPr>
              <w:t>N/A</w:t>
            </w:r>
          </w:p>
        </w:tc>
      </w:tr>
      <w:tr>
        <w:trPr>
          <w:trHeight w:val="28"/>
        </w:trPr>
        <w:tc>
          <w:tcPr>
            <w:tcW w:w="4940" w:type="dxa"/>
            <w:vAlign w:val="bottom"/>
            <w:tcBorders>
              <w:left w:val="single" w:sz="8" w:color="auto"/>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r>
    </w:tbl>
    <w:p>
      <w:pPr>
        <w:jc w:val="both"/>
        <w:ind w:left="380" w:hanging="372"/>
        <w:spacing w:after="0" w:line="229" w:lineRule="auto"/>
        <w:tabs>
          <w:tab w:leader="none" w:pos="380" w:val="left"/>
        </w:tabs>
        <w:numPr>
          <w:ilvl w:val="0"/>
          <w:numId w:val="56"/>
        </w:numPr>
        <w:rPr>
          <w:rFonts w:ascii="Calibri" w:cs="Calibri" w:eastAsia="Calibri" w:hAnsi="Calibri"/>
          <w:sz w:val="18"/>
          <w:szCs w:val="18"/>
          <w:color w:val="auto"/>
        </w:rPr>
      </w:pPr>
      <w:r>
        <w:rPr>
          <w:rFonts w:ascii="Calibri" w:cs="Calibri" w:eastAsia="Calibri" w:hAnsi="Calibri"/>
          <w:sz w:val="18"/>
          <w:szCs w:val="18"/>
          <w:color w:val="auto"/>
        </w:rPr>
        <w:t>Comprised of performance units and restricted stock units which have been granted under the OGE Energy Corp. 2013 Stock Incentve Plan and the 2022 Stock Incentve Plan. For performance units, this represents the target number of performance units granted. Actual number of performance units earned, if any, is dependent upon performance and may range from 0 percent to 200 percent of the target. There were no outstanding stock optons as of December 31, 2023.</w:t>
      </w:r>
    </w:p>
    <w:p>
      <w:pPr>
        <w:spacing w:after="0" w:line="2" w:lineRule="exact"/>
        <w:rPr>
          <w:rFonts w:ascii="Calibri" w:cs="Calibri" w:eastAsia="Calibri" w:hAnsi="Calibri"/>
          <w:sz w:val="18"/>
          <w:szCs w:val="18"/>
          <w:color w:val="auto"/>
        </w:rPr>
      </w:pPr>
    </w:p>
    <w:p>
      <w:pPr>
        <w:jc w:val="both"/>
        <w:ind w:left="380" w:hanging="372"/>
        <w:spacing w:after="0" w:line="235" w:lineRule="auto"/>
        <w:tabs>
          <w:tab w:leader="none" w:pos="380" w:val="left"/>
        </w:tabs>
        <w:numPr>
          <w:ilvl w:val="0"/>
          <w:numId w:val="56"/>
        </w:numPr>
        <w:rPr>
          <w:rFonts w:ascii="Calibri" w:cs="Calibri" w:eastAsia="Calibri" w:hAnsi="Calibri"/>
          <w:sz w:val="18"/>
          <w:szCs w:val="18"/>
          <w:color w:val="auto"/>
        </w:rPr>
      </w:pPr>
      <w:r>
        <w:rPr>
          <w:rFonts w:ascii="Calibri" w:cs="Calibri" w:eastAsia="Calibri" w:hAnsi="Calibri"/>
          <w:sz w:val="18"/>
          <w:szCs w:val="18"/>
          <w:color w:val="auto"/>
        </w:rPr>
        <w:t>Under the 2022 Stock Incentve Plan, restricted stock, restricted stock units, stock optons, SARs and performance units may be granted to ofcers, directors and other key employees. Amount represents the maximum shares available for future issuances under OGE Energy Corp.'s equity compensaton plan assuming setlement of the performance units at target.</w:t>
      </w:r>
    </w:p>
    <w:p>
      <w:pPr>
        <w:spacing w:after="0" w:line="219"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b w:val="1"/>
          <w:bCs w:val="1"/>
          <w:color w:val="auto"/>
        </w:rPr>
        <w:t xml:space="preserve">Delinquent Secton 16(a) Reports. </w:t>
      </w:r>
      <w:r>
        <w:rPr>
          <w:rFonts w:ascii="Calibri" w:cs="Calibri" w:eastAsia="Calibri" w:hAnsi="Calibri"/>
          <w:sz w:val="18"/>
          <w:szCs w:val="18"/>
          <w:color w:val="auto"/>
        </w:rPr>
        <w:t>Under federal securites laws, our directors and executve ofcers are required to report, within specifed dates, their</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inital ownership in the Company's Common Stock and subsequent acquisitons, dispositons or other transfers of interest in such securites. We are required to disclose whether we have knowledge that any person required to fle such a report may have failed to do so in a tmely manner. To our knowledge, all of our ofcers and directors subject to such reportng obligatons satsfed their reportng obligatons in full in 2023.</w:t>
      </w:r>
    </w:p>
    <w:p>
      <w:pPr>
        <w:spacing w:after="0" w:line="219"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b w:val="1"/>
          <w:bCs w:val="1"/>
          <w:color w:val="auto"/>
        </w:rPr>
        <w:t xml:space="preserve">Shareholder Proposals/Nominaton of Directors. </w:t>
      </w:r>
      <w:r>
        <w:rPr>
          <w:rFonts w:ascii="Calibri" w:cs="Calibri" w:eastAsia="Calibri" w:hAnsi="Calibri"/>
          <w:sz w:val="18"/>
          <w:szCs w:val="18"/>
          <w:color w:val="auto"/>
        </w:rPr>
        <w:t>Any shareholder proposal intended to be included in the proxy statement for the Annual Meetng of</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Shareholders in 2025 must be received by the Company by December 2, 2024. Proposals received by that date, deemed to be proper for consideraton at the Annual Meetng of Shareholders and otherwise conforming to the rules of the SEC, will be included in the 2025 proxy statement.</w:t>
      </w:r>
    </w:p>
    <w:p>
      <w:pPr>
        <w:spacing w:after="0" w:line="219"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If you intend to submit a shareholder proposal for consideraton at the Annual Meetng of Shareholders, but do not want it included in the proxy statement, you must follow the procedures established by our bylaws. These procedures require that you notfy us in writng of your proposal. Your notce must be received by the Corporate Secretary at least 90 days prior to the meetng and must contain the following informaton:</w:t>
      </w:r>
    </w:p>
    <w:p>
      <w:pPr>
        <w:spacing w:after="0" w:line="232" w:lineRule="exact"/>
        <w:rPr>
          <w:sz w:val="20"/>
          <w:szCs w:val="20"/>
          <w:color w:val="auto"/>
        </w:rPr>
      </w:pPr>
    </w:p>
    <w:p>
      <w:pPr>
        <w:ind w:left="560" w:right="240" w:hanging="178"/>
        <w:spacing w:after="0" w:line="235" w:lineRule="auto"/>
        <w:tabs>
          <w:tab w:leader="none" w:pos="560" w:val="left"/>
        </w:tabs>
        <w:numPr>
          <w:ilvl w:val="0"/>
          <w:numId w:val="57"/>
        </w:numPr>
        <w:rPr>
          <w:rFonts w:ascii="Times New Roman" w:cs="Times New Roman" w:eastAsia="Times New Roman" w:hAnsi="Times New Roman"/>
          <w:sz w:val="18"/>
          <w:szCs w:val="18"/>
          <w:color w:val="auto"/>
        </w:rPr>
      </w:pPr>
      <w:r>
        <w:rPr>
          <w:rFonts w:ascii="Calibri" w:cs="Calibri" w:eastAsia="Calibri" w:hAnsi="Calibri"/>
          <w:sz w:val="18"/>
          <w:szCs w:val="18"/>
          <w:color w:val="auto"/>
        </w:rPr>
        <w:t>a brief descripton of the business you desire to bring before the Annual Meetng of Shareholders and your reasons for conductng such business at the Annual Meetng of Shareholders;</w:t>
      </w:r>
    </w:p>
    <w:p>
      <w:pPr>
        <w:spacing w:after="0" w:line="10" w:lineRule="exact"/>
        <w:rPr>
          <w:rFonts w:ascii="Times New Roman" w:cs="Times New Roman" w:eastAsia="Times New Roman" w:hAnsi="Times New Roman"/>
          <w:sz w:val="18"/>
          <w:szCs w:val="18"/>
          <w:color w:val="auto"/>
        </w:rPr>
      </w:pPr>
    </w:p>
    <w:p>
      <w:pPr>
        <w:ind w:left="560" w:hanging="178"/>
        <w:spacing w:after="0"/>
        <w:tabs>
          <w:tab w:leader="none" w:pos="560" w:val="left"/>
        </w:tabs>
        <w:numPr>
          <w:ilvl w:val="0"/>
          <w:numId w:val="57"/>
        </w:numPr>
        <w:rPr>
          <w:rFonts w:ascii="Times New Roman" w:cs="Times New Roman" w:eastAsia="Times New Roman" w:hAnsi="Times New Roman"/>
          <w:sz w:val="18"/>
          <w:szCs w:val="18"/>
          <w:color w:val="auto"/>
        </w:rPr>
      </w:pPr>
      <w:r>
        <w:rPr>
          <w:rFonts w:ascii="Calibri" w:cs="Calibri" w:eastAsia="Calibri" w:hAnsi="Calibri"/>
          <w:sz w:val="18"/>
          <w:szCs w:val="18"/>
          <w:color w:val="auto"/>
        </w:rPr>
        <w:t>your name and address;</w:t>
      </w:r>
    </w:p>
    <w:p>
      <w:pPr>
        <w:spacing w:after="0" w:line="10" w:lineRule="exact"/>
        <w:rPr>
          <w:rFonts w:ascii="Times New Roman" w:cs="Times New Roman" w:eastAsia="Times New Roman" w:hAnsi="Times New Roman"/>
          <w:sz w:val="18"/>
          <w:szCs w:val="18"/>
          <w:color w:val="auto"/>
        </w:rPr>
      </w:pPr>
    </w:p>
    <w:p>
      <w:pPr>
        <w:ind w:left="560" w:hanging="178"/>
        <w:spacing w:after="0"/>
        <w:tabs>
          <w:tab w:leader="none" w:pos="560" w:val="left"/>
        </w:tabs>
        <w:numPr>
          <w:ilvl w:val="0"/>
          <w:numId w:val="57"/>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number of shares of the Company's Common Stock which you benefcially own; and</w:t>
      </w:r>
    </w:p>
    <w:p>
      <w:pPr>
        <w:spacing w:after="0" w:line="9" w:lineRule="exact"/>
        <w:rPr>
          <w:rFonts w:ascii="Times New Roman" w:cs="Times New Roman" w:eastAsia="Times New Roman" w:hAnsi="Times New Roman"/>
          <w:sz w:val="18"/>
          <w:szCs w:val="18"/>
          <w:color w:val="auto"/>
        </w:rPr>
      </w:pPr>
    </w:p>
    <w:p>
      <w:pPr>
        <w:ind w:left="560" w:hanging="178"/>
        <w:spacing w:after="0"/>
        <w:tabs>
          <w:tab w:leader="none" w:pos="560" w:val="left"/>
        </w:tabs>
        <w:numPr>
          <w:ilvl w:val="0"/>
          <w:numId w:val="57"/>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any material interest you may have in the business being proposed.</w:t>
      </w:r>
    </w:p>
    <w:p>
      <w:pPr>
        <w:spacing w:after="0" w:line="217"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Shareholders wishing to nominate a director candidate and have that candidate appear in the Company's proxy statement, should follow the procedures in the Company's bylaws and outlined on page 3 under "Corporate Governance - Director Qualifcatons and Nominaton Process."</w:t>
      </w:r>
    </w:p>
    <w:p>
      <w:pPr>
        <w:spacing w:after="0" w:line="218"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To comply with the universal proxy rules, stockholders who intend to solicit proxies in support of director nominees other than the company's nominees must provide notce that sets forth the informaton required by the Company’s bylaws and Rule 14a-19 under the Securites Exchange Act of 1934 no later than 90 days before the annual meetng.</w:t>
      </w:r>
    </w:p>
    <w:p>
      <w:pPr>
        <w:spacing w:after="0" w:line="219"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b w:val="1"/>
          <w:bCs w:val="1"/>
          <w:color w:val="auto"/>
        </w:rPr>
        <w:t xml:space="preserve">Householding Informaton. </w:t>
      </w:r>
      <w:r>
        <w:rPr>
          <w:rFonts w:ascii="Calibri" w:cs="Calibri" w:eastAsia="Calibri" w:hAnsi="Calibri"/>
          <w:sz w:val="18"/>
          <w:szCs w:val="18"/>
          <w:color w:val="auto"/>
        </w:rPr>
        <w:t>We have adopted a procedure approved by the SEC called "householding." Under this procedure, certain shareholders of</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record who have the same address and last name and do not partcipate in electronic delivery of proxy materials will receive only a single copy of our Notce of Internet Availability of Proxy Materials or, as</w:t>
      </w:r>
    </w:p>
    <w:p>
      <w:pPr>
        <w:spacing w:after="0" w:line="173" w:lineRule="exact"/>
        <w:rPr>
          <w:sz w:val="20"/>
          <w:szCs w:val="20"/>
          <w:color w:val="auto"/>
        </w:rPr>
      </w:pPr>
    </w:p>
    <w:p>
      <w:pPr>
        <w:spacing w:after="0"/>
        <w:tabs>
          <w:tab w:leader="none" w:pos="660" w:val="left"/>
        </w:tabs>
        <w:rPr>
          <w:sz w:val="20"/>
          <w:szCs w:val="20"/>
          <w:color w:val="auto"/>
        </w:rPr>
      </w:pPr>
      <w:r>
        <w:rPr>
          <w:rFonts w:ascii="Calibri" w:cs="Calibri" w:eastAsia="Calibri" w:hAnsi="Calibri"/>
          <w:sz w:val="18"/>
          <w:szCs w:val="18"/>
          <w:color w:val="auto"/>
        </w:rPr>
        <w:t>57</w:t>
      </w:r>
      <w:r>
        <w:rPr>
          <w:sz w:val="20"/>
          <w:szCs w:val="20"/>
          <w:color w:val="auto"/>
        </w:rPr>
        <w:tab/>
      </w:r>
      <w:r>
        <w:rPr>
          <w:rFonts w:ascii="Calibri" w:cs="Calibri" w:eastAsia="Calibri" w:hAnsi="Calibri"/>
          <w:sz w:val="18"/>
          <w:szCs w:val="18"/>
          <w:b w:val="1"/>
          <w:bCs w:val="1"/>
          <w:color w:val="EE2724"/>
        </w:rPr>
        <w:t xml:space="preserve">OGE Energy Corp. </w:t>
      </w:r>
      <w:r>
        <w:rPr>
          <w:rFonts w:ascii="Calibri" w:cs="Calibri" w:eastAsia="Calibri" w:hAnsi="Calibri"/>
          <w:sz w:val="18"/>
          <w:szCs w:val="18"/>
          <w:color w:val="00000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63" w:name="page64"/>
    <w:bookmarkEnd w:id="63"/>
    <w:p>
      <w:pPr>
        <w:jc w:val="both"/>
        <w:spacing w:after="0" w:line="235" w:lineRule="auto"/>
        <w:rPr>
          <w:sz w:val="20"/>
          <w:szCs w:val="20"/>
          <w:color w:val="auto"/>
        </w:rPr>
      </w:pPr>
      <w:r>
        <w:rPr>
          <w:rFonts w:ascii="Calibri" w:cs="Calibri" w:eastAsia="Calibri" w:hAnsi="Calibri"/>
          <w:sz w:val="18"/>
          <w:szCs w:val="18"/>
          <w:color w:val="auto"/>
        </w:rPr>
        <w:t>applicable, our Annual Report to Shareholders or proxy statement, unless one or more of these shareholders notfes us that they would like to contnue to receive individual copies. This will reduce our printng costs and postage fees. Shareholders who partcipate in householding will contnue to receive separate proxy cards. Also, householding will not in any way afect dividend check or dividend reinvestment statement mailings.</w:t>
      </w:r>
    </w:p>
    <w:p>
      <w:pPr>
        <w:spacing w:after="0" w:line="219" w:lineRule="exact"/>
        <w:rPr>
          <w:sz w:val="20"/>
          <w:szCs w:val="20"/>
          <w:color w:val="auto"/>
        </w:rPr>
      </w:pPr>
    </w:p>
    <w:p>
      <w:pPr>
        <w:jc w:val="both"/>
        <w:ind w:firstLine="374"/>
        <w:spacing w:after="0" w:line="252" w:lineRule="auto"/>
        <w:rPr>
          <w:sz w:val="20"/>
          <w:szCs w:val="20"/>
          <w:color w:val="auto"/>
        </w:rPr>
      </w:pPr>
      <w:r>
        <w:rPr>
          <w:rFonts w:ascii="Calibri" w:cs="Calibri" w:eastAsia="Calibri" w:hAnsi="Calibri"/>
          <w:sz w:val="17"/>
          <w:szCs w:val="17"/>
          <w:color w:val="auto"/>
        </w:rPr>
        <w:t>If you and other shareholders of record with whom you share an address currently receive multple copies of our Notce of Internet Availability of Proxy Materials or, as applicable, our Annual Report to Shareholders or proxy statement, or if you hold stock in more than one account, and in either case, you would like to receive only a single copy of the Notce of Internet Availability of Proxy Materials or, as applicable, our Annual Report to Shareholders or proxy statement for your household, please contact Computershare; P.O. Box 43006, Providence, RI 02940-3006 or phone toll free 1-888-216-8114.</w:t>
      </w:r>
    </w:p>
    <w:p>
      <w:pPr>
        <w:spacing w:after="0" w:line="208"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If you partcipate in householding and would like to receive a separate copy of our Notce of Internet Availability of Proxy Materials or, as applicable, our Annual Report to Shareholders or proxy statement, please call us at 405-553-3406, email us at stock@oge.com or write us at: OGE Energy Corp. Shareholder Relatons, 321 North Harvey, P.O. Box 321, Oklahoma City, Oklahoma 73101-0321. We will deliver the requested documents to you promptly upon receipt of your request.</w:t>
      </w:r>
    </w:p>
    <w:p>
      <w:pPr>
        <w:spacing w:after="0" w:line="219" w:lineRule="exact"/>
        <w:rPr>
          <w:sz w:val="20"/>
          <w:szCs w:val="20"/>
          <w:color w:val="auto"/>
        </w:rPr>
      </w:pPr>
    </w:p>
    <w:p>
      <w:pPr>
        <w:jc w:val="both"/>
        <w:ind w:firstLine="374"/>
        <w:spacing w:after="0" w:line="235" w:lineRule="auto"/>
        <w:rPr>
          <w:sz w:val="20"/>
          <w:szCs w:val="20"/>
          <w:color w:val="auto"/>
        </w:rPr>
      </w:pPr>
      <w:r>
        <w:rPr>
          <w:rFonts w:ascii="Calibri" w:cs="Calibri" w:eastAsia="Calibri" w:hAnsi="Calibri"/>
          <w:sz w:val="18"/>
          <w:szCs w:val="18"/>
          <w:color w:val="auto"/>
        </w:rPr>
        <w:t>Some banks, brokers and other nominee record holders may be partcipatng in the practce of "householding" proxy statements and annual reports. This means that only a single copy of our Notce of Internet Availability of Proxy Materials, or our Annual Report to Shareholders or proxy statement may have been sent to multple shareholders in your household. We will promptly deliver a separate copy of either document to you if you call us at 405-553-3406, email us at stock@oge.com or write us at: OGE Energy Corp. Shareholder Relatons, 321 North Harvey, P.O. Box 321, Oklahoma City, Oklahoma 73101-0321. If you want to receive separate copies of our Annual Report to Shareholders and proxy statement in the future, or if you are receiving multple copies and would like to receive only a single copy for your household, you should contact your bank, broker, or other nominee record holder.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660" w:val="left"/>
        </w:tabs>
        <w:rPr>
          <w:sz w:val="20"/>
          <w:szCs w:val="20"/>
          <w:color w:val="auto"/>
        </w:rPr>
      </w:pPr>
      <w:r>
        <w:rPr>
          <w:rFonts w:ascii="Calibri" w:cs="Calibri" w:eastAsia="Calibri" w:hAnsi="Calibri"/>
          <w:sz w:val="18"/>
          <w:szCs w:val="18"/>
          <w:color w:val="auto"/>
        </w:rPr>
        <w:t>58</w:t>
      </w:r>
      <w:r>
        <w:rPr>
          <w:sz w:val="20"/>
          <w:szCs w:val="20"/>
          <w:color w:val="auto"/>
        </w:rPr>
        <w:tab/>
      </w:r>
      <w:r>
        <w:rPr>
          <w:rFonts w:ascii="Calibri" w:cs="Calibri" w:eastAsia="Calibri" w:hAnsi="Calibri"/>
          <w:sz w:val="18"/>
          <w:szCs w:val="18"/>
          <w:b w:val="1"/>
          <w:bCs w:val="1"/>
          <w:color w:val="EE2724"/>
        </w:rPr>
        <w:t xml:space="preserve">OGE Energy Corp. </w:t>
      </w:r>
      <w:r>
        <w:rPr>
          <w:rFonts w:ascii="Calibri" w:cs="Calibri" w:eastAsia="Calibri" w:hAnsi="Calibri"/>
          <w:sz w:val="18"/>
          <w:szCs w:val="18"/>
          <w:color w:val="00000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64" w:name="page65"/>
    <w:bookmarkEnd w:id="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1073785</wp:posOffset>
            </wp:positionH>
            <wp:positionV relativeFrom="page">
              <wp:posOffset>800735</wp:posOffset>
            </wp:positionV>
            <wp:extent cx="5057775" cy="4800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057775" cy="48006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4720" w:type="dxa"/>
            <w:vAlign w:val="bottom"/>
          </w:tcPr>
          <w:p>
            <w:pPr>
              <w:ind w:left="1380"/>
              <w:spacing w:after="0"/>
              <w:rPr>
                <w:sz w:val="20"/>
                <w:szCs w:val="20"/>
                <w:color w:val="auto"/>
              </w:rPr>
            </w:pPr>
            <w:r>
              <w:rPr>
                <w:rFonts w:ascii="Calibri" w:cs="Calibri" w:eastAsia="Calibri" w:hAnsi="Calibri"/>
                <w:sz w:val="11"/>
                <w:szCs w:val="11"/>
                <w:color w:val="auto"/>
              </w:rPr>
              <w:t>OGE ENERGY CORP.</w:t>
            </w:r>
          </w:p>
        </w:tc>
        <w:tc>
          <w:tcPr>
            <w:tcW w:w="6520" w:type="dxa"/>
            <w:vAlign w:val="bottom"/>
            <w:gridSpan w:val="3"/>
          </w:tcPr>
          <w:p>
            <w:pPr>
              <w:ind w:left="540"/>
              <w:spacing w:after="0"/>
              <w:rPr>
                <w:sz w:val="20"/>
                <w:szCs w:val="20"/>
                <w:color w:val="auto"/>
              </w:rPr>
            </w:pPr>
            <w:r>
              <w:rPr>
                <w:rFonts w:ascii="Calibri" w:cs="Calibri" w:eastAsia="Calibri" w:hAnsi="Calibri"/>
                <w:sz w:val="11"/>
                <w:szCs w:val="11"/>
                <w:b w:val="1"/>
                <w:bCs w:val="1"/>
                <w:color w:val="auto"/>
              </w:rPr>
              <w:t>VOTE BY INTERNET - www.proxyvote.com or scan the QR Barcode above</w:t>
            </w:r>
          </w:p>
        </w:tc>
      </w:tr>
      <w:tr>
        <w:trPr>
          <w:trHeight w:val="135"/>
        </w:trPr>
        <w:tc>
          <w:tcPr>
            <w:tcW w:w="4720" w:type="dxa"/>
            <w:vAlign w:val="bottom"/>
          </w:tcPr>
          <w:p>
            <w:pPr>
              <w:ind w:left="1380"/>
              <w:spacing w:after="0"/>
              <w:rPr>
                <w:sz w:val="20"/>
                <w:szCs w:val="20"/>
                <w:color w:val="auto"/>
              </w:rPr>
            </w:pPr>
            <w:r>
              <w:rPr>
                <w:rFonts w:ascii="Calibri" w:cs="Calibri" w:eastAsia="Calibri" w:hAnsi="Calibri"/>
                <w:sz w:val="11"/>
                <w:szCs w:val="11"/>
                <w:color w:val="auto"/>
              </w:rPr>
              <w:t>P.O. BOX 321</w:t>
            </w:r>
          </w:p>
        </w:tc>
        <w:tc>
          <w:tcPr>
            <w:tcW w:w="174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2640" w:type="dxa"/>
            <w:vAlign w:val="bottom"/>
          </w:tcPr>
          <w:p>
            <w:pPr>
              <w:spacing w:after="0"/>
              <w:rPr>
                <w:sz w:val="11"/>
                <w:szCs w:val="11"/>
                <w:color w:val="auto"/>
              </w:rPr>
            </w:pPr>
          </w:p>
        </w:tc>
      </w:tr>
      <w:tr>
        <w:trPr>
          <w:trHeight w:val="135"/>
        </w:trPr>
        <w:tc>
          <w:tcPr>
            <w:tcW w:w="4720" w:type="dxa"/>
            <w:vAlign w:val="bottom"/>
          </w:tcPr>
          <w:p>
            <w:pPr>
              <w:ind w:left="1380"/>
              <w:spacing w:after="0"/>
              <w:rPr>
                <w:sz w:val="20"/>
                <w:szCs w:val="20"/>
                <w:color w:val="auto"/>
              </w:rPr>
            </w:pPr>
            <w:r>
              <w:rPr>
                <w:rFonts w:ascii="Calibri" w:cs="Calibri" w:eastAsia="Calibri" w:hAnsi="Calibri"/>
                <w:sz w:val="11"/>
                <w:szCs w:val="11"/>
                <w:color w:val="auto"/>
              </w:rPr>
              <w:t>OKLAHOMA CITY, OK 73101-0321</w:t>
            </w:r>
          </w:p>
        </w:tc>
        <w:tc>
          <w:tcPr>
            <w:tcW w:w="6520" w:type="dxa"/>
            <w:vAlign w:val="bottom"/>
            <w:gridSpan w:val="3"/>
          </w:tcPr>
          <w:p>
            <w:pPr>
              <w:ind w:left="540"/>
              <w:spacing w:after="0"/>
              <w:rPr>
                <w:sz w:val="20"/>
                <w:szCs w:val="20"/>
                <w:color w:val="auto"/>
              </w:rPr>
            </w:pPr>
            <w:r>
              <w:rPr>
                <w:rFonts w:ascii="Calibri" w:cs="Calibri" w:eastAsia="Calibri" w:hAnsi="Calibri"/>
                <w:sz w:val="11"/>
                <w:szCs w:val="11"/>
                <w:color w:val="auto"/>
              </w:rPr>
              <w:t>Use the Internet to transmit your votng instructons and for electronic delivery of informaton. Vote by 11:59 p.m. EDT</w:t>
            </w:r>
          </w:p>
        </w:tc>
      </w:tr>
      <w:tr>
        <w:trPr>
          <w:trHeight w:val="135"/>
        </w:trPr>
        <w:tc>
          <w:tcPr>
            <w:tcW w:w="4720" w:type="dxa"/>
            <w:vAlign w:val="bottom"/>
          </w:tcPr>
          <w:p>
            <w:pPr>
              <w:ind w:left="1380"/>
              <w:spacing w:after="0"/>
              <w:rPr>
                <w:sz w:val="20"/>
                <w:szCs w:val="20"/>
                <w:color w:val="auto"/>
              </w:rPr>
            </w:pPr>
            <w:r>
              <w:rPr>
                <w:rFonts w:ascii="Calibri" w:cs="Calibri" w:eastAsia="Calibri" w:hAnsi="Calibri"/>
                <w:sz w:val="11"/>
                <w:szCs w:val="11"/>
                <w:color w:val="auto"/>
              </w:rPr>
              <w:t>ATTN: Jason Bailey</w:t>
            </w:r>
          </w:p>
        </w:tc>
        <w:tc>
          <w:tcPr>
            <w:tcW w:w="6520" w:type="dxa"/>
            <w:vAlign w:val="bottom"/>
            <w:gridSpan w:val="3"/>
          </w:tcPr>
          <w:p>
            <w:pPr>
              <w:ind w:left="540"/>
              <w:spacing w:after="0"/>
              <w:rPr>
                <w:sz w:val="20"/>
                <w:szCs w:val="20"/>
                <w:color w:val="auto"/>
              </w:rPr>
            </w:pPr>
            <w:r>
              <w:rPr>
                <w:rFonts w:ascii="Calibri" w:cs="Calibri" w:eastAsia="Calibri" w:hAnsi="Calibri"/>
                <w:sz w:val="11"/>
                <w:szCs w:val="11"/>
                <w:color w:val="auto"/>
              </w:rPr>
              <w:t>on May 15, 2024 for shares held directly and by 11:59 p.m. EDT on May 13, 2024 for shares held in a Plan. Have your</w:t>
            </w:r>
          </w:p>
        </w:tc>
      </w:tr>
      <w:tr>
        <w:trPr>
          <w:trHeight w:val="135"/>
        </w:trPr>
        <w:tc>
          <w:tcPr>
            <w:tcW w:w="4720" w:type="dxa"/>
            <w:vAlign w:val="bottom"/>
          </w:tcPr>
          <w:p>
            <w:pPr>
              <w:spacing w:after="0"/>
              <w:rPr>
                <w:sz w:val="11"/>
                <w:szCs w:val="11"/>
                <w:color w:val="auto"/>
              </w:rPr>
            </w:pPr>
          </w:p>
        </w:tc>
        <w:tc>
          <w:tcPr>
            <w:tcW w:w="6520" w:type="dxa"/>
            <w:vAlign w:val="bottom"/>
            <w:gridSpan w:val="3"/>
          </w:tcPr>
          <w:p>
            <w:pPr>
              <w:ind w:left="540"/>
              <w:spacing w:after="0"/>
              <w:rPr>
                <w:sz w:val="20"/>
                <w:szCs w:val="20"/>
                <w:color w:val="auto"/>
              </w:rPr>
            </w:pPr>
            <w:r>
              <w:rPr>
                <w:rFonts w:ascii="Calibri" w:cs="Calibri" w:eastAsia="Calibri" w:hAnsi="Calibri"/>
                <w:sz w:val="11"/>
                <w:szCs w:val="11"/>
                <w:color w:val="auto"/>
              </w:rPr>
              <w:t>proxy card in hand when you access the web site and follow the instructons to obtain your records and to create an</w:t>
            </w:r>
          </w:p>
        </w:tc>
      </w:tr>
      <w:tr>
        <w:trPr>
          <w:trHeight w:val="135"/>
        </w:trPr>
        <w:tc>
          <w:tcPr>
            <w:tcW w:w="4720" w:type="dxa"/>
            <w:vAlign w:val="bottom"/>
          </w:tcPr>
          <w:p>
            <w:pPr>
              <w:spacing w:after="0"/>
              <w:rPr>
                <w:sz w:val="11"/>
                <w:szCs w:val="11"/>
                <w:color w:val="auto"/>
              </w:rPr>
            </w:pPr>
          </w:p>
        </w:tc>
        <w:tc>
          <w:tcPr>
            <w:tcW w:w="6520" w:type="dxa"/>
            <w:vAlign w:val="bottom"/>
            <w:gridSpan w:val="3"/>
          </w:tcPr>
          <w:p>
            <w:pPr>
              <w:ind w:left="540"/>
              <w:spacing w:after="0"/>
              <w:rPr>
                <w:sz w:val="20"/>
                <w:szCs w:val="20"/>
                <w:color w:val="auto"/>
              </w:rPr>
            </w:pPr>
            <w:r>
              <w:rPr>
                <w:rFonts w:ascii="Calibri" w:cs="Calibri" w:eastAsia="Calibri" w:hAnsi="Calibri"/>
                <w:sz w:val="11"/>
                <w:szCs w:val="11"/>
                <w:color w:val="auto"/>
              </w:rPr>
              <w:t>electronic votng instructon form.</w:t>
            </w:r>
          </w:p>
        </w:tc>
      </w:tr>
      <w:tr>
        <w:trPr>
          <w:trHeight w:val="338"/>
        </w:trPr>
        <w:tc>
          <w:tcPr>
            <w:tcW w:w="4720" w:type="dxa"/>
            <w:vAlign w:val="bottom"/>
          </w:tcPr>
          <w:p>
            <w:pPr>
              <w:spacing w:after="0"/>
              <w:rPr>
                <w:sz w:val="24"/>
                <w:szCs w:val="24"/>
                <w:color w:val="auto"/>
              </w:rPr>
            </w:pPr>
          </w:p>
        </w:tc>
        <w:tc>
          <w:tcPr>
            <w:tcW w:w="6520" w:type="dxa"/>
            <w:vAlign w:val="bottom"/>
            <w:gridSpan w:val="3"/>
          </w:tcPr>
          <w:p>
            <w:pPr>
              <w:ind w:left="540"/>
              <w:spacing w:after="0"/>
              <w:rPr>
                <w:sz w:val="20"/>
                <w:szCs w:val="20"/>
                <w:color w:val="auto"/>
              </w:rPr>
            </w:pPr>
            <w:r>
              <w:rPr>
                <w:rFonts w:ascii="Calibri" w:cs="Calibri" w:eastAsia="Calibri" w:hAnsi="Calibri"/>
                <w:sz w:val="11"/>
                <w:szCs w:val="11"/>
                <w:i w:val="1"/>
                <w:iCs w:val="1"/>
                <w:color w:val="auto"/>
              </w:rPr>
              <w:t xml:space="preserve">During the Meetng </w:t>
            </w:r>
            <w:r>
              <w:rPr>
                <w:rFonts w:ascii="Calibri" w:cs="Calibri" w:eastAsia="Calibri" w:hAnsi="Calibri"/>
                <w:sz w:val="11"/>
                <w:szCs w:val="11"/>
                <w:color w:val="auto"/>
              </w:rPr>
              <w:t>- Go to</w:t>
            </w:r>
            <w:r>
              <w:rPr>
                <w:rFonts w:ascii="Calibri" w:cs="Calibri" w:eastAsia="Calibri" w:hAnsi="Calibri"/>
                <w:sz w:val="11"/>
                <w:szCs w:val="11"/>
                <w:i w:val="1"/>
                <w:iCs w:val="1"/>
                <w:color w:val="auto"/>
              </w:rPr>
              <w:t xml:space="preserve"> </w:t>
            </w:r>
            <w:r>
              <w:rPr>
                <w:rFonts w:ascii="Calibri" w:cs="Calibri" w:eastAsia="Calibri" w:hAnsi="Calibri"/>
                <w:sz w:val="11"/>
                <w:szCs w:val="11"/>
                <w:b w:val="1"/>
                <w:bCs w:val="1"/>
                <w:color w:val="auto"/>
              </w:rPr>
              <w:t>www.virtualshareholdermeetng.com/OGE2024</w:t>
            </w:r>
          </w:p>
        </w:tc>
      </w:tr>
      <w:tr>
        <w:trPr>
          <w:trHeight w:val="20"/>
        </w:trPr>
        <w:tc>
          <w:tcPr>
            <w:tcW w:w="4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28"/>
        </w:trPr>
        <w:tc>
          <w:tcPr>
            <w:tcW w:w="4720" w:type="dxa"/>
            <w:vAlign w:val="bottom"/>
          </w:tcPr>
          <w:p>
            <w:pPr>
              <w:spacing w:after="0"/>
              <w:rPr>
                <w:sz w:val="11"/>
                <w:szCs w:val="11"/>
                <w:color w:val="auto"/>
              </w:rPr>
            </w:pPr>
          </w:p>
        </w:tc>
        <w:tc>
          <w:tcPr>
            <w:tcW w:w="6520" w:type="dxa"/>
            <w:vAlign w:val="bottom"/>
            <w:gridSpan w:val="3"/>
          </w:tcPr>
          <w:p>
            <w:pPr>
              <w:ind w:left="540"/>
              <w:spacing w:after="0" w:line="128" w:lineRule="exact"/>
              <w:rPr>
                <w:sz w:val="20"/>
                <w:szCs w:val="20"/>
                <w:color w:val="auto"/>
              </w:rPr>
            </w:pPr>
            <w:r>
              <w:rPr>
                <w:rFonts w:ascii="Calibri" w:cs="Calibri" w:eastAsia="Calibri" w:hAnsi="Calibri"/>
                <w:sz w:val="11"/>
                <w:szCs w:val="11"/>
                <w:color w:val="auto"/>
              </w:rPr>
              <w:t>You may atend the meetng via the Internet and vote during the meetng. Have the informaton that is printed in the</w:t>
            </w:r>
          </w:p>
        </w:tc>
      </w:tr>
      <w:tr>
        <w:trPr>
          <w:trHeight w:val="135"/>
        </w:trPr>
        <w:tc>
          <w:tcPr>
            <w:tcW w:w="4720" w:type="dxa"/>
            <w:vAlign w:val="bottom"/>
          </w:tcPr>
          <w:p>
            <w:pPr>
              <w:spacing w:after="0"/>
              <w:rPr>
                <w:sz w:val="11"/>
                <w:szCs w:val="11"/>
                <w:color w:val="auto"/>
              </w:rPr>
            </w:pPr>
          </w:p>
        </w:tc>
        <w:tc>
          <w:tcPr>
            <w:tcW w:w="6520" w:type="dxa"/>
            <w:vAlign w:val="bottom"/>
            <w:gridSpan w:val="3"/>
          </w:tcPr>
          <w:p>
            <w:pPr>
              <w:ind w:left="540"/>
              <w:spacing w:after="0"/>
              <w:rPr>
                <w:sz w:val="20"/>
                <w:szCs w:val="20"/>
                <w:color w:val="auto"/>
              </w:rPr>
            </w:pPr>
            <w:r>
              <w:rPr>
                <w:rFonts w:ascii="Calibri" w:cs="Calibri" w:eastAsia="Calibri" w:hAnsi="Calibri"/>
                <w:sz w:val="11"/>
                <w:szCs w:val="11"/>
                <w:color w:val="auto"/>
              </w:rPr>
              <w:t>box marked by the arrow available and follow the instructons.</w:t>
            </w:r>
          </w:p>
        </w:tc>
      </w:tr>
      <w:tr>
        <w:trPr>
          <w:trHeight w:val="256"/>
        </w:trPr>
        <w:tc>
          <w:tcPr>
            <w:tcW w:w="4720" w:type="dxa"/>
            <w:vAlign w:val="bottom"/>
          </w:tcPr>
          <w:p>
            <w:pPr>
              <w:spacing w:after="0"/>
              <w:rPr>
                <w:sz w:val="22"/>
                <w:szCs w:val="22"/>
                <w:color w:val="auto"/>
              </w:rPr>
            </w:pPr>
          </w:p>
        </w:tc>
        <w:tc>
          <w:tcPr>
            <w:tcW w:w="6520" w:type="dxa"/>
            <w:vAlign w:val="bottom"/>
            <w:gridSpan w:val="3"/>
          </w:tcPr>
          <w:p>
            <w:pPr>
              <w:ind w:left="540"/>
              <w:spacing w:after="0"/>
              <w:rPr>
                <w:sz w:val="20"/>
                <w:szCs w:val="20"/>
                <w:color w:val="auto"/>
              </w:rPr>
            </w:pPr>
            <w:r>
              <w:rPr>
                <w:rFonts w:ascii="Calibri" w:cs="Calibri" w:eastAsia="Calibri" w:hAnsi="Calibri"/>
                <w:sz w:val="11"/>
                <w:szCs w:val="11"/>
                <w:b w:val="1"/>
                <w:bCs w:val="1"/>
                <w:color w:val="auto"/>
              </w:rPr>
              <w:t>VOTE BY PHONE - 1-800-690-6903</w:t>
            </w:r>
          </w:p>
        </w:tc>
      </w:tr>
      <w:tr>
        <w:trPr>
          <w:trHeight w:val="135"/>
        </w:trPr>
        <w:tc>
          <w:tcPr>
            <w:tcW w:w="4720" w:type="dxa"/>
            <w:vAlign w:val="bottom"/>
          </w:tcPr>
          <w:p>
            <w:pPr>
              <w:spacing w:after="0"/>
              <w:rPr>
                <w:sz w:val="11"/>
                <w:szCs w:val="11"/>
                <w:color w:val="auto"/>
              </w:rPr>
            </w:pPr>
          </w:p>
        </w:tc>
        <w:tc>
          <w:tcPr>
            <w:tcW w:w="6520" w:type="dxa"/>
            <w:vAlign w:val="bottom"/>
            <w:gridSpan w:val="3"/>
          </w:tcPr>
          <w:p>
            <w:pPr>
              <w:ind w:left="540"/>
              <w:spacing w:after="0"/>
              <w:rPr>
                <w:sz w:val="20"/>
                <w:szCs w:val="20"/>
                <w:color w:val="auto"/>
              </w:rPr>
            </w:pPr>
            <w:r>
              <w:rPr>
                <w:rFonts w:ascii="Calibri" w:cs="Calibri" w:eastAsia="Calibri" w:hAnsi="Calibri"/>
                <w:sz w:val="11"/>
                <w:szCs w:val="11"/>
                <w:color w:val="auto"/>
              </w:rPr>
              <w:t>Use any touch-tone telephone to transmit your votng instructons. Vote by 11:59 p.m. EDT on May 15, 2024 for shares</w:t>
            </w:r>
          </w:p>
        </w:tc>
      </w:tr>
      <w:tr>
        <w:trPr>
          <w:trHeight w:val="135"/>
        </w:trPr>
        <w:tc>
          <w:tcPr>
            <w:tcW w:w="4720" w:type="dxa"/>
            <w:vAlign w:val="bottom"/>
          </w:tcPr>
          <w:p>
            <w:pPr>
              <w:spacing w:after="0"/>
              <w:rPr>
                <w:sz w:val="11"/>
                <w:szCs w:val="11"/>
                <w:color w:val="auto"/>
              </w:rPr>
            </w:pPr>
          </w:p>
        </w:tc>
        <w:tc>
          <w:tcPr>
            <w:tcW w:w="6520" w:type="dxa"/>
            <w:vAlign w:val="bottom"/>
            <w:gridSpan w:val="3"/>
          </w:tcPr>
          <w:p>
            <w:pPr>
              <w:ind w:left="540"/>
              <w:spacing w:after="0"/>
              <w:rPr>
                <w:sz w:val="20"/>
                <w:szCs w:val="20"/>
                <w:color w:val="auto"/>
              </w:rPr>
            </w:pPr>
            <w:r>
              <w:rPr>
                <w:rFonts w:ascii="Calibri" w:cs="Calibri" w:eastAsia="Calibri" w:hAnsi="Calibri"/>
                <w:sz w:val="11"/>
                <w:szCs w:val="11"/>
                <w:color w:val="auto"/>
              </w:rPr>
              <w:t>held directly and by 11:59 p.m. EDT on May 13, 2024 for shares held in a Plan. Have your proxy card in hand when you</w:t>
            </w:r>
          </w:p>
        </w:tc>
      </w:tr>
      <w:tr>
        <w:trPr>
          <w:trHeight w:val="135"/>
        </w:trPr>
        <w:tc>
          <w:tcPr>
            <w:tcW w:w="4720" w:type="dxa"/>
            <w:vAlign w:val="bottom"/>
          </w:tcPr>
          <w:p>
            <w:pPr>
              <w:spacing w:after="0"/>
              <w:rPr>
                <w:sz w:val="11"/>
                <w:szCs w:val="11"/>
                <w:color w:val="auto"/>
              </w:rPr>
            </w:pPr>
          </w:p>
        </w:tc>
        <w:tc>
          <w:tcPr>
            <w:tcW w:w="6520" w:type="dxa"/>
            <w:vAlign w:val="bottom"/>
            <w:gridSpan w:val="3"/>
          </w:tcPr>
          <w:p>
            <w:pPr>
              <w:ind w:left="540"/>
              <w:spacing w:after="0"/>
              <w:rPr>
                <w:sz w:val="20"/>
                <w:szCs w:val="20"/>
                <w:color w:val="auto"/>
              </w:rPr>
            </w:pPr>
            <w:r>
              <w:rPr>
                <w:rFonts w:ascii="Calibri" w:cs="Calibri" w:eastAsia="Calibri" w:hAnsi="Calibri"/>
                <w:sz w:val="11"/>
                <w:szCs w:val="11"/>
                <w:color w:val="auto"/>
              </w:rPr>
              <w:t>call and then follow the instructons.</w:t>
            </w:r>
          </w:p>
        </w:tc>
      </w:tr>
      <w:tr>
        <w:trPr>
          <w:trHeight w:val="257"/>
        </w:trPr>
        <w:tc>
          <w:tcPr>
            <w:tcW w:w="4720" w:type="dxa"/>
            <w:vAlign w:val="bottom"/>
          </w:tcPr>
          <w:p>
            <w:pPr>
              <w:spacing w:after="0"/>
              <w:rPr>
                <w:sz w:val="22"/>
                <w:szCs w:val="22"/>
                <w:color w:val="auto"/>
              </w:rPr>
            </w:pPr>
          </w:p>
        </w:tc>
        <w:tc>
          <w:tcPr>
            <w:tcW w:w="6520" w:type="dxa"/>
            <w:vAlign w:val="bottom"/>
            <w:gridSpan w:val="3"/>
          </w:tcPr>
          <w:p>
            <w:pPr>
              <w:ind w:left="540"/>
              <w:spacing w:after="0"/>
              <w:rPr>
                <w:sz w:val="20"/>
                <w:szCs w:val="20"/>
                <w:color w:val="auto"/>
              </w:rPr>
            </w:pPr>
            <w:r>
              <w:rPr>
                <w:rFonts w:ascii="Calibri" w:cs="Calibri" w:eastAsia="Calibri" w:hAnsi="Calibri"/>
                <w:sz w:val="11"/>
                <w:szCs w:val="11"/>
                <w:b w:val="1"/>
                <w:bCs w:val="1"/>
                <w:color w:val="auto"/>
              </w:rPr>
              <w:t>VOTE BY MAIL</w:t>
            </w:r>
          </w:p>
        </w:tc>
      </w:tr>
      <w:tr>
        <w:trPr>
          <w:trHeight w:val="135"/>
        </w:trPr>
        <w:tc>
          <w:tcPr>
            <w:tcW w:w="4720" w:type="dxa"/>
            <w:vAlign w:val="bottom"/>
          </w:tcPr>
          <w:p>
            <w:pPr>
              <w:spacing w:after="0"/>
              <w:rPr>
                <w:sz w:val="11"/>
                <w:szCs w:val="11"/>
                <w:color w:val="auto"/>
              </w:rPr>
            </w:pPr>
          </w:p>
        </w:tc>
        <w:tc>
          <w:tcPr>
            <w:tcW w:w="6520" w:type="dxa"/>
            <w:vAlign w:val="bottom"/>
            <w:gridSpan w:val="3"/>
          </w:tcPr>
          <w:p>
            <w:pPr>
              <w:ind w:left="540"/>
              <w:spacing w:after="0"/>
              <w:rPr>
                <w:sz w:val="20"/>
                <w:szCs w:val="20"/>
                <w:color w:val="auto"/>
              </w:rPr>
            </w:pPr>
            <w:r>
              <w:rPr>
                <w:rFonts w:ascii="Calibri" w:cs="Calibri" w:eastAsia="Calibri" w:hAnsi="Calibri"/>
                <w:sz w:val="11"/>
                <w:szCs w:val="11"/>
                <w:color w:val="auto"/>
              </w:rPr>
              <w:t>Mark, sign and date your proxy card and return it in the postage-paid envelope we have provided or return it to Vote</w:t>
            </w:r>
          </w:p>
        </w:tc>
      </w:tr>
      <w:tr>
        <w:trPr>
          <w:trHeight w:val="135"/>
        </w:trPr>
        <w:tc>
          <w:tcPr>
            <w:tcW w:w="4720" w:type="dxa"/>
            <w:vAlign w:val="bottom"/>
          </w:tcPr>
          <w:p>
            <w:pPr>
              <w:ind w:left="1380"/>
              <w:spacing w:after="0"/>
              <w:rPr>
                <w:sz w:val="20"/>
                <w:szCs w:val="20"/>
                <w:color w:val="auto"/>
              </w:rPr>
            </w:pPr>
            <w:r>
              <w:rPr>
                <w:rFonts w:ascii="Calibri" w:cs="Calibri" w:eastAsia="Calibri" w:hAnsi="Calibri"/>
                <w:sz w:val="11"/>
                <w:szCs w:val="11"/>
                <w:color w:val="auto"/>
              </w:rPr>
              <w:t>[Shareholder Address]</w:t>
            </w:r>
          </w:p>
        </w:tc>
        <w:tc>
          <w:tcPr>
            <w:tcW w:w="6520" w:type="dxa"/>
            <w:vAlign w:val="bottom"/>
            <w:gridSpan w:val="3"/>
          </w:tcPr>
          <w:p>
            <w:pPr>
              <w:ind w:left="540"/>
              <w:spacing w:after="0"/>
              <w:rPr>
                <w:sz w:val="20"/>
                <w:szCs w:val="20"/>
                <w:color w:val="auto"/>
              </w:rPr>
            </w:pPr>
            <w:r>
              <w:rPr>
                <w:rFonts w:ascii="Calibri" w:cs="Calibri" w:eastAsia="Calibri" w:hAnsi="Calibri"/>
                <w:sz w:val="11"/>
                <w:szCs w:val="11"/>
                <w:color w:val="auto"/>
              </w:rPr>
              <w:t>Processing, c/o Broadridge, 51 Mercedes Way, Edgewood, NY 11717.</w:t>
            </w:r>
          </w:p>
        </w:tc>
      </w:tr>
      <w:tr>
        <w:trPr>
          <w:trHeight w:val="456"/>
        </w:trPr>
        <w:tc>
          <w:tcPr>
            <w:tcW w:w="4720" w:type="dxa"/>
            <w:vAlign w:val="bottom"/>
          </w:tcPr>
          <w:p>
            <w:pPr>
              <w:spacing w:after="0"/>
              <w:rPr>
                <w:sz w:val="24"/>
                <w:szCs w:val="24"/>
                <w:color w:val="auto"/>
              </w:rPr>
            </w:pPr>
          </w:p>
        </w:tc>
        <w:tc>
          <w:tcPr>
            <w:tcW w:w="6520" w:type="dxa"/>
            <w:vAlign w:val="bottom"/>
            <w:gridSpan w:val="3"/>
          </w:tcPr>
          <w:p>
            <w:pPr>
              <w:ind w:left="300"/>
              <w:spacing w:after="0"/>
              <w:rPr>
                <w:sz w:val="20"/>
                <w:szCs w:val="20"/>
                <w:color w:val="auto"/>
              </w:rPr>
            </w:pPr>
            <w:r>
              <w:rPr>
                <w:rFonts w:ascii="Calibri" w:cs="Calibri" w:eastAsia="Calibri" w:hAnsi="Calibri"/>
                <w:sz w:val="14"/>
                <w:szCs w:val="14"/>
                <w:color w:val="auto"/>
              </w:rPr>
              <w:t xml:space="preserve">CONTROL # </w:t>
            </w:r>
            <w:r>
              <w:rPr>
                <w:rFonts w:ascii="Calibri" w:cs="Calibri" w:eastAsia="Calibri" w:hAnsi="Calibri"/>
                <w:sz w:val="20"/>
                <w:szCs w:val="20"/>
                <w:color w:val="auto"/>
              </w:rPr>
              <w:t>»»»</w:t>
            </w:r>
          </w:p>
        </w:tc>
      </w:tr>
      <w:tr>
        <w:trPr>
          <w:trHeight w:val="834"/>
        </w:trPr>
        <w:tc>
          <w:tcPr>
            <w:tcW w:w="4720" w:type="dxa"/>
            <w:vAlign w:val="bottom"/>
          </w:tcPr>
          <w:p>
            <w:pPr>
              <w:spacing w:after="0"/>
              <w:rPr>
                <w:sz w:val="24"/>
                <w:szCs w:val="24"/>
                <w:color w:val="auto"/>
              </w:rPr>
            </w:pPr>
          </w:p>
        </w:tc>
        <w:tc>
          <w:tcPr>
            <w:tcW w:w="6520" w:type="dxa"/>
            <w:vAlign w:val="bottom"/>
            <w:gridSpan w:val="3"/>
          </w:tcPr>
          <w:p>
            <w:pPr>
              <w:ind w:left="300"/>
              <w:spacing w:after="0"/>
              <w:rPr>
                <w:sz w:val="20"/>
                <w:szCs w:val="20"/>
                <w:color w:val="auto"/>
              </w:rPr>
            </w:pPr>
            <w:r>
              <w:rPr>
                <w:rFonts w:ascii="Calibri" w:cs="Calibri" w:eastAsia="Calibri" w:hAnsi="Calibri"/>
                <w:sz w:val="14"/>
                <w:szCs w:val="14"/>
                <w:color w:val="auto"/>
              </w:rPr>
              <w:t>SHARES</w:t>
            </w:r>
          </w:p>
        </w:tc>
      </w:tr>
      <w:tr>
        <w:trPr>
          <w:trHeight w:val="216"/>
        </w:trPr>
        <w:tc>
          <w:tcPr>
            <w:tcW w:w="4720" w:type="dxa"/>
            <w:vAlign w:val="bottom"/>
          </w:tcPr>
          <w:p>
            <w:pPr>
              <w:ind w:left="420"/>
              <w:spacing w:after="0"/>
              <w:rPr>
                <w:sz w:val="20"/>
                <w:szCs w:val="20"/>
                <w:color w:val="auto"/>
              </w:rPr>
            </w:pPr>
            <w:r>
              <w:rPr>
                <w:rFonts w:ascii="Calibri" w:cs="Calibri" w:eastAsia="Calibri" w:hAnsi="Calibri"/>
                <w:sz w:val="14"/>
                <w:szCs w:val="14"/>
                <w:color w:val="auto"/>
              </w:rPr>
              <w:t>NAME</w:t>
            </w:r>
          </w:p>
        </w:tc>
        <w:tc>
          <w:tcPr>
            <w:tcW w:w="17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392"/>
        </w:trPr>
        <w:tc>
          <w:tcPr>
            <w:tcW w:w="4720" w:type="dxa"/>
            <w:vAlign w:val="bottom"/>
          </w:tcPr>
          <w:p>
            <w:pPr>
              <w:ind w:left="420"/>
              <w:spacing w:after="0"/>
              <w:rPr>
                <w:sz w:val="20"/>
                <w:szCs w:val="20"/>
                <w:color w:val="auto"/>
              </w:rPr>
            </w:pPr>
            <w:r>
              <w:rPr>
                <w:rFonts w:ascii="Calibri" w:cs="Calibri" w:eastAsia="Calibri" w:hAnsi="Calibri"/>
                <w:sz w:val="14"/>
                <w:szCs w:val="14"/>
                <w:color w:val="auto"/>
              </w:rPr>
              <w:t>OGE Energy Corp. Common Stock</w:t>
            </w:r>
          </w:p>
        </w:tc>
        <w:tc>
          <w:tcPr>
            <w:tcW w:w="6520" w:type="dxa"/>
            <w:vAlign w:val="bottom"/>
            <w:gridSpan w:val="3"/>
          </w:tcPr>
          <w:p>
            <w:pPr>
              <w:ind w:left="300"/>
              <w:spacing w:after="0"/>
              <w:rPr>
                <w:sz w:val="20"/>
                <w:szCs w:val="20"/>
                <w:color w:val="auto"/>
              </w:rPr>
            </w:pPr>
            <w:r>
              <w:rPr>
                <w:rFonts w:ascii="Calibri" w:cs="Calibri" w:eastAsia="Calibri" w:hAnsi="Calibri"/>
                <w:sz w:val="14"/>
                <w:szCs w:val="14"/>
                <w:color w:val="auto"/>
              </w:rPr>
              <w:t>PAGE 1 of 2</w:t>
            </w:r>
          </w:p>
        </w:tc>
      </w:tr>
      <w:tr>
        <w:trPr>
          <w:trHeight w:val="601"/>
        </w:trPr>
        <w:tc>
          <w:tcPr>
            <w:tcW w:w="4720" w:type="dxa"/>
            <w:vAlign w:val="bottom"/>
          </w:tcPr>
          <w:p>
            <w:pPr>
              <w:ind w:left="60"/>
              <w:spacing w:after="0" w:line="208" w:lineRule="exact"/>
              <w:rPr>
                <w:sz w:val="20"/>
                <w:szCs w:val="20"/>
                <w:color w:val="auto"/>
              </w:rPr>
            </w:pPr>
            <w:r>
              <w:rPr>
                <w:rFonts w:ascii="Calibri" w:cs="Calibri" w:eastAsia="Calibri" w:hAnsi="Calibri"/>
                <w:sz w:val="14"/>
                <w:szCs w:val="14"/>
                <w:color w:val="auto"/>
              </w:rPr>
              <w:t xml:space="preserve">TO VOTE, MARK BLOCKS BELOW IN BLUE OR BLACK INK AS FOLLOWS:   </w:t>
            </w:r>
            <w:r>
              <w:rPr>
                <w:rFonts w:ascii="MS PGothic" w:cs="MS PGothic" w:eastAsia="MS PGothic" w:hAnsi="MS PGothic"/>
                <w:sz w:val="17"/>
                <w:szCs w:val="17"/>
                <w:color w:val="auto"/>
              </w:rPr>
              <w:t>☒</w:t>
            </w:r>
          </w:p>
        </w:tc>
        <w:tc>
          <w:tcPr>
            <w:tcW w:w="17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640" w:type="dxa"/>
            <w:vAlign w:val="bottom"/>
          </w:tcPr>
          <w:p>
            <w:pPr>
              <w:jc w:val="right"/>
              <w:spacing w:after="0"/>
              <w:rPr>
                <w:sz w:val="20"/>
                <w:szCs w:val="20"/>
                <w:color w:val="auto"/>
              </w:rPr>
            </w:pPr>
            <w:r>
              <w:rPr>
                <w:rFonts w:ascii="Calibri" w:cs="Calibri" w:eastAsia="Calibri" w:hAnsi="Calibri"/>
                <w:sz w:val="14"/>
                <w:szCs w:val="14"/>
                <w:color w:val="auto"/>
              </w:rPr>
              <w:t>KEEP THIS PORTION FOR YOUR RECORDS</w:t>
            </w:r>
          </w:p>
        </w:tc>
      </w:tr>
      <w:tr>
        <w:trPr>
          <w:trHeight w:val="26"/>
        </w:trPr>
        <w:tc>
          <w:tcPr>
            <w:tcW w:w="47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r>
        <w:trPr>
          <w:trHeight w:val="217"/>
        </w:trPr>
        <w:tc>
          <w:tcPr>
            <w:tcW w:w="47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640" w:type="dxa"/>
            <w:vAlign w:val="bottom"/>
          </w:tcPr>
          <w:p>
            <w:pPr>
              <w:jc w:val="right"/>
              <w:spacing w:after="0"/>
              <w:rPr>
                <w:sz w:val="20"/>
                <w:szCs w:val="20"/>
                <w:color w:val="auto"/>
              </w:rPr>
            </w:pPr>
            <w:r>
              <w:rPr>
                <w:rFonts w:ascii="Calibri" w:cs="Calibri" w:eastAsia="Calibri" w:hAnsi="Calibri"/>
                <w:sz w:val="14"/>
                <w:szCs w:val="14"/>
                <w:color w:val="auto"/>
              </w:rPr>
              <w:t>DETACH AND RETURN THIS PORTION ONLY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-1598295</wp:posOffset>
            </wp:positionV>
            <wp:extent cx="917575" cy="1454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17575" cy="14541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Calibri" w:cs="Calibri" w:eastAsia="Calibri" w:hAnsi="Calibri"/>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891540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rPr>
          <w:sz w:val="20"/>
          <w:szCs w:val="20"/>
          <w:color w:val="auto"/>
        </w:rPr>
      </w:pPr>
      <w:r>
        <w:rPr>
          <w:rFonts w:ascii="Calibri" w:cs="Calibri" w:eastAsia="Calibri" w:hAnsi="Calibri"/>
          <w:sz w:val="14"/>
          <w:szCs w:val="14"/>
          <w:b w:val="1"/>
          <w:bCs w:val="1"/>
          <w:color w:val="auto"/>
        </w:rPr>
        <w:t>The Board of Directors recommends you vote FOR the following:</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60" w:type="dxa"/>
            <w:vAlign w:val="bottom"/>
          </w:tcPr>
          <w:p>
            <w:pPr>
              <w:spacing w:after="0"/>
              <w:rPr>
                <w:sz w:val="20"/>
                <w:szCs w:val="20"/>
                <w:color w:val="auto"/>
              </w:rPr>
            </w:pPr>
            <w:r>
              <w:rPr>
                <w:rFonts w:ascii="Calibri" w:cs="Calibri" w:eastAsia="Calibri" w:hAnsi="Calibri"/>
                <w:sz w:val="14"/>
                <w:szCs w:val="14"/>
                <w:color w:val="auto"/>
              </w:rPr>
              <w:t>1. Electon of Directors</w:t>
            </w: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83"/>
        </w:trPr>
        <w:tc>
          <w:tcPr>
            <w:tcW w:w="1860" w:type="dxa"/>
            <w:vAlign w:val="bottom"/>
          </w:tcPr>
          <w:p>
            <w:pPr>
              <w:ind w:left="680"/>
              <w:spacing w:after="0"/>
              <w:rPr>
                <w:sz w:val="20"/>
                <w:szCs w:val="20"/>
                <w:color w:val="auto"/>
              </w:rPr>
            </w:pPr>
            <w:r>
              <w:rPr>
                <w:rFonts w:ascii="Calibri" w:cs="Calibri" w:eastAsia="Calibri" w:hAnsi="Calibri"/>
                <w:sz w:val="14"/>
                <w:szCs w:val="14"/>
                <w:b w:val="1"/>
                <w:bCs w:val="1"/>
                <w:color w:val="auto"/>
              </w:rPr>
              <w:t>Nominees</w:t>
            </w:r>
          </w:p>
        </w:tc>
        <w:tc>
          <w:tcPr>
            <w:tcW w:w="1020" w:type="dxa"/>
            <w:vAlign w:val="bottom"/>
          </w:tcPr>
          <w:p>
            <w:pPr>
              <w:ind w:left="500"/>
              <w:spacing w:after="0"/>
              <w:rPr>
                <w:sz w:val="20"/>
                <w:szCs w:val="20"/>
                <w:color w:val="auto"/>
              </w:rPr>
            </w:pPr>
            <w:r>
              <w:rPr>
                <w:rFonts w:ascii="Calibri" w:cs="Calibri" w:eastAsia="Calibri" w:hAnsi="Calibri"/>
                <w:sz w:val="14"/>
                <w:szCs w:val="14"/>
                <w:b w:val="1"/>
                <w:bCs w:val="1"/>
                <w:color w:val="auto"/>
              </w:rPr>
              <w:t>For</w:t>
            </w:r>
          </w:p>
        </w:tc>
        <w:tc>
          <w:tcPr>
            <w:tcW w:w="760" w:type="dxa"/>
            <w:vAlign w:val="bottom"/>
          </w:tcPr>
          <w:p>
            <w:pPr>
              <w:jc w:val="center"/>
              <w:ind w:left="212"/>
              <w:spacing w:after="0"/>
              <w:rPr>
                <w:sz w:val="20"/>
                <w:szCs w:val="20"/>
                <w:color w:val="auto"/>
              </w:rPr>
            </w:pPr>
            <w:r>
              <w:rPr>
                <w:rFonts w:ascii="Calibri" w:cs="Calibri" w:eastAsia="Calibri" w:hAnsi="Calibri"/>
                <w:sz w:val="14"/>
                <w:szCs w:val="14"/>
                <w:b w:val="1"/>
                <w:bCs w:val="1"/>
                <w:color w:val="auto"/>
              </w:rPr>
              <w:t>Against</w:t>
            </w:r>
          </w:p>
        </w:tc>
      </w:tr>
      <w:tr>
        <w:trPr>
          <w:trHeight w:val="501"/>
        </w:trPr>
        <w:tc>
          <w:tcPr>
            <w:tcW w:w="1860" w:type="dxa"/>
            <w:vAlign w:val="bottom"/>
          </w:tcPr>
          <w:p>
            <w:pPr>
              <w:spacing w:after="0"/>
              <w:rPr>
                <w:sz w:val="20"/>
                <w:szCs w:val="20"/>
                <w:color w:val="auto"/>
              </w:rPr>
            </w:pPr>
            <w:r>
              <w:rPr>
                <w:rFonts w:ascii="Calibri" w:cs="Calibri" w:eastAsia="Calibri" w:hAnsi="Calibri"/>
                <w:sz w:val="14"/>
                <w:szCs w:val="14"/>
                <w:color w:val="auto"/>
              </w:rPr>
              <w:t>1a. Frank A. Bozich</w:t>
            </w:r>
          </w:p>
        </w:tc>
        <w:tc>
          <w:tcPr>
            <w:tcW w:w="1020" w:type="dxa"/>
            <w:vAlign w:val="bottom"/>
          </w:tcPr>
          <w:p>
            <w:pPr>
              <w:ind w:left="520"/>
              <w:spacing w:after="0"/>
              <w:rPr>
                <w:sz w:val="20"/>
                <w:szCs w:val="20"/>
                <w:color w:val="auto"/>
              </w:rPr>
            </w:pPr>
            <w:r>
              <w:rPr>
                <w:rFonts w:ascii="Wingdings" w:cs="Wingdings" w:eastAsia="Wingdings" w:hAnsi="Wingdings"/>
                <w:sz w:val="18"/>
                <w:szCs w:val="18"/>
                <w:b w:val="1"/>
                <w:bCs w:val="1"/>
                <w:color w:val="auto"/>
              </w:rPr>
              <w:t>o</w:t>
            </w:r>
          </w:p>
        </w:tc>
        <w:tc>
          <w:tcPr>
            <w:tcW w:w="760" w:type="dxa"/>
            <w:vAlign w:val="bottom"/>
          </w:tcPr>
          <w:p>
            <w:pPr>
              <w:jc w:val="center"/>
              <w:ind w:left="232"/>
              <w:spacing w:after="0"/>
              <w:rPr>
                <w:sz w:val="20"/>
                <w:szCs w:val="20"/>
                <w:color w:val="auto"/>
              </w:rPr>
            </w:pPr>
            <w:r>
              <w:rPr>
                <w:rFonts w:ascii="Wingdings" w:cs="Wingdings" w:eastAsia="Wingdings" w:hAnsi="Wingdings"/>
                <w:sz w:val="18"/>
                <w:szCs w:val="18"/>
                <w:b w:val="1"/>
                <w:bCs w:val="1"/>
                <w:color w:val="auto"/>
                <w:w w:val="99"/>
              </w:rPr>
              <w:t>o</w:t>
            </w:r>
          </w:p>
        </w:tc>
      </w:tr>
      <w:tr>
        <w:trPr>
          <w:trHeight w:val="459"/>
        </w:trPr>
        <w:tc>
          <w:tcPr>
            <w:tcW w:w="1860" w:type="dxa"/>
            <w:vAlign w:val="bottom"/>
          </w:tcPr>
          <w:p>
            <w:pPr>
              <w:spacing w:after="0"/>
              <w:rPr>
                <w:sz w:val="20"/>
                <w:szCs w:val="20"/>
                <w:color w:val="auto"/>
              </w:rPr>
            </w:pPr>
            <w:r>
              <w:rPr>
                <w:rFonts w:ascii="Calibri" w:cs="Calibri" w:eastAsia="Calibri" w:hAnsi="Calibri"/>
                <w:sz w:val="14"/>
                <w:szCs w:val="14"/>
                <w:color w:val="auto"/>
              </w:rPr>
              <w:t>1b. Peter D. Clarke</w:t>
            </w:r>
          </w:p>
        </w:tc>
        <w:tc>
          <w:tcPr>
            <w:tcW w:w="1020" w:type="dxa"/>
            <w:vAlign w:val="bottom"/>
          </w:tcPr>
          <w:p>
            <w:pPr>
              <w:ind w:left="520"/>
              <w:spacing w:after="0"/>
              <w:rPr>
                <w:sz w:val="20"/>
                <w:szCs w:val="20"/>
                <w:color w:val="auto"/>
              </w:rPr>
            </w:pPr>
            <w:r>
              <w:rPr>
                <w:rFonts w:ascii="Wingdings" w:cs="Wingdings" w:eastAsia="Wingdings" w:hAnsi="Wingdings"/>
                <w:sz w:val="18"/>
                <w:szCs w:val="18"/>
                <w:b w:val="1"/>
                <w:bCs w:val="1"/>
                <w:color w:val="auto"/>
              </w:rPr>
              <w:t>o</w:t>
            </w:r>
          </w:p>
        </w:tc>
        <w:tc>
          <w:tcPr>
            <w:tcW w:w="760" w:type="dxa"/>
            <w:vAlign w:val="bottom"/>
          </w:tcPr>
          <w:p>
            <w:pPr>
              <w:jc w:val="center"/>
              <w:ind w:left="232"/>
              <w:spacing w:after="0"/>
              <w:rPr>
                <w:sz w:val="20"/>
                <w:szCs w:val="20"/>
                <w:color w:val="auto"/>
              </w:rPr>
            </w:pPr>
            <w:r>
              <w:rPr>
                <w:rFonts w:ascii="Wingdings" w:cs="Wingdings" w:eastAsia="Wingdings" w:hAnsi="Wingdings"/>
                <w:sz w:val="18"/>
                <w:szCs w:val="18"/>
                <w:b w:val="1"/>
                <w:bCs w:val="1"/>
                <w:color w:val="auto"/>
                <w:w w:val="99"/>
              </w:rPr>
              <w:t>o</w:t>
            </w:r>
          </w:p>
        </w:tc>
      </w:tr>
      <w:tr>
        <w:trPr>
          <w:trHeight w:val="311"/>
        </w:trPr>
        <w:tc>
          <w:tcPr>
            <w:tcW w:w="1860" w:type="dxa"/>
            <w:vAlign w:val="bottom"/>
          </w:tcPr>
          <w:p>
            <w:pPr>
              <w:spacing w:after="0"/>
              <w:rPr>
                <w:sz w:val="20"/>
                <w:szCs w:val="20"/>
                <w:color w:val="auto"/>
              </w:rPr>
            </w:pPr>
            <w:r>
              <w:rPr>
                <w:rFonts w:ascii="Calibri" w:cs="Calibri" w:eastAsia="Calibri" w:hAnsi="Calibri"/>
                <w:sz w:val="14"/>
                <w:szCs w:val="14"/>
                <w:color w:val="auto"/>
              </w:rPr>
              <w:t>1c. Cathy R. Gates</w:t>
            </w:r>
          </w:p>
        </w:tc>
        <w:tc>
          <w:tcPr>
            <w:tcW w:w="1020" w:type="dxa"/>
            <w:vAlign w:val="bottom"/>
          </w:tcPr>
          <w:p>
            <w:pPr>
              <w:ind w:left="520"/>
              <w:spacing w:after="0"/>
              <w:rPr>
                <w:sz w:val="20"/>
                <w:szCs w:val="20"/>
                <w:color w:val="auto"/>
              </w:rPr>
            </w:pPr>
            <w:r>
              <w:rPr>
                <w:rFonts w:ascii="Wingdings" w:cs="Wingdings" w:eastAsia="Wingdings" w:hAnsi="Wingdings"/>
                <w:sz w:val="18"/>
                <w:szCs w:val="18"/>
                <w:b w:val="1"/>
                <w:bCs w:val="1"/>
                <w:color w:val="auto"/>
              </w:rPr>
              <w:t>o</w:t>
            </w:r>
          </w:p>
        </w:tc>
        <w:tc>
          <w:tcPr>
            <w:tcW w:w="760" w:type="dxa"/>
            <w:vAlign w:val="bottom"/>
          </w:tcPr>
          <w:p>
            <w:pPr>
              <w:jc w:val="center"/>
              <w:ind w:left="232"/>
              <w:spacing w:after="0"/>
              <w:rPr>
                <w:sz w:val="20"/>
                <w:szCs w:val="20"/>
                <w:color w:val="auto"/>
              </w:rPr>
            </w:pPr>
            <w:r>
              <w:rPr>
                <w:rFonts w:ascii="Wingdings" w:cs="Wingdings" w:eastAsia="Wingdings" w:hAnsi="Wingdings"/>
                <w:sz w:val="18"/>
                <w:szCs w:val="18"/>
                <w:b w:val="1"/>
                <w:bCs w:val="1"/>
                <w:color w:val="auto"/>
                <w:w w:val="99"/>
              </w:rPr>
              <w:t>o</w:t>
            </w:r>
          </w:p>
        </w:tc>
      </w:tr>
      <w:tr>
        <w:trPr>
          <w:trHeight w:val="310"/>
        </w:trPr>
        <w:tc>
          <w:tcPr>
            <w:tcW w:w="1860" w:type="dxa"/>
            <w:vAlign w:val="bottom"/>
          </w:tcPr>
          <w:p>
            <w:pPr>
              <w:spacing w:after="0"/>
              <w:rPr>
                <w:sz w:val="20"/>
                <w:szCs w:val="20"/>
                <w:color w:val="auto"/>
              </w:rPr>
            </w:pPr>
            <w:r>
              <w:rPr>
                <w:rFonts w:ascii="Calibri" w:cs="Calibri" w:eastAsia="Calibri" w:hAnsi="Calibri"/>
                <w:sz w:val="14"/>
                <w:szCs w:val="14"/>
                <w:color w:val="auto"/>
              </w:rPr>
              <w:t>1d. David L. Hauser</w:t>
            </w:r>
          </w:p>
        </w:tc>
        <w:tc>
          <w:tcPr>
            <w:tcW w:w="1020" w:type="dxa"/>
            <w:vAlign w:val="bottom"/>
          </w:tcPr>
          <w:p>
            <w:pPr>
              <w:ind w:left="520"/>
              <w:spacing w:after="0"/>
              <w:rPr>
                <w:sz w:val="20"/>
                <w:szCs w:val="20"/>
                <w:color w:val="auto"/>
              </w:rPr>
            </w:pPr>
            <w:r>
              <w:rPr>
                <w:rFonts w:ascii="Wingdings" w:cs="Wingdings" w:eastAsia="Wingdings" w:hAnsi="Wingdings"/>
                <w:sz w:val="18"/>
                <w:szCs w:val="18"/>
                <w:b w:val="1"/>
                <w:bCs w:val="1"/>
                <w:color w:val="auto"/>
              </w:rPr>
              <w:t>o</w:t>
            </w:r>
          </w:p>
        </w:tc>
        <w:tc>
          <w:tcPr>
            <w:tcW w:w="760" w:type="dxa"/>
            <w:vAlign w:val="bottom"/>
          </w:tcPr>
          <w:p>
            <w:pPr>
              <w:jc w:val="center"/>
              <w:ind w:left="232"/>
              <w:spacing w:after="0"/>
              <w:rPr>
                <w:sz w:val="20"/>
                <w:szCs w:val="20"/>
                <w:color w:val="auto"/>
              </w:rPr>
            </w:pPr>
            <w:r>
              <w:rPr>
                <w:rFonts w:ascii="Wingdings" w:cs="Wingdings" w:eastAsia="Wingdings" w:hAnsi="Wingdings"/>
                <w:sz w:val="18"/>
                <w:szCs w:val="18"/>
                <w:b w:val="1"/>
                <w:bCs w:val="1"/>
                <w:color w:val="auto"/>
                <w:w w:val="99"/>
              </w:rPr>
              <w:t>o</w:t>
            </w:r>
          </w:p>
        </w:tc>
      </w:tr>
      <w:tr>
        <w:trPr>
          <w:trHeight w:val="311"/>
        </w:trPr>
        <w:tc>
          <w:tcPr>
            <w:tcW w:w="1860" w:type="dxa"/>
            <w:vAlign w:val="bottom"/>
          </w:tcPr>
          <w:p>
            <w:pPr>
              <w:spacing w:after="0"/>
              <w:rPr>
                <w:sz w:val="20"/>
                <w:szCs w:val="20"/>
                <w:color w:val="auto"/>
              </w:rPr>
            </w:pPr>
            <w:r>
              <w:rPr>
                <w:rFonts w:ascii="Calibri" w:cs="Calibri" w:eastAsia="Calibri" w:hAnsi="Calibri"/>
                <w:sz w:val="14"/>
                <w:szCs w:val="14"/>
                <w:color w:val="auto"/>
              </w:rPr>
              <w:t>1e. Luther C. Kissam, IV</w:t>
            </w:r>
          </w:p>
        </w:tc>
        <w:tc>
          <w:tcPr>
            <w:tcW w:w="1020" w:type="dxa"/>
            <w:vAlign w:val="bottom"/>
          </w:tcPr>
          <w:p>
            <w:pPr>
              <w:ind w:left="520"/>
              <w:spacing w:after="0"/>
              <w:rPr>
                <w:sz w:val="20"/>
                <w:szCs w:val="20"/>
                <w:color w:val="auto"/>
              </w:rPr>
            </w:pPr>
            <w:r>
              <w:rPr>
                <w:rFonts w:ascii="Wingdings" w:cs="Wingdings" w:eastAsia="Wingdings" w:hAnsi="Wingdings"/>
                <w:sz w:val="18"/>
                <w:szCs w:val="18"/>
                <w:b w:val="1"/>
                <w:bCs w:val="1"/>
                <w:color w:val="auto"/>
              </w:rPr>
              <w:t>o</w:t>
            </w:r>
          </w:p>
        </w:tc>
        <w:tc>
          <w:tcPr>
            <w:tcW w:w="760" w:type="dxa"/>
            <w:vAlign w:val="bottom"/>
          </w:tcPr>
          <w:p>
            <w:pPr>
              <w:jc w:val="center"/>
              <w:ind w:left="232"/>
              <w:spacing w:after="0"/>
              <w:rPr>
                <w:sz w:val="20"/>
                <w:szCs w:val="20"/>
                <w:color w:val="auto"/>
              </w:rPr>
            </w:pPr>
            <w:r>
              <w:rPr>
                <w:rFonts w:ascii="Wingdings" w:cs="Wingdings" w:eastAsia="Wingdings" w:hAnsi="Wingdings"/>
                <w:sz w:val="18"/>
                <w:szCs w:val="18"/>
                <w:b w:val="1"/>
                <w:bCs w:val="1"/>
                <w:color w:val="auto"/>
                <w:w w:val="99"/>
              </w:rPr>
              <w:t>o</w:t>
            </w:r>
          </w:p>
        </w:tc>
      </w:tr>
      <w:tr>
        <w:trPr>
          <w:trHeight w:val="297"/>
        </w:trPr>
        <w:tc>
          <w:tcPr>
            <w:tcW w:w="1860" w:type="dxa"/>
            <w:vAlign w:val="bottom"/>
          </w:tcPr>
          <w:p>
            <w:pPr>
              <w:spacing w:after="0"/>
              <w:rPr>
                <w:sz w:val="20"/>
                <w:szCs w:val="20"/>
                <w:color w:val="auto"/>
              </w:rPr>
            </w:pPr>
            <w:r>
              <w:rPr>
                <w:rFonts w:ascii="Calibri" w:cs="Calibri" w:eastAsia="Calibri" w:hAnsi="Calibri"/>
                <w:sz w:val="14"/>
                <w:szCs w:val="14"/>
                <w:color w:val="auto"/>
              </w:rPr>
              <w:t>1f. Judy R. McReynolds</w:t>
            </w:r>
          </w:p>
        </w:tc>
        <w:tc>
          <w:tcPr>
            <w:tcW w:w="1020" w:type="dxa"/>
            <w:vAlign w:val="bottom"/>
          </w:tcPr>
          <w:p>
            <w:pPr>
              <w:ind w:left="520"/>
              <w:spacing w:after="0"/>
              <w:rPr>
                <w:sz w:val="20"/>
                <w:szCs w:val="20"/>
                <w:color w:val="auto"/>
              </w:rPr>
            </w:pPr>
            <w:r>
              <w:rPr>
                <w:rFonts w:ascii="Wingdings" w:cs="Wingdings" w:eastAsia="Wingdings" w:hAnsi="Wingdings"/>
                <w:sz w:val="18"/>
                <w:szCs w:val="18"/>
                <w:b w:val="1"/>
                <w:bCs w:val="1"/>
                <w:color w:val="auto"/>
              </w:rPr>
              <w:t>o</w:t>
            </w:r>
          </w:p>
        </w:tc>
        <w:tc>
          <w:tcPr>
            <w:tcW w:w="760" w:type="dxa"/>
            <w:vAlign w:val="bottom"/>
          </w:tcPr>
          <w:p>
            <w:pPr>
              <w:jc w:val="center"/>
              <w:ind w:left="232"/>
              <w:spacing w:after="0"/>
              <w:rPr>
                <w:sz w:val="20"/>
                <w:szCs w:val="20"/>
                <w:color w:val="auto"/>
              </w:rPr>
            </w:pPr>
            <w:r>
              <w:rPr>
                <w:rFonts w:ascii="Wingdings" w:cs="Wingdings" w:eastAsia="Wingdings" w:hAnsi="Wingdings"/>
                <w:sz w:val="18"/>
                <w:szCs w:val="18"/>
                <w:b w:val="1"/>
                <w:bCs w:val="1"/>
                <w:color w:val="auto"/>
                <w:w w:val="99"/>
              </w:rPr>
              <w:t>o</w:t>
            </w:r>
          </w:p>
        </w:tc>
      </w:tr>
      <w:tr>
        <w:trPr>
          <w:trHeight w:val="311"/>
        </w:trPr>
        <w:tc>
          <w:tcPr>
            <w:tcW w:w="1860" w:type="dxa"/>
            <w:vAlign w:val="bottom"/>
          </w:tcPr>
          <w:p>
            <w:pPr>
              <w:spacing w:after="0"/>
              <w:rPr>
                <w:sz w:val="20"/>
                <w:szCs w:val="20"/>
                <w:color w:val="auto"/>
              </w:rPr>
            </w:pPr>
            <w:r>
              <w:rPr>
                <w:rFonts w:ascii="Calibri" w:cs="Calibri" w:eastAsia="Calibri" w:hAnsi="Calibri"/>
                <w:sz w:val="14"/>
                <w:szCs w:val="14"/>
                <w:color w:val="auto"/>
              </w:rPr>
              <w:t>1g. David E. Rainbolt</w:t>
            </w:r>
          </w:p>
        </w:tc>
        <w:tc>
          <w:tcPr>
            <w:tcW w:w="1020" w:type="dxa"/>
            <w:vAlign w:val="bottom"/>
          </w:tcPr>
          <w:p>
            <w:pPr>
              <w:ind w:left="520"/>
              <w:spacing w:after="0"/>
              <w:rPr>
                <w:sz w:val="20"/>
                <w:szCs w:val="20"/>
                <w:color w:val="auto"/>
              </w:rPr>
            </w:pPr>
            <w:r>
              <w:rPr>
                <w:rFonts w:ascii="Wingdings" w:cs="Wingdings" w:eastAsia="Wingdings" w:hAnsi="Wingdings"/>
                <w:sz w:val="18"/>
                <w:szCs w:val="18"/>
                <w:b w:val="1"/>
                <w:bCs w:val="1"/>
                <w:color w:val="auto"/>
              </w:rPr>
              <w:t>o</w:t>
            </w:r>
          </w:p>
        </w:tc>
        <w:tc>
          <w:tcPr>
            <w:tcW w:w="760" w:type="dxa"/>
            <w:vAlign w:val="bottom"/>
          </w:tcPr>
          <w:p>
            <w:pPr>
              <w:jc w:val="center"/>
              <w:ind w:left="232"/>
              <w:spacing w:after="0"/>
              <w:rPr>
                <w:sz w:val="20"/>
                <w:szCs w:val="20"/>
                <w:color w:val="auto"/>
              </w:rPr>
            </w:pPr>
            <w:r>
              <w:rPr>
                <w:rFonts w:ascii="Wingdings" w:cs="Wingdings" w:eastAsia="Wingdings" w:hAnsi="Wingdings"/>
                <w:sz w:val="18"/>
                <w:szCs w:val="18"/>
                <w:b w:val="1"/>
                <w:bCs w:val="1"/>
                <w:color w:val="auto"/>
                <w:w w:val="99"/>
              </w:rPr>
              <w:t>o</w:t>
            </w:r>
          </w:p>
        </w:tc>
      </w:tr>
      <w:tr>
        <w:trPr>
          <w:trHeight w:val="229"/>
        </w:trPr>
        <w:tc>
          <w:tcPr>
            <w:tcW w:w="1860" w:type="dxa"/>
            <w:vAlign w:val="bottom"/>
          </w:tcPr>
          <w:p>
            <w:pPr>
              <w:spacing w:after="0"/>
              <w:rPr>
                <w:sz w:val="20"/>
                <w:szCs w:val="20"/>
                <w:color w:val="auto"/>
              </w:rPr>
            </w:pPr>
            <w:r>
              <w:rPr>
                <w:rFonts w:ascii="Calibri" w:cs="Calibri" w:eastAsia="Calibri" w:hAnsi="Calibri"/>
                <w:sz w:val="14"/>
                <w:szCs w:val="14"/>
                <w:color w:val="auto"/>
              </w:rPr>
              <w:t>1h. J. Michael Sanner</w:t>
            </w:r>
          </w:p>
        </w:tc>
        <w:tc>
          <w:tcPr>
            <w:tcW w:w="1020" w:type="dxa"/>
            <w:vAlign w:val="bottom"/>
          </w:tcPr>
          <w:p>
            <w:pPr>
              <w:ind w:left="520"/>
              <w:spacing w:after="0"/>
              <w:rPr>
                <w:sz w:val="20"/>
                <w:szCs w:val="20"/>
                <w:color w:val="auto"/>
              </w:rPr>
            </w:pPr>
            <w:r>
              <w:rPr>
                <w:rFonts w:ascii="Wingdings" w:cs="Wingdings" w:eastAsia="Wingdings" w:hAnsi="Wingdings"/>
                <w:sz w:val="18"/>
                <w:szCs w:val="18"/>
                <w:b w:val="1"/>
                <w:bCs w:val="1"/>
                <w:color w:val="auto"/>
              </w:rPr>
              <w:t>o</w:t>
            </w:r>
          </w:p>
        </w:tc>
        <w:tc>
          <w:tcPr>
            <w:tcW w:w="760" w:type="dxa"/>
            <w:vAlign w:val="bottom"/>
          </w:tcPr>
          <w:p>
            <w:pPr>
              <w:jc w:val="center"/>
              <w:ind w:left="232"/>
              <w:spacing w:after="0"/>
              <w:rPr>
                <w:sz w:val="20"/>
                <w:szCs w:val="20"/>
                <w:color w:val="auto"/>
              </w:rPr>
            </w:pPr>
            <w:r>
              <w:rPr>
                <w:rFonts w:ascii="Wingdings" w:cs="Wingdings" w:eastAsia="Wingdings" w:hAnsi="Wingdings"/>
                <w:sz w:val="18"/>
                <w:szCs w:val="18"/>
                <w:b w:val="1"/>
                <w:bCs w:val="1"/>
                <w:color w:val="auto"/>
                <w:w w:val="99"/>
              </w:rPr>
              <w:t>o</w:t>
            </w:r>
          </w:p>
        </w:tc>
      </w:tr>
      <w:tr>
        <w:trPr>
          <w:trHeight w:val="243"/>
        </w:trPr>
        <w:tc>
          <w:tcPr>
            <w:tcW w:w="1860" w:type="dxa"/>
            <w:vAlign w:val="bottom"/>
          </w:tcPr>
          <w:p>
            <w:pPr>
              <w:spacing w:after="0"/>
              <w:rPr>
                <w:sz w:val="20"/>
                <w:szCs w:val="20"/>
                <w:color w:val="auto"/>
              </w:rPr>
            </w:pPr>
            <w:r>
              <w:rPr>
                <w:rFonts w:ascii="Calibri" w:cs="Calibri" w:eastAsia="Calibri" w:hAnsi="Calibri"/>
                <w:sz w:val="14"/>
                <w:szCs w:val="14"/>
                <w:color w:val="auto"/>
              </w:rPr>
              <w:t>1i. Sheila G. Talton</w:t>
            </w:r>
          </w:p>
        </w:tc>
        <w:tc>
          <w:tcPr>
            <w:tcW w:w="1020" w:type="dxa"/>
            <w:vAlign w:val="bottom"/>
          </w:tcPr>
          <w:p>
            <w:pPr>
              <w:ind w:left="520"/>
              <w:spacing w:after="0"/>
              <w:rPr>
                <w:sz w:val="20"/>
                <w:szCs w:val="20"/>
                <w:color w:val="auto"/>
              </w:rPr>
            </w:pPr>
            <w:r>
              <w:rPr>
                <w:rFonts w:ascii="Wingdings" w:cs="Wingdings" w:eastAsia="Wingdings" w:hAnsi="Wingdings"/>
                <w:sz w:val="18"/>
                <w:szCs w:val="18"/>
                <w:b w:val="1"/>
                <w:bCs w:val="1"/>
                <w:color w:val="auto"/>
              </w:rPr>
              <w:t>o</w:t>
            </w:r>
          </w:p>
        </w:tc>
        <w:tc>
          <w:tcPr>
            <w:tcW w:w="760" w:type="dxa"/>
            <w:vAlign w:val="bottom"/>
          </w:tcPr>
          <w:p>
            <w:pPr>
              <w:jc w:val="center"/>
              <w:ind w:left="232"/>
              <w:spacing w:after="0"/>
              <w:rPr>
                <w:sz w:val="20"/>
                <w:szCs w:val="20"/>
                <w:color w:val="auto"/>
              </w:rPr>
            </w:pPr>
            <w:r>
              <w:rPr>
                <w:rFonts w:ascii="Wingdings" w:cs="Wingdings" w:eastAsia="Wingdings" w:hAnsi="Wingdings"/>
                <w:sz w:val="18"/>
                <w:szCs w:val="18"/>
                <w:b w:val="1"/>
                <w:bCs w:val="1"/>
                <w:color w:val="auto"/>
                <w:w w:val="99"/>
              </w:rPr>
              <w:t>o</w:t>
            </w:r>
          </w:p>
        </w:tc>
      </w:tr>
      <w:tr>
        <w:trPr>
          <w:trHeight w:val="243"/>
        </w:trPr>
        <w:tc>
          <w:tcPr>
            <w:tcW w:w="1860" w:type="dxa"/>
            <w:vAlign w:val="bottom"/>
          </w:tcPr>
          <w:p>
            <w:pPr>
              <w:spacing w:after="0"/>
              <w:rPr>
                <w:sz w:val="20"/>
                <w:szCs w:val="20"/>
                <w:color w:val="auto"/>
              </w:rPr>
            </w:pPr>
            <w:r>
              <w:rPr>
                <w:rFonts w:ascii="Calibri" w:cs="Calibri" w:eastAsia="Calibri" w:hAnsi="Calibri"/>
                <w:sz w:val="14"/>
                <w:szCs w:val="14"/>
                <w:color w:val="auto"/>
              </w:rPr>
              <w:t>1j. Sean Trauschke</w:t>
            </w:r>
          </w:p>
        </w:tc>
        <w:tc>
          <w:tcPr>
            <w:tcW w:w="1020" w:type="dxa"/>
            <w:vAlign w:val="bottom"/>
          </w:tcPr>
          <w:p>
            <w:pPr>
              <w:ind w:left="520"/>
              <w:spacing w:after="0"/>
              <w:rPr>
                <w:sz w:val="20"/>
                <w:szCs w:val="20"/>
                <w:color w:val="auto"/>
              </w:rPr>
            </w:pPr>
            <w:r>
              <w:rPr>
                <w:rFonts w:ascii="Wingdings" w:cs="Wingdings" w:eastAsia="Wingdings" w:hAnsi="Wingdings"/>
                <w:sz w:val="18"/>
                <w:szCs w:val="18"/>
                <w:b w:val="1"/>
                <w:bCs w:val="1"/>
                <w:color w:val="auto"/>
              </w:rPr>
              <w:t>o</w:t>
            </w:r>
          </w:p>
        </w:tc>
        <w:tc>
          <w:tcPr>
            <w:tcW w:w="760" w:type="dxa"/>
            <w:vAlign w:val="bottom"/>
          </w:tcPr>
          <w:p>
            <w:pPr>
              <w:jc w:val="center"/>
              <w:ind w:left="232"/>
              <w:spacing w:after="0"/>
              <w:rPr>
                <w:sz w:val="20"/>
                <w:szCs w:val="20"/>
                <w:color w:val="auto"/>
              </w:rPr>
            </w:pPr>
            <w:r>
              <w:rPr>
                <w:rFonts w:ascii="Wingdings" w:cs="Wingdings" w:eastAsia="Wingdings" w:hAnsi="Wingdings"/>
                <w:sz w:val="18"/>
                <w:szCs w:val="18"/>
                <w:b w:val="1"/>
                <w:bCs w:val="1"/>
                <w:color w:val="auto"/>
                <w:w w:val="99"/>
              </w:rPr>
              <w:t>o</w:t>
            </w:r>
          </w:p>
        </w:tc>
      </w:tr>
    </w:tbl>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ind w:left="720"/>
        <w:spacing w:after="0"/>
        <w:rPr>
          <w:sz w:val="20"/>
          <w:szCs w:val="20"/>
          <w:color w:val="auto"/>
        </w:rPr>
      </w:pPr>
      <w:r>
        <w:rPr>
          <w:rFonts w:ascii="Calibri" w:cs="Calibri" w:eastAsia="Calibri" w:hAnsi="Calibri"/>
          <w:sz w:val="14"/>
          <w:szCs w:val="14"/>
          <w:b w:val="1"/>
          <w:bCs w:val="1"/>
          <w:color w:val="auto"/>
        </w:rPr>
        <w:t>The Board of Directors recommends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-393700</wp:posOffset>
            </wp:positionV>
            <wp:extent cx="7145020" cy="46374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5020" cy="4637405"/>
                    </a:xfrm>
                    <a:prstGeom prst="rect">
                      <a:avLst/>
                    </a:prstGeom>
                    <a:noFill/>
                  </pic:spPr>
                </pic:pic>
              </a:graphicData>
            </a:graphic>
          </wp:anchor>
        </w:drawing>
      </w:r>
    </w:p>
    <w:p>
      <w:pPr>
        <w:spacing w:after="0" w:line="185" w:lineRule="auto"/>
        <w:rPr>
          <w:sz w:val="20"/>
          <w:szCs w:val="20"/>
          <w:color w:val="auto"/>
        </w:rPr>
      </w:pPr>
      <w:r>
        <w:rPr>
          <w:rFonts w:ascii="Calibri" w:cs="Calibri" w:eastAsia="Calibri" w:hAnsi="Calibri"/>
          <w:sz w:val="10"/>
          <w:szCs w:val="10"/>
          <w:b w:val="1"/>
          <w:bCs w:val="1"/>
          <w:color w:val="auto"/>
        </w:rPr>
        <w:t>Abstain</w:t>
      </w:r>
    </w:p>
    <w:p>
      <w:pPr>
        <w:ind w:left="720"/>
        <w:spacing w:after="0" w:line="199" w:lineRule="auto"/>
        <w:rPr>
          <w:sz w:val="20"/>
          <w:szCs w:val="20"/>
          <w:color w:val="auto"/>
        </w:rPr>
      </w:pPr>
      <w:r>
        <w:rPr>
          <w:rFonts w:ascii="Calibri" w:cs="Calibri" w:eastAsia="Calibri" w:hAnsi="Calibri"/>
          <w:sz w:val="14"/>
          <w:szCs w:val="14"/>
          <w:b w:val="1"/>
          <w:bCs w:val="1"/>
          <w:color w:val="auto"/>
        </w:rPr>
        <w:t>vote FOR proposals 2 and 3.</w:t>
      </w:r>
    </w:p>
    <w:p>
      <w:pPr>
        <w:spacing w:after="0" w:line="32" w:lineRule="exact"/>
        <w:rPr>
          <w:sz w:val="20"/>
          <w:szCs w:val="20"/>
          <w:color w:val="auto"/>
        </w:rPr>
      </w:pPr>
    </w:p>
    <w:p>
      <w:pPr>
        <w:ind w:left="720"/>
        <w:spacing w:after="0"/>
        <w:rPr>
          <w:sz w:val="20"/>
          <w:szCs w:val="20"/>
          <w:color w:val="auto"/>
        </w:rPr>
      </w:pPr>
      <w:r>
        <w:rPr>
          <w:rFonts w:ascii="Calibri" w:cs="Calibri" w:eastAsia="Calibri" w:hAnsi="Calibri"/>
          <w:sz w:val="14"/>
          <w:szCs w:val="14"/>
          <w:color w:val="auto"/>
        </w:rPr>
        <w:t>2. Ratfcaton of the appointment of Ernst &amp;</w:t>
      </w:r>
    </w:p>
    <w:p>
      <w:pPr>
        <w:spacing w:after="0" w:line="6" w:lineRule="exact"/>
        <w:rPr>
          <w:sz w:val="20"/>
          <w:szCs w:val="20"/>
          <w:color w:val="auto"/>
        </w:rPr>
      </w:pPr>
    </w:p>
    <w:p>
      <w:pPr>
        <w:ind w:left="720" w:right="500" w:hanging="565"/>
        <w:spacing w:after="0" w:line="223" w:lineRule="auto"/>
        <w:tabs>
          <w:tab w:leader="none" w:pos="720" w:val="left"/>
        </w:tabs>
        <w:numPr>
          <w:ilvl w:val="0"/>
          <w:numId w:val="58"/>
        </w:numPr>
        <w:rPr>
          <w:rFonts w:ascii="Wingdings" w:cs="Wingdings" w:eastAsia="Wingdings" w:hAnsi="Wingdings"/>
          <w:sz w:val="18"/>
          <w:szCs w:val="18"/>
          <w:b w:val="1"/>
          <w:bCs w:val="1"/>
          <w:color w:val="auto"/>
        </w:rPr>
      </w:pPr>
      <w:r>
        <w:rPr>
          <w:rFonts w:ascii="Calibri" w:cs="Calibri" w:eastAsia="Calibri" w:hAnsi="Calibri"/>
          <w:sz w:val="14"/>
          <w:szCs w:val="14"/>
          <w:color w:val="auto"/>
        </w:rPr>
        <w:t>Young LLP as the Company's principal independent accountants for 2024.</w:t>
      </w:r>
    </w:p>
    <w:p>
      <w:pPr>
        <w:spacing w:after="0" w:line="32" w:lineRule="exact"/>
        <w:rPr>
          <w:rFonts w:ascii="Wingdings" w:cs="Wingdings" w:eastAsia="Wingdings" w:hAnsi="Wingdings"/>
          <w:sz w:val="18"/>
          <w:szCs w:val="18"/>
          <w:b w:val="1"/>
          <w:bCs w:val="1"/>
          <w:color w:val="auto"/>
        </w:rPr>
      </w:pPr>
    </w:p>
    <w:p>
      <w:pPr>
        <w:ind w:left="720"/>
        <w:spacing w:after="0"/>
        <w:rPr>
          <w:rFonts w:ascii="Wingdings" w:cs="Wingdings" w:eastAsia="Wingdings" w:hAnsi="Wingdings"/>
          <w:sz w:val="18"/>
          <w:szCs w:val="18"/>
          <w:b w:val="1"/>
          <w:bCs w:val="1"/>
          <w:color w:val="auto"/>
        </w:rPr>
      </w:pPr>
      <w:r>
        <w:rPr>
          <w:rFonts w:ascii="Calibri" w:cs="Calibri" w:eastAsia="Calibri" w:hAnsi="Calibri"/>
          <w:sz w:val="14"/>
          <w:szCs w:val="14"/>
          <w:color w:val="auto"/>
        </w:rPr>
        <w:t>3. Advisory Vote to Approve Named Executve</w:t>
      </w:r>
    </w:p>
    <w:p>
      <w:pPr>
        <w:ind w:left="720" w:hanging="565"/>
        <w:spacing w:after="0" w:line="180" w:lineRule="auto"/>
        <w:tabs>
          <w:tab w:leader="none" w:pos="720" w:val="left"/>
        </w:tabs>
        <w:numPr>
          <w:ilvl w:val="0"/>
          <w:numId w:val="58"/>
        </w:numPr>
        <w:rPr>
          <w:rFonts w:ascii="Wingdings" w:cs="Wingdings" w:eastAsia="Wingdings" w:hAnsi="Wingdings"/>
          <w:sz w:val="21"/>
          <w:szCs w:val="21"/>
          <w:b w:val="1"/>
          <w:bCs w:val="1"/>
          <w:color w:val="auto"/>
          <w:vertAlign w:val="superscript"/>
        </w:rPr>
      </w:pPr>
      <w:r>
        <w:rPr>
          <w:rFonts w:ascii="Calibri" w:cs="Calibri" w:eastAsia="Calibri" w:hAnsi="Calibri"/>
          <w:sz w:val="11"/>
          <w:szCs w:val="11"/>
          <w:color w:val="auto"/>
        </w:rPr>
        <w:t>Ofcer Compensaton.</w:t>
      </w:r>
    </w:p>
    <w:p>
      <w:pPr>
        <w:spacing w:after="0" w:line="46" w:lineRule="exact"/>
        <w:rPr>
          <w:sz w:val="20"/>
          <w:szCs w:val="20"/>
          <w:color w:val="auto"/>
        </w:rPr>
      </w:pPr>
    </w:p>
    <w:p>
      <w:pPr>
        <w:ind w:left="160"/>
        <w:spacing w:after="0"/>
        <w:rPr>
          <w:sz w:val="20"/>
          <w:szCs w:val="20"/>
          <w:color w:val="auto"/>
        </w:rPr>
      </w:pPr>
      <w:r>
        <w:rPr>
          <w:rFonts w:ascii="Wingdings" w:cs="Wingdings" w:eastAsia="Wingdings" w:hAnsi="Wingdings"/>
          <w:sz w:val="18"/>
          <w:szCs w:val="18"/>
          <w:b w:val="1"/>
          <w:bCs w:val="1"/>
          <w:color w:val="auto"/>
        </w:rPr>
        <w:t>o</w:t>
      </w:r>
    </w:p>
    <w:p>
      <w:pPr>
        <w:ind w:left="720"/>
        <w:spacing w:after="0" w:line="184" w:lineRule="auto"/>
        <w:rPr>
          <w:sz w:val="20"/>
          <w:szCs w:val="20"/>
          <w:color w:val="auto"/>
        </w:rPr>
      </w:pPr>
      <w:r>
        <w:rPr>
          <w:rFonts w:ascii="Calibri" w:cs="Calibri" w:eastAsia="Calibri" w:hAnsi="Calibri"/>
          <w:sz w:val="12"/>
          <w:szCs w:val="12"/>
          <w:b w:val="1"/>
          <w:bCs w:val="1"/>
          <w:color w:val="auto"/>
        </w:rPr>
        <w:t>The Board of Directors recommends you</w:t>
      </w:r>
    </w:p>
    <w:p>
      <w:pPr>
        <w:ind w:left="720" w:hanging="565"/>
        <w:spacing w:after="0" w:line="183" w:lineRule="auto"/>
        <w:tabs>
          <w:tab w:leader="none" w:pos="720" w:val="left"/>
        </w:tabs>
        <w:numPr>
          <w:ilvl w:val="0"/>
          <w:numId w:val="59"/>
        </w:numPr>
        <w:rPr>
          <w:rFonts w:ascii="Wingdings" w:cs="Wingdings" w:eastAsia="Wingdings" w:hAnsi="Wingdings"/>
          <w:sz w:val="31"/>
          <w:szCs w:val="31"/>
          <w:b w:val="1"/>
          <w:bCs w:val="1"/>
          <w:color w:val="auto"/>
          <w:vertAlign w:val="superscript"/>
        </w:rPr>
      </w:pPr>
      <w:r>
        <w:rPr>
          <w:rFonts w:ascii="Calibri" w:cs="Calibri" w:eastAsia="Calibri" w:hAnsi="Calibri"/>
          <w:sz w:val="13"/>
          <w:szCs w:val="13"/>
          <w:b w:val="1"/>
          <w:bCs w:val="1"/>
          <w:color w:val="auto"/>
        </w:rPr>
        <w:t>vote AGAINST the following proposal:</w:t>
      </w:r>
    </w:p>
    <w:p>
      <w:pPr>
        <w:spacing w:after="0" w:line="47" w:lineRule="exact"/>
        <w:rPr>
          <w:sz w:val="20"/>
          <w:szCs w:val="20"/>
          <w:color w:val="auto"/>
        </w:rPr>
      </w:pPr>
    </w:p>
    <w:p>
      <w:pPr>
        <w:ind w:left="160"/>
        <w:spacing w:after="0"/>
        <w:rPr>
          <w:sz w:val="20"/>
          <w:szCs w:val="20"/>
          <w:color w:val="auto"/>
        </w:rPr>
      </w:pPr>
      <w:r>
        <w:rPr>
          <w:rFonts w:ascii="Wingdings" w:cs="Wingdings" w:eastAsia="Wingdings" w:hAnsi="Wingdings"/>
          <w:sz w:val="18"/>
          <w:szCs w:val="18"/>
          <w:b w:val="1"/>
          <w:bCs w:val="1"/>
          <w:color w:val="auto"/>
        </w:rPr>
        <w:t>o</w:t>
      </w:r>
    </w:p>
    <w:p>
      <w:pPr>
        <w:ind w:left="720"/>
        <w:spacing w:after="0" w:line="195" w:lineRule="auto"/>
        <w:rPr>
          <w:sz w:val="20"/>
          <w:szCs w:val="20"/>
          <w:color w:val="auto"/>
        </w:rPr>
      </w:pPr>
      <w:r>
        <w:rPr>
          <w:rFonts w:ascii="Calibri" w:cs="Calibri" w:eastAsia="Calibri" w:hAnsi="Calibri"/>
          <w:sz w:val="10"/>
          <w:szCs w:val="10"/>
          <w:color w:val="auto"/>
        </w:rPr>
        <w:t>4. Shareholder Proposal Regarding Simple</w:t>
      </w:r>
    </w:p>
    <w:p>
      <w:pPr>
        <w:ind w:left="720" w:hanging="565"/>
        <w:spacing w:after="0" w:line="183" w:lineRule="auto"/>
        <w:tabs>
          <w:tab w:leader="none" w:pos="720" w:val="left"/>
        </w:tabs>
        <w:numPr>
          <w:ilvl w:val="0"/>
          <w:numId w:val="60"/>
        </w:numPr>
        <w:rPr>
          <w:rFonts w:ascii="Wingdings" w:cs="Wingdings" w:eastAsia="Wingdings" w:hAnsi="Wingdings"/>
          <w:sz w:val="31"/>
          <w:szCs w:val="31"/>
          <w:b w:val="1"/>
          <w:bCs w:val="1"/>
          <w:color w:val="auto"/>
          <w:vertAlign w:val="superscript"/>
        </w:rPr>
      </w:pPr>
      <w:r>
        <w:rPr>
          <w:rFonts w:ascii="Calibri" w:cs="Calibri" w:eastAsia="Calibri" w:hAnsi="Calibri"/>
          <w:sz w:val="13"/>
          <w:szCs w:val="13"/>
          <w:color w:val="auto"/>
        </w:rPr>
        <w:t>Majority Vote.</w:t>
      </w:r>
    </w:p>
    <w:p>
      <w:pPr>
        <w:spacing w:after="0" w:line="46" w:lineRule="exact"/>
        <w:rPr>
          <w:sz w:val="20"/>
          <w:szCs w:val="20"/>
          <w:color w:val="auto"/>
        </w:rPr>
      </w:pPr>
    </w:p>
    <w:p>
      <w:pPr>
        <w:ind w:left="160"/>
        <w:spacing w:after="0"/>
        <w:rPr>
          <w:sz w:val="20"/>
          <w:szCs w:val="20"/>
          <w:color w:val="auto"/>
        </w:rPr>
      </w:pPr>
      <w:r>
        <w:rPr>
          <w:rFonts w:ascii="Wingdings" w:cs="Wingdings" w:eastAsia="Wingdings" w:hAnsi="Wingdings"/>
          <w:sz w:val="18"/>
          <w:szCs w:val="18"/>
          <w:b w:val="1"/>
          <w:bCs w:val="1"/>
          <w:color w:val="auto"/>
        </w:rPr>
        <w:t>o</w:t>
      </w:r>
    </w:p>
    <w:p>
      <w:pPr>
        <w:spacing w:after="0" w:line="30" w:lineRule="exact"/>
        <w:rPr>
          <w:sz w:val="20"/>
          <w:szCs w:val="20"/>
          <w:color w:val="auto"/>
        </w:rPr>
      </w:pPr>
    </w:p>
    <w:p>
      <w:pPr>
        <w:ind w:left="160"/>
        <w:spacing w:after="0"/>
        <w:rPr>
          <w:sz w:val="20"/>
          <w:szCs w:val="20"/>
          <w:color w:val="auto"/>
        </w:rPr>
      </w:pPr>
      <w:r>
        <w:rPr>
          <w:rFonts w:ascii="Wingdings" w:cs="Wingdings" w:eastAsia="Wingdings" w:hAnsi="Wingdings"/>
          <w:sz w:val="18"/>
          <w:szCs w:val="18"/>
          <w:b w:val="1"/>
          <w:bCs w:val="1"/>
          <w:color w:val="auto"/>
        </w:rPr>
        <w:t>o</w:t>
      </w:r>
    </w:p>
    <w:p>
      <w:pPr>
        <w:spacing w:after="0" w:line="43" w:lineRule="exact"/>
        <w:rPr>
          <w:sz w:val="20"/>
          <w:szCs w:val="20"/>
          <w:color w:val="auto"/>
        </w:rPr>
      </w:pPr>
    </w:p>
    <w:p>
      <w:pPr>
        <w:ind w:left="160"/>
        <w:spacing w:after="0"/>
        <w:rPr>
          <w:sz w:val="20"/>
          <w:szCs w:val="20"/>
          <w:color w:val="auto"/>
        </w:rPr>
      </w:pPr>
      <w:r>
        <w:rPr>
          <w:rFonts w:ascii="Wingdings" w:cs="Wingdings" w:eastAsia="Wingdings" w:hAnsi="Wingdings"/>
          <w:sz w:val="18"/>
          <w:szCs w:val="18"/>
          <w:b w:val="1"/>
          <w:bCs w:val="1"/>
          <w:color w:val="auto"/>
        </w:rPr>
        <w:t>o</w:t>
      </w:r>
    </w:p>
    <w:p>
      <w:pPr>
        <w:spacing w:after="0" w:line="43" w:lineRule="exact"/>
        <w:rPr>
          <w:sz w:val="20"/>
          <w:szCs w:val="20"/>
          <w:color w:val="auto"/>
        </w:rPr>
      </w:pPr>
    </w:p>
    <w:p>
      <w:pPr>
        <w:ind w:left="160"/>
        <w:spacing w:after="0"/>
        <w:rPr>
          <w:sz w:val="20"/>
          <w:szCs w:val="20"/>
          <w:color w:val="auto"/>
        </w:rPr>
      </w:pPr>
      <w:r>
        <w:rPr>
          <w:rFonts w:ascii="Wingdings" w:cs="Wingdings" w:eastAsia="Wingdings" w:hAnsi="Wingdings"/>
          <w:sz w:val="18"/>
          <w:szCs w:val="18"/>
          <w:b w:val="1"/>
          <w:bCs w:val="1"/>
          <w:color w:val="auto"/>
        </w:rPr>
        <w: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tabs>
          <w:tab w:leader="none" w:pos="780" w:val="left"/>
          <w:tab w:leader="none" w:pos="1680" w:val="left"/>
        </w:tabs>
        <w:rPr>
          <w:sz w:val="20"/>
          <w:szCs w:val="20"/>
          <w:color w:val="auto"/>
        </w:rPr>
      </w:pPr>
      <w:r>
        <w:rPr>
          <w:rFonts w:ascii="Calibri" w:cs="Calibri" w:eastAsia="Calibri" w:hAnsi="Calibri"/>
          <w:sz w:val="14"/>
          <w:szCs w:val="14"/>
          <w:b w:val="1"/>
          <w:bCs w:val="1"/>
          <w:color w:val="auto"/>
        </w:rPr>
        <w:t>For</w:t>
      </w:r>
      <w:r>
        <w:rPr>
          <w:sz w:val="20"/>
          <w:szCs w:val="20"/>
          <w:color w:val="auto"/>
        </w:rPr>
        <w:tab/>
      </w:r>
      <w:r>
        <w:rPr>
          <w:rFonts w:ascii="Calibri" w:cs="Calibri" w:eastAsia="Calibri" w:hAnsi="Calibri"/>
          <w:sz w:val="14"/>
          <w:szCs w:val="14"/>
          <w:b w:val="1"/>
          <w:bCs w:val="1"/>
          <w:color w:val="auto"/>
        </w:rPr>
        <w:t>Against</w:t>
      </w:r>
      <w:r>
        <w:rPr>
          <w:sz w:val="20"/>
          <w:szCs w:val="20"/>
          <w:color w:val="auto"/>
        </w:rPr>
        <w:tab/>
      </w:r>
      <w:r>
        <w:rPr>
          <w:rFonts w:ascii="Calibri" w:cs="Calibri" w:eastAsia="Calibri" w:hAnsi="Calibri"/>
          <w:sz w:val="14"/>
          <w:szCs w:val="14"/>
          <w:b w:val="1"/>
          <w:bCs w:val="1"/>
          <w:color w:val="auto"/>
        </w:rPr>
        <w:t>Abstain</w:t>
      </w:r>
    </w:p>
    <w:p>
      <w:pPr>
        <w:spacing w:after="0" w:line="302" w:lineRule="exact"/>
        <w:rPr>
          <w:sz w:val="20"/>
          <w:szCs w:val="20"/>
          <w:color w:val="auto"/>
        </w:rPr>
      </w:pPr>
    </w:p>
    <w:p>
      <w:pPr>
        <w:spacing w:after="0"/>
        <w:tabs>
          <w:tab w:leader="none" w:pos="920" w:val="left"/>
          <w:tab w:leader="none" w:pos="1820" w:val="left"/>
        </w:tabs>
        <w:rPr>
          <w:sz w:val="20"/>
          <w:szCs w:val="20"/>
          <w:color w:val="auto"/>
        </w:rPr>
      </w:pPr>
      <w:r>
        <w:rPr>
          <w:rFonts w:ascii="Wingdings" w:cs="Wingdings" w:eastAsia="Wingdings" w:hAnsi="Wingdings"/>
          <w:sz w:val="18"/>
          <w:szCs w:val="18"/>
          <w:b w:val="1"/>
          <w:bCs w:val="1"/>
          <w:color w:val="auto"/>
        </w:rPr>
        <w:t>o</w:t>
      </w:r>
      <w:r>
        <w:rPr>
          <w:sz w:val="20"/>
          <w:szCs w:val="20"/>
          <w:color w:val="auto"/>
        </w:rPr>
        <w:tab/>
      </w:r>
      <w:r>
        <w:rPr>
          <w:rFonts w:ascii="Wingdings" w:cs="Wingdings" w:eastAsia="Wingdings" w:hAnsi="Wingdings"/>
          <w:sz w:val="18"/>
          <w:szCs w:val="18"/>
          <w:b w:val="1"/>
          <w:bCs w:val="1"/>
          <w:color w:val="auto"/>
        </w:rPr>
        <w:t>o</w:t>
      </w:r>
      <w:r>
        <w:rPr>
          <w:sz w:val="20"/>
          <w:szCs w:val="20"/>
          <w:color w:val="auto"/>
        </w:rPr>
        <w:tab/>
      </w:r>
      <w:r>
        <w:rPr>
          <w:rFonts w:ascii="Wingdings" w:cs="Wingdings" w:eastAsia="Wingdings" w:hAnsi="Wingdings"/>
          <w:sz w:val="18"/>
          <w:szCs w:val="18"/>
          <w:b w:val="1"/>
          <w:bCs w:val="1"/>
          <w:color w:val="auto"/>
        </w:rPr>
        <w:t>o</w:t>
      </w:r>
    </w:p>
    <w:p>
      <w:pPr>
        <w:spacing w:after="0" w:line="259" w:lineRule="exact"/>
        <w:rPr>
          <w:sz w:val="20"/>
          <w:szCs w:val="20"/>
          <w:color w:val="auto"/>
        </w:rPr>
      </w:pPr>
    </w:p>
    <w:p>
      <w:pPr>
        <w:spacing w:after="0"/>
        <w:tabs>
          <w:tab w:leader="none" w:pos="920" w:val="left"/>
          <w:tab w:leader="none" w:pos="1820" w:val="left"/>
        </w:tabs>
        <w:rPr>
          <w:sz w:val="20"/>
          <w:szCs w:val="20"/>
          <w:color w:val="auto"/>
        </w:rPr>
      </w:pPr>
      <w:r>
        <w:rPr>
          <w:rFonts w:ascii="Wingdings" w:cs="Wingdings" w:eastAsia="Wingdings" w:hAnsi="Wingdings"/>
          <w:sz w:val="18"/>
          <w:szCs w:val="18"/>
          <w:b w:val="1"/>
          <w:bCs w:val="1"/>
          <w:color w:val="auto"/>
        </w:rPr>
        <w:t>o</w:t>
      </w:r>
      <w:r>
        <w:rPr>
          <w:sz w:val="20"/>
          <w:szCs w:val="20"/>
          <w:color w:val="auto"/>
        </w:rPr>
        <w:tab/>
      </w:r>
      <w:r>
        <w:rPr>
          <w:rFonts w:ascii="Wingdings" w:cs="Wingdings" w:eastAsia="Wingdings" w:hAnsi="Wingdings"/>
          <w:sz w:val="18"/>
          <w:szCs w:val="18"/>
          <w:b w:val="1"/>
          <w:bCs w:val="1"/>
          <w:color w:val="auto"/>
        </w:rPr>
        <w:t>o</w:t>
      </w:r>
      <w:r>
        <w:rPr>
          <w:sz w:val="20"/>
          <w:szCs w:val="20"/>
          <w:color w:val="auto"/>
        </w:rPr>
        <w:tab/>
      </w:r>
      <w:r>
        <w:rPr>
          <w:rFonts w:ascii="Wingdings" w:cs="Wingdings" w:eastAsia="Wingdings" w:hAnsi="Wingdings"/>
          <w:sz w:val="18"/>
          <w:szCs w:val="18"/>
          <w:b w:val="1"/>
          <w:bCs w:val="1"/>
          <w:color w:val="auto"/>
        </w:rPr>
        <w:t>o</w:t>
      </w:r>
    </w:p>
    <w:p>
      <w:pPr>
        <w:spacing w:after="0" w:line="200" w:lineRule="exact"/>
        <w:rPr>
          <w:sz w:val="20"/>
          <w:szCs w:val="20"/>
          <w:color w:val="auto"/>
        </w:rPr>
      </w:pPr>
    </w:p>
    <w:p>
      <w:pPr>
        <w:spacing w:after="0" w:line="221" w:lineRule="exact"/>
        <w:rPr>
          <w:sz w:val="20"/>
          <w:szCs w:val="20"/>
          <w:color w:val="auto"/>
        </w:rPr>
      </w:pPr>
    </w:p>
    <w:p>
      <w:pPr>
        <w:spacing w:after="0"/>
        <w:tabs>
          <w:tab w:leader="none" w:pos="780" w:val="left"/>
          <w:tab w:leader="none" w:pos="1680" w:val="left"/>
        </w:tabs>
        <w:rPr>
          <w:sz w:val="20"/>
          <w:szCs w:val="20"/>
          <w:color w:val="auto"/>
        </w:rPr>
      </w:pPr>
      <w:r>
        <w:rPr>
          <w:rFonts w:ascii="Calibri" w:cs="Calibri" w:eastAsia="Calibri" w:hAnsi="Calibri"/>
          <w:sz w:val="14"/>
          <w:szCs w:val="14"/>
          <w:b w:val="1"/>
          <w:bCs w:val="1"/>
          <w:color w:val="auto"/>
        </w:rPr>
        <w:t>For</w:t>
      </w:r>
      <w:r>
        <w:rPr>
          <w:sz w:val="20"/>
          <w:szCs w:val="20"/>
          <w:color w:val="auto"/>
        </w:rPr>
        <w:tab/>
      </w:r>
      <w:r>
        <w:rPr>
          <w:rFonts w:ascii="Calibri" w:cs="Calibri" w:eastAsia="Calibri" w:hAnsi="Calibri"/>
          <w:sz w:val="14"/>
          <w:szCs w:val="14"/>
          <w:b w:val="1"/>
          <w:bCs w:val="1"/>
          <w:color w:val="auto"/>
        </w:rPr>
        <w:t>Against</w:t>
      </w:r>
      <w:r>
        <w:rPr>
          <w:sz w:val="20"/>
          <w:szCs w:val="20"/>
          <w:color w:val="auto"/>
        </w:rPr>
        <w:tab/>
      </w:r>
      <w:r>
        <w:rPr>
          <w:rFonts w:ascii="Calibri" w:cs="Calibri" w:eastAsia="Calibri" w:hAnsi="Calibri"/>
          <w:sz w:val="14"/>
          <w:szCs w:val="14"/>
          <w:b w:val="1"/>
          <w:bCs w:val="1"/>
          <w:color w:val="auto"/>
        </w:rPr>
        <w:t>Abstain</w:t>
      </w:r>
    </w:p>
    <w:p>
      <w:pPr>
        <w:spacing w:after="0" w:line="200" w:lineRule="exact"/>
        <w:rPr>
          <w:sz w:val="20"/>
          <w:szCs w:val="20"/>
          <w:color w:val="auto"/>
        </w:rPr>
      </w:pPr>
    </w:p>
    <w:p>
      <w:pPr>
        <w:spacing w:after="0" w:line="237" w:lineRule="exact"/>
        <w:rPr>
          <w:sz w:val="20"/>
          <w:szCs w:val="20"/>
          <w:color w:val="auto"/>
        </w:rPr>
      </w:pPr>
    </w:p>
    <w:p>
      <w:pPr>
        <w:spacing w:after="0"/>
        <w:tabs>
          <w:tab w:leader="none" w:pos="920" w:val="left"/>
          <w:tab w:leader="none" w:pos="1820" w:val="left"/>
        </w:tabs>
        <w:rPr>
          <w:sz w:val="20"/>
          <w:szCs w:val="20"/>
          <w:color w:val="auto"/>
        </w:rPr>
      </w:pPr>
      <w:r>
        <w:rPr>
          <w:rFonts w:ascii="Wingdings" w:cs="Wingdings" w:eastAsia="Wingdings" w:hAnsi="Wingdings"/>
          <w:sz w:val="18"/>
          <w:szCs w:val="18"/>
          <w:b w:val="1"/>
          <w:bCs w:val="1"/>
          <w:color w:val="auto"/>
        </w:rPr>
        <w:t>o</w:t>
      </w:r>
      <w:r>
        <w:rPr>
          <w:sz w:val="20"/>
          <w:szCs w:val="20"/>
          <w:color w:val="auto"/>
        </w:rPr>
        <w:tab/>
      </w:r>
      <w:r>
        <w:rPr>
          <w:rFonts w:ascii="Wingdings" w:cs="Wingdings" w:eastAsia="Wingdings" w:hAnsi="Wingdings"/>
          <w:sz w:val="18"/>
          <w:szCs w:val="18"/>
          <w:b w:val="1"/>
          <w:bCs w:val="1"/>
          <w:color w:val="auto"/>
        </w:rPr>
        <w:t>o</w:t>
      </w:r>
      <w:r>
        <w:rPr>
          <w:sz w:val="20"/>
          <w:szCs w:val="20"/>
          <w:color w:val="auto"/>
        </w:rPr>
        <w:tab/>
      </w:r>
      <w:r>
        <w:rPr>
          <w:rFonts w:ascii="Wingdings" w:cs="Wingdings" w:eastAsia="Wingdings" w:hAnsi="Wingdings"/>
          <w:sz w:val="18"/>
          <w:szCs w:val="18"/>
          <w:b w:val="1"/>
          <w:bCs w:val="1"/>
          <w:color w:val="auto"/>
        </w:rPr>
        <w:t>o</w:t>
      </w:r>
    </w:p>
    <w:p>
      <w:pPr>
        <w:spacing w:after="0" w:line="1225" w:lineRule="exact"/>
        <w:rPr>
          <w:sz w:val="20"/>
          <w:szCs w:val="20"/>
          <w:color w:val="auto"/>
        </w:rPr>
      </w:pPr>
    </w:p>
    <w:p>
      <w:pPr>
        <w:sectPr>
          <w:pgSz w:w="11900" w:h="16838" w:orient="portrait"/>
          <w:cols w:equalWidth="0" w:num="3">
            <w:col w:w="3820" w:space="300"/>
            <w:col w:w="3400" w:space="400"/>
            <w:col w:w="2920"/>
          </w:cols>
          <w:pgMar w:left="360" w:top="1231" w:right="69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ind w:left="4840" w:right="560"/>
        <w:spacing w:after="0" w:line="245" w:lineRule="auto"/>
        <w:rPr>
          <w:sz w:val="20"/>
          <w:szCs w:val="20"/>
          <w:color w:val="auto"/>
        </w:rPr>
      </w:pPr>
      <w:r>
        <w:rPr>
          <w:rFonts w:ascii="Calibri" w:cs="Calibri" w:eastAsia="Calibri" w:hAnsi="Calibri"/>
          <w:sz w:val="14"/>
          <w:szCs w:val="14"/>
          <w:b w:val="1"/>
          <w:bCs w:val="1"/>
          <w:color w:val="auto"/>
        </w:rPr>
        <w:t xml:space="preserve">NOTE: </w:t>
      </w:r>
      <w:r>
        <w:rPr>
          <w:rFonts w:ascii="Calibri" w:cs="Calibri" w:eastAsia="Calibri" w:hAnsi="Calibri"/>
          <w:sz w:val="14"/>
          <w:szCs w:val="14"/>
          <w:color w:val="auto"/>
        </w:rPr>
        <w:t>In their discreton, the proxies are authorized to vote upon such other business as may</w:t>
      </w:r>
      <w:r>
        <w:rPr>
          <w:rFonts w:ascii="Calibri" w:cs="Calibri" w:eastAsia="Calibri" w:hAnsi="Calibri"/>
          <w:sz w:val="14"/>
          <w:szCs w:val="14"/>
          <w:b w:val="1"/>
          <w:bCs w:val="1"/>
          <w:color w:val="auto"/>
        </w:rPr>
        <w:t xml:space="preserve"> </w:t>
      </w:r>
      <w:r>
        <w:rPr>
          <w:rFonts w:ascii="Calibri" w:cs="Calibri" w:eastAsia="Calibri" w:hAnsi="Calibri"/>
          <w:sz w:val="14"/>
          <w:szCs w:val="14"/>
          <w:color w:val="auto"/>
        </w:rPr>
        <w:t>properly come before the meetng.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alibri" w:cs="Calibri" w:eastAsia="Calibri" w:hAnsi="Calibri"/>
          <w:sz w:val="13"/>
          <w:szCs w:val="13"/>
          <w:color w:val="auto"/>
        </w:rPr>
        <w:t>Please sign as name appears hereon. Joint owners should each sign. When signing as an atorney, executor, administrator, trustee or guardian, please give full ttle as such.</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0320"/>
        <w:spacing w:after="0"/>
        <w:rPr>
          <w:sz w:val="20"/>
          <w:szCs w:val="20"/>
          <w:color w:val="auto"/>
        </w:rPr>
      </w:pPr>
      <w:r>
        <w:rPr>
          <w:rFonts w:ascii="Calibri" w:cs="Calibri" w:eastAsia="Calibri" w:hAnsi="Calibri"/>
          <w:sz w:val="13"/>
          <w:szCs w:val="13"/>
          <w:b w:val="1"/>
          <w:bCs w:val="1"/>
          <w:color w:val="auto"/>
        </w:rPr>
        <w:t>SHARES</w:t>
      </w:r>
    </w:p>
    <w:p>
      <w:pPr>
        <w:spacing w:after="0" w:line="138" w:lineRule="exact"/>
        <w:rPr>
          <w:sz w:val="20"/>
          <w:szCs w:val="20"/>
          <w:color w:val="auto"/>
        </w:rPr>
      </w:pPr>
    </w:p>
    <w:p>
      <w:pPr>
        <w:ind w:left="10320"/>
        <w:spacing w:after="0"/>
        <w:rPr>
          <w:sz w:val="20"/>
          <w:szCs w:val="20"/>
          <w:color w:val="auto"/>
        </w:rPr>
      </w:pPr>
      <w:r>
        <w:rPr>
          <w:rFonts w:ascii="Calibri" w:cs="Calibri" w:eastAsia="Calibri" w:hAnsi="Calibri"/>
          <w:sz w:val="13"/>
          <w:szCs w:val="13"/>
          <w:b w:val="1"/>
          <w:bCs w:val="1"/>
          <w:color w:val="auto"/>
        </w:rPr>
        <w:t>CUSIP #</w:t>
      </w:r>
    </w:p>
    <w:p>
      <w:pPr>
        <w:spacing w:after="0" w:line="103" w:lineRule="exact"/>
        <w:rPr>
          <w:sz w:val="20"/>
          <w:szCs w:val="20"/>
          <w:color w:val="auto"/>
        </w:rPr>
      </w:pPr>
    </w:p>
    <w:p>
      <w:pPr>
        <w:spacing w:after="0"/>
        <w:tabs>
          <w:tab w:leader="none" w:pos="3400" w:val="left"/>
          <w:tab w:leader="none" w:pos="5320" w:val="left"/>
          <w:tab w:leader="none" w:pos="6640" w:val="left"/>
          <w:tab w:leader="none" w:pos="8920" w:val="left"/>
          <w:tab w:leader="none" w:pos="10180" w:val="left"/>
        </w:tabs>
        <w:rPr>
          <w:sz w:val="20"/>
          <w:szCs w:val="20"/>
          <w:color w:val="auto"/>
        </w:rPr>
      </w:pPr>
      <w:r>
        <w:rPr>
          <w:rFonts w:ascii="Calibri" w:cs="Calibri" w:eastAsia="Calibri" w:hAnsi="Calibri"/>
          <w:sz w:val="14"/>
          <w:szCs w:val="14"/>
          <w:b w:val="1"/>
          <w:bCs w:val="1"/>
          <w:color w:val="auto"/>
        </w:rPr>
        <w:t>Signature [PLEASE SIGN WITHIN BOX]</w:t>
      </w:r>
      <w:r>
        <w:rPr>
          <w:sz w:val="20"/>
          <w:szCs w:val="20"/>
          <w:color w:val="auto"/>
        </w:rPr>
        <w:tab/>
      </w:r>
      <w:r>
        <w:rPr>
          <w:rFonts w:ascii="Calibri" w:cs="Calibri" w:eastAsia="Calibri" w:hAnsi="Calibri"/>
          <w:sz w:val="14"/>
          <w:szCs w:val="14"/>
          <w:b w:val="1"/>
          <w:bCs w:val="1"/>
          <w:color w:val="auto"/>
        </w:rPr>
        <w:t>Date</w:t>
      </w:r>
      <w:r>
        <w:rPr>
          <w:sz w:val="20"/>
          <w:szCs w:val="20"/>
          <w:color w:val="auto"/>
        </w:rPr>
        <w:tab/>
      </w:r>
      <w:r>
        <w:rPr>
          <w:rFonts w:ascii="Calibri" w:cs="Calibri" w:eastAsia="Calibri" w:hAnsi="Calibri"/>
          <w:sz w:val="14"/>
          <w:szCs w:val="14"/>
          <w:b w:val="1"/>
          <w:bCs w:val="1"/>
          <w:color w:val="auto"/>
        </w:rPr>
        <w:t>JOB#</w:t>
      </w:r>
      <w:r>
        <w:rPr>
          <w:sz w:val="20"/>
          <w:szCs w:val="20"/>
          <w:color w:val="auto"/>
        </w:rPr>
        <w:tab/>
      </w:r>
      <w:r>
        <w:rPr>
          <w:rFonts w:ascii="Calibri" w:cs="Calibri" w:eastAsia="Calibri" w:hAnsi="Calibri"/>
          <w:sz w:val="14"/>
          <w:szCs w:val="14"/>
          <w:b w:val="1"/>
          <w:bCs w:val="1"/>
          <w:color w:val="auto"/>
        </w:rPr>
        <w:t>Signature (Joint Owners)</w:t>
      </w:r>
      <w:r>
        <w:rPr>
          <w:sz w:val="20"/>
          <w:szCs w:val="20"/>
          <w:color w:val="auto"/>
        </w:rPr>
        <w:tab/>
      </w:r>
      <w:r>
        <w:rPr>
          <w:rFonts w:ascii="Calibri" w:cs="Calibri" w:eastAsia="Calibri" w:hAnsi="Calibri"/>
          <w:sz w:val="14"/>
          <w:szCs w:val="14"/>
          <w:b w:val="1"/>
          <w:bCs w:val="1"/>
          <w:color w:val="auto"/>
        </w:rPr>
        <w:t>Date</w:t>
      </w:r>
      <w:r>
        <w:rPr>
          <w:sz w:val="20"/>
          <w:szCs w:val="20"/>
          <w:color w:val="auto"/>
        </w:rPr>
        <w:tab/>
      </w:r>
      <w:r>
        <w:rPr>
          <w:rFonts w:ascii="Calibri" w:cs="Calibri" w:eastAsia="Calibri" w:hAnsi="Calibri"/>
          <w:sz w:val="12"/>
          <w:szCs w:val="12"/>
          <w:b w:val="1"/>
          <w:bCs w:val="1"/>
          <w:color w:val="auto"/>
        </w:rPr>
        <w:t>SEQUENCE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942975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60" w:top="1231" w:right="699" w:bottom="1440" w:gutter="0" w:footer="0" w:header="0"/>
          <w:type w:val="continuous"/>
        </w:sectPr>
      </w:pPr>
    </w:p>
    <w:bookmarkStart w:id="66" w:name="page67"/>
    <w:bookmarkEnd w:id="66"/>
    <w:p>
      <w:pPr>
        <w:jc w:val="center"/>
        <w:ind w:left="920" w:right="1020"/>
        <w:spacing w:after="0" w:line="235" w:lineRule="auto"/>
        <w:rPr>
          <w:sz w:val="20"/>
          <w:szCs w:val="20"/>
          <w:color w:val="auto"/>
        </w:rPr>
      </w:pPr>
      <w:r>
        <w:rPr>
          <w:rFonts w:ascii="Calibri" w:cs="Calibri" w:eastAsia="Calibri" w:hAnsi="Calibri"/>
          <w:sz w:val="18"/>
          <w:szCs w:val="18"/>
          <w:color w:val="auto"/>
        </w:rPr>
        <w:t>It is important that your shares are represented at this meetng, whether or not you atend the meetng online. To make sure your shares are represented, we urge you to vote by Internet, telephone, or complete and mail the proxy card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520"/>
        <w:spacing w:after="0" w:line="246" w:lineRule="auto"/>
        <w:rPr>
          <w:sz w:val="20"/>
          <w:szCs w:val="20"/>
          <w:color w:val="auto"/>
        </w:rPr>
      </w:pPr>
      <w:r>
        <w:rPr>
          <w:rFonts w:ascii="Calibri" w:cs="Calibri" w:eastAsia="Calibri" w:hAnsi="Calibri"/>
          <w:sz w:val="16"/>
          <w:szCs w:val="16"/>
          <w:b w:val="1"/>
          <w:bCs w:val="1"/>
          <w:color w:val="auto"/>
        </w:rPr>
        <w:t xml:space="preserve">Important Notce Regarding the Availability of Proxy Materials for the Annual Meetng: </w:t>
      </w:r>
      <w:r>
        <w:rPr>
          <w:rFonts w:ascii="Calibri" w:cs="Calibri" w:eastAsia="Calibri" w:hAnsi="Calibri"/>
          <w:sz w:val="16"/>
          <w:szCs w:val="16"/>
          <w:color w:val="auto"/>
        </w:rPr>
        <w:t>The Notce &amp; Proxy Statement, Annual Report is/are available at</w:t>
      </w:r>
      <w:r>
        <w:rPr>
          <w:rFonts w:ascii="Calibri" w:cs="Calibri" w:eastAsia="Calibri" w:hAnsi="Calibri"/>
          <w:sz w:val="16"/>
          <w:szCs w:val="16"/>
          <w:b w:val="1"/>
          <w:bCs w:val="1"/>
          <w:color w:val="auto"/>
        </w:rPr>
        <w:t xml:space="preserve"> </w:t>
      </w:r>
      <w:r>
        <w:rPr>
          <w:rFonts w:ascii="Calibri" w:cs="Calibri" w:eastAsia="Calibri" w:hAnsi="Calibri"/>
          <w:sz w:val="16"/>
          <w:szCs w:val="16"/>
          <w:u w:val="single" w:color="auto"/>
          <w:color w:val="auto"/>
        </w:rPr>
        <w:t>www.proxyvote.com</w:t>
      </w:r>
      <w:r>
        <w:rPr>
          <w:rFonts w:ascii="Calibri" w:cs="Calibri" w:eastAsia="Calibri" w:hAnsi="Calibri"/>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160655</wp:posOffset>
            </wp:positionV>
            <wp:extent cx="7132320" cy="35960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3596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79"/>
        <w:spacing w:after="0"/>
        <w:rPr>
          <w:sz w:val="20"/>
          <w:szCs w:val="20"/>
          <w:color w:val="auto"/>
        </w:rPr>
      </w:pPr>
      <w:r>
        <w:rPr>
          <w:rFonts w:ascii="Calibri" w:cs="Calibri" w:eastAsia="Calibri" w:hAnsi="Calibri"/>
          <w:sz w:val="18"/>
          <w:szCs w:val="18"/>
          <w:b w:val="1"/>
          <w:bCs w:val="1"/>
          <w:color w:val="auto"/>
        </w:rPr>
        <w:t>Annual Meetng of OGE Energy Corp. Shareholders</w:t>
      </w:r>
    </w:p>
    <w:p>
      <w:pPr>
        <w:jc w:val="center"/>
        <w:ind w:right="-379"/>
        <w:spacing w:after="0" w:line="235" w:lineRule="auto"/>
        <w:rPr>
          <w:sz w:val="20"/>
          <w:szCs w:val="20"/>
          <w:color w:val="auto"/>
        </w:rPr>
      </w:pPr>
      <w:r>
        <w:rPr>
          <w:rFonts w:ascii="Calibri" w:cs="Calibri" w:eastAsia="Calibri" w:hAnsi="Calibri"/>
          <w:sz w:val="18"/>
          <w:szCs w:val="18"/>
          <w:b w:val="1"/>
          <w:bCs w:val="1"/>
          <w:color w:val="auto"/>
        </w:rPr>
        <w:t>Thursday, May 16, 2024 10:00 a.m. CDT</w:t>
      </w:r>
    </w:p>
    <w:p>
      <w:pPr>
        <w:spacing w:after="0" w:line="200" w:lineRule="exact"/>
        <w:rPr>
          <w:sz w:val="20"/>
          <w:szCs w:val="20"/>
          <w:color w:val="auto"/>
        </w:rPr>
      </w:pPr>
    </w:p>
    <w:p>
      <w:pPr>
        <w:spacing w:after="0" w:line="250" w:lineRule="exact"/>
        <w:rPr>
          <w:sz w:val="20"/>
          <w:szCs w:val="20"/>
          <w:color w:val="auto"/>
        </w:rPr>
      </w:pPr>
    </w:p>
    <w:p>
      <w:pPr>
        <w:jc w:val="both"/>
        <w:ind w:left="20"/>
        <w:spacing w:after="0" w:line="236" w:lineRule="auto"/>
        <w:rPr>
          <w:sz w:val="20"/>
          <w:szCs w:val="20"/>
          <w:color w:val="auto"/>
        </w:rPr>
      </w:pPr>
      <w:r>
        <w:rPr>
          <w:rFonts w:ascii="Calibri" w:cs="Calibri" w:eastAsia="Calibri" w:hAnsi="Calibri"/>
          <w:sz w:val="11"/>
          <w:szCs w:val="11"/>
          <w:color w:val="auto"/>
        </w:rPr>
        <w:t>The undersigned hereby appoints Judy R. McReynolds and Sean Trauschke, and each of them severally, with full power of substtuton and with full power to act with or without the other, as the proxies of the undersigned to represent and to vote all shares of stock of OGE Energy Corp. held of record by the undersigned on March 18, 2024, at the Company's Annual Meetng of Shareholders to be held on May 16, 2024, and at all adjournments thereof, on all maters coming before said meetng.</w:t>
      </w:r>
    </w:p>
    <w:p>
      <w:pPr>
        <w:spacing w:after="0" w:line="225" w:lineRule="exact"/>
        <w:rPr>
          <w:sz w:val="20"/>
          <w:szCs w:val="20"/>
          <w:color w:val="auto"/>
        </w:rPr>
      </w:pPr>
    </w:p>
    <w:p>
      <w:pPr>
        <w:jc w:val="both"/>
        <w:ind w:left="20"/>
        <w:spacing w:after="0" w:line="237" w:lineRule="auto"/>
        <w:rPr>
          <w:sz w:val="20"/>
          <w:szCs w:val="20"/>
          <w:color w:val="auto"/>
        </w:rPr>
      </w:pPr>
      <w:r>
        <w:rPr>
          <w:rFonts w:ascii="Calibri" w:cs="Calibri" w:eastAsia="Calibri" w:hAnsi="Calibri"/>
          <w:sz w:val="11"/>
          <w:szCs w:val="11"/>
          <w:b w:val="1"/>
          <w:bCs w:val="1"/>
          <w:color w:val="auto"/>
        </w:rPr>
        <w:t>THIS PROXY, WHICH IS SOLICITED BY THE BOARD OF DIRECTORS, WILL BE VOTED AS DIRECTED. IF NO DIRECTION IS MADE, THIS PROXY WILL BE VOTED FOR THE ELECTION AS DIRECTORS OF THE NOMINEES NAMED ON THE REVERSE SIDE OF THIS PROXY CARD, FOR THE RATIFICATION OF THE APPOINTMENT OF ERNST &amp; YOUNG LLP AS THE COMPANY'S PRINCIPAL INDEPENDENT ACCOUNTANTS FOR 2024, FOR THE APPROVAL OF OUR NAMED EXECUTIVE OFFICER COMPENSATION, AND AGAINST THE SHARHOLDER PROPSAL REGARDING SIMPLE MAJORITY VOTE. PLEASE VOTE BY INTERNET, TELEPHONE, OR MARK, DATE, SIGN AND RETURN THIS PROXY CARD PROMPTLY USING THE ENCLOSED ENVELOPE.</w:t>
      </w:r>
    </w:p>
    <w:p>
      <w:pPr>
        <w:spacing w:after="0" w:line="137" w:lineRule="exact"/>
        <w:rPr>
          <w:sz w:val="20"/>
          <w:szCs w:val="20"/>
          <w:color w:val="auto"/>
        </w:rPr>
      </w:pPr>
    </w:p>
    <w:p>
      <w:pPr>
        <w:ind w:left="20"/>
        <w:spacing w:after="0"/>
        <w:rPr>
          <w:sz w:val="20"/>
          <w:szCs w:val="20"/>
          <w:color w:val="auto"/>
        </w:rPr>
      </w:pPr>
      <w:r>
        <w:rPr>
          <w:rFonts w:ascii="Calibri" w:cs="Calibri" w:eastAsia="Calibri" w:hAnsi="Calibri"/>
          <w:sz w:val="11"/>
          <w:szCs w:val="11"/>
          <w:color w:val="auto"/>
        </w:rPr>
        <w:t>Unless you atend and vote online during the meetng, you MUST vote by Internet, telephone, or sign and return your proxy in order to have your shares voted at the meetng.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120"/>
        <w:spacing w:after="0"/>
        <w:rPr>
          <w:sz w:val="20"/>
          <w:szCs w:val="20"/>
          <w:color w:val="auto"/>
        </w:rPr>
      </w:pPr>
      <w:r>
        <w:rPr>
          <w:rFonts w:ascii="Calibri" w:cs="Calibri" w:eastAsia="Calibri" w:hAnsi="Calibri"/>
          <w:sz w:val="18"/>
          <w:szCs w:val="18"/>
          <w:b w:val="1"/>
          <w:bCs w:val="1"/>
          <w:color w:val="auto"/>
        </w:rPr>
        <w:t>Contnued and to be marked, dated and signed on the other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1047750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80" w:top="1238" w:right="959" w:bottom="1440" w:gutter="0" w:footer="0" w:header="0"/>
        </w:sectPr>
      </w:pPr>
    </w:p>
    <w:bookmarkStart w:id="67" w:name="page68"/>
    <w:bookmarkEnd w:id="6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1)"/>
      <w:numFmt w:val="decimal"/>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1)"/>
      <w:numFmt w:val="decimal"/>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1"/>
      <w:numFmt w:val="bullet"/>
      <w:start w:val="1"/>
    </w:lvl>
  </w:abstractNum>
  <w:abstractNum w:abstractNumId="8">
    <w:nsid w:val="419AC241"/>
    <w:multiLevelType w:val="hybridMultilevel"/>
    <w:lvl w:ilvl="0">
      <w:lvlJc w:val="left"/>
      <w:lvlText w:val="2"/>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3"/>
      <w:numFmt w:val="bullet"/>
      <w:start w:val="1"/>
    </w:lvl>
  </w:abstractNum>
  <w:abstractNum w:abstractNumId="12">
    <w:nsid w:val="3804823E"/>
    <w:multiLevelType w:val="hybridMultilevel"/>
    <w:lvl w:ilvl="0">
      <w:lvlJc w:val="left"/>
      <w:lvlText w:val="4"/>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5"/>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6"/>
      <w:numFmt w:val="bullet"/>
      <w:start w:val="1"/>
    </w:lvl>
  </w:abstractNum>
  <w:abstractNum w:abstractNumId="18">
    <w:nsid w:val="51EAD36B"/>
    <w:multiLevelType w:val="hybridMultilevel"/>
    <w:lvl w:ilvl="0">
      <w:lvlJc w:val="left"/>
      <w:lvlText w:val="7"/>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8"/>
      <w:numFmt w:val="bullet"/>
      <w:start w:val="1"/>
    </w:lvl>
  </w:abstractNum>
  <w:abstractNum w:abstractNumId="23">
    <w:nsid w:val="70A64E2A"/>
    <w:multiLevelType w:val="hybridMultilevel"/>
    <w:lvl w:ilvl="0">
      <w:lvlJc w:val="left"/>
      <w:lvlText w:val="9"/>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1)"/>
      <w:numFmt w:val="decimal"/>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1)"/>
      <w:numFmt w:val="upperLetter"/>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
      <w:numFmt w:val="bullet"/>
      <w:start w:val="1"/>
    </w:lvl>
    <w:lvl w:ilvl="1">
      <w:lvlJc w:val="left"/>
      <w:lvlText w:val="•"/>
      <w:numFmt w:val="bullet"/>
      <w:start w:val="1"/>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1)"/>
      <w:numFmt w:val="upperLetter"/>
      <w:start w:val="1"/>
    </w:lvl>
  </w:abstractNum>
  <w:abstractNum w:abstractNumId="40">
    <w:nsid w:val="3DC240FB"/>
    <w:multiLevelType w:val="hybridMultilevel"/>
    <w:lvl w:ilvl="0">
      <w:lvlJc w:val="left"/>
      <w:lvlText w:val="(%1)"/>
      <w:numFmt w:val="upperLetter"/>
      <w:start w:val="4"/>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
      <w:numFmt w:val="bullet"/>
      <w:start w:val="1"/>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
      <w:numFmt w:val="bullet"/>
      <w:start w:val="1"/>
    </w:lvl>
  </w:abstractNum>
  <w:abstractNum w:abstractNumId="45">
    <w:nsid w:val="70C6A529"/>
    <w:multiLevelType w:val="hybridMultilevel"/>
    <w:lvl w:ilvl="0">
      <w:lvlJc w:val="left"/>
      <w:lvlText w:val="(%1)"/>
      <w:numFmt w:val="decimal"/>
      <w:start w:val="1"/>
    </w:lvl>
  </w:abstractNum>
  <w:abstractNum w:abstractNumId="46">
    <w:nsid w:val="520EEDD1"/>
    <w:multiLevelType w:val="hybridMultilevel"/>
    <w:lvl w:ilvl="0">
      <w:lvlJc w:val="left"/>
      <w:lvlText w:val="(%1)"/>
      <w:numFmt w:val="decimal"/>
      <w:start w:val="1"/>
    </w:lvl>
  </w:abstractNum>
  <w:abstractNum w:abstractNumId="47">
    <w:nsid w:val="374A3FE6"/>
    <w:multiLevelType w:val="hybridMultilevel"/>
    <w:lvl w:ilvl="0">
      <w:lvlJc w:val="left"/>
      <w:lvlText w:val="(%1)"/>
      <w:numFmt w:val="decimal"/>
      <w:start w:val="1"/>
    </w:lvl>
  </w:abstractNum>
  <w:abstractNum w:abstractNumId="48">
    <w:nsid w:val="4F4EF005"/>
    <w:multiLevelType w:val="hybridMultilevel"/>
    <w:lvl w:ilvl="0">
      <w:lvlJc w:val="left"/>
      <w:lvlText w:val="(%1)"/>
      <w:numFmt w:val="decimal"/>
      <w:start w:val="1"/>
    </w:lvl>
  </w:abstractNum>
  <w:abstractNum w:abstractNumId="49">
    <w:nsid w:val="23F9C13C"/>
    <w:multiLevelType w:val="hybridMultilevel"/>
    <w:lvl w:ilvl="0">
      <w:lvlJc w:val="left"/>
      <w:lvlText w:val="(%1)"/>
      <w:numFmt w:val="decimal"/>
      <w:start w:val="1"/>
    </w:lvl>
  </w:abstractNum>
  <w:abstractNum w:abstractNumId="50">
    <w:nsid w:val="649BB77C"/>
    <w:multiLevelType w:val="hybridMultilevel"/>
    <w:lvl w:ilvl="0">
      <w:lvlJc w:val="left"/>
      <w:lvlText w:val="(%1)"/>
      <w:numFmt w:val="decimal"/>
      <w:start w:val="1"/>
    </w:lvl>
  </w:abstractNum>
  <w:abstractNum w:abstractNumId="51">
    <w:nsid w:val="275AC794"/>
    <w:multiLevelType w:val="hybridMultilevel"/>
    <w:lvl w:ilvl="0">
      <w:lvlJc w:val="left"/>
      <w:lvlText w:val="(%1)"/>
      <w:numFmt w:val="decimal"/>
      <w:start w:val="1"/>
    </w:lvl>
  </w:abstractNum>
  <w:abstractNum w:abstractNumId="52">
    <w:nsid w:val="39386575"/>
    <w:multiLevelType w:val="hybridMultilevel"/>
    <w:lvl w:ilvl="0">
      <w:lvlJc w:val="left"/>
      <w:lvlText w:val="(%1)"/>
      <w:numFmt w:val="decimal"/>
      <w:start w:val="3"/>
    </w:lvl>
  </w:abstractNum>
  <w:abstractNum w:abstractNumId="53">
    <w:nsid w:val="1CF10FD8"/>
    <w:multiLevelType w:val="hybridMultilevel"/>
    <w:lvl w:ilvl="0">
      <w:lvlJc w:val="left"/>
      <w:lvlText w:val="•"/>
      <w:numFmt w:val="bullet"/>
      <w:start w:val="1"/>
    </w:lvl>
  </w:abstractNum>
  <w:abstractNum w:abstractNumId="54">
    <w:nsid w:val="180115BE"/>
    <w:multiLevelType w:val="hybridMultilevel"/>
    <w:lvl w:ilvl="0">
      <w:lvlJc w:val="left"/>
      <w:lvlText w:val="(%1)"/>
      <w:numFmt w:val="decimal"/>
      <w:start w:val="1"/>
    </w:lvl>
  </w:abstractNum>
  <w:abstractNum w:abstractNumId="55">
    <w:nsid w:val="235BA861"/>
    <w:multiLevelType w:val="hybridMultilevel"/>
    <w:lvl w:ilvl="0">
      <w:lvlJc w:val="left"/>
      <w:lvlText w:val="(%1)"/>
      <w:numFmt w:val="decimal"/>
      <w:start w:val="1"/>
    </w:lvl>
  </w:abstractNum>
  <w:abstractNum w:abstractNumId="56">
    <w:nsid w:val="47398C89"/>
    <w:multiLevelType w:val="hybridMultilevel"/>
    <w:lvl w:ilvl="0">
      <w:lvlJc w:val="left"/>
      <w:lvlText w:val="•"/>
      <w:numFmt w:val="bullet"/>
      <w:start w:val="1"/>
    </w:lvl>
  </w:abstractNum>
  <w:abstractNum w:abstractNumId="57">
    <w:nsid w:val="354FE9F9"/>
    <w:multiLevelType w:val="hybridMultilevel"/>
    <w:lvl w:ilvl="0">
      <w:lvlJc w:val="left"/>
      <w:lvlText w:val="o"/>
      <w:numFmt w:val="bullet"/>
      <w:start w:val="1"/>
    </w:lvl>
  </w:abstractNum>
  <w:abstractNum w:abstractNumId="58">
    <w:nsid w:val="15B5AF5C"/>
    <w:multiLevelType w:val="hybridMultilevel"/>
    <w:lvl w:ilvl="0">
      <w:lvlJc w:val="left"/>
      <w:lvlText w:val="o"/>
      <w:numFmt w:val="bullet"/>
      <w:start w:val="1"/>
    </w:lvl>
  </w:abstractNum>
  <w:abstractNum w:abstractNumId="59">
    <w:nsid w:val="741226BB"/>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2024-04-01T11:28:50Z</dcterms:created>
  <dcterms:modified xsi:type="dcterms:W3CDTF">2024-04-01T11:28:50Z</dcterms:modified>
</cp:coreProperties>
</file>