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Borders>
              <w:bottom w:val="single" w:sz="8" w:color="auto"/>
            </w:tcBorders>
            <w:gridSpan w:val="3"/>
          </w:tcPr>
          <w:p>
            <w:pPr>
              <w:ind w:left="138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14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June 7, 2022</w:t>
            </w:r>
          </w:p>
        </w:tc>
      </w:tr>
      <w:tr>
        <w:trPr>
          <w:trHeight w:val="466"/>
        </w:trPr>
        <w:tc>
          <w:tcPr>
            <w:tcW w:w="23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(Commission File Number)</w:t>
            </w:r>
          </w:p>
        </w:tc>
        <w:tc>
          <w:tcPr>
            <w:tcW w:w="5420" w:type="dxa"/>
            <w:vAlign w:val="bottom"/>
            <w:tcBorders>
              <w:bottom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(Exact Name of Registrants as Specified in Their Charters)</w:t>
            </w:r>
          </w:p>
        </w:tc>
        <w:tc>
          <w:tcPr>
            <w:tcW w:w="34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18"/>
        </w:trPr>
        <w:tc>
          <w:tcPr>
            <w:tcW w:w="23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1-12579</w:t>
            </w:r>
          </w:p>
        </w:tc>
        <w:tc>
          <w:tcPr>
            <w:tcW w:w="1580" w:type="dxa"/>
            <w:vAlign w:val="bottom"/>
          </w:tcPr>
          <w:p>
            <w:pPr>
              <w:spacing w:after="0"/>
              <w:rPr>
                <w:sz w:val="18"/>
                <w:szCs w:val="18"/>
                <w:color w:val="auto"/>
              </w:rPr>
            </w:pPr>
          </w:p>
        </w:tc>
        <w:tc>
          <w:tcPr>
            <w:tcW w:w="24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OGE ENERGY CORP.</w:t>
            </w:r>
          </w:p>
        </w:tc>
        <w:tc>
          <w:tcPr>
            <w:tcW w:w="1440" w:type="dxa"/>
            <w:vAlign w:val="bottom"/>
          </w:tcPr>
          <w:p>
            <w:pPr>
              <w:spacing w:after="0"/>
              <w:rPr>
                <w:sz w:val="18"/>
                <w:szCs w:val="18"/>
                <w:color w:val="auto"/>
              </w:rPr>
            </w:pPr>
          </w:p>
        </w:tc>
        <w:tc>
          <w:tcPr>
            <w:tcW w:w="3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73-1481638</w:t>
            </w:r>
          </w:p>
        </w:tc>
      </w:tr>
      <w:tr>
        <w:trPr>
          <w:trHeight w:val="234"/>
        </w:trPr>
        <w:tc>
          <w:tcPr>
            <w:tcW w:w="23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1-1097</w:t>
            </w:r>
          </w:p>
        </w:tc>
        <w:tc>
          <w:tcPr>
            <w:tcW w:w="54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OKLAHOMA GAS AND ELECTRIC COMPANY</w:t>
            </w:r>
          </w:p>
        </w:tc>
        <w:tc>
          <w:tcPr>
            <w:tcW w:w="3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73-0382390</w:t>
            </w:r>
          </w:p>
        </w:tc>
      </w:tr>
      <w:tr>
        <w:trPr>
          <w:trHeight w:val="486"/>
        </w:trPr>
        <w:tc>
          <w:tcPr>
            <w:tcW w:w="2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color w:val="auto"/>
              </w:rPr>
              <w:t>Oklahoma</w:t>
            </w:r>
          </w:p>
        </w:tc>
        <w:tc>
          <w:tcPr>
            <w:tcW w:w="14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r>
        <w:trPr>
          <w:trHeight w:val="228"/>
        </w:trPr>
        <w:tc>
          <w:tcPr>
            <w:tcW w:w="2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840" w:type="dxa"/>
            <w:vAlign w:val="bottom"/>
            <w:gridSpan w:val="2"/>
          </w:tcPr>
          <w:p>
            <w:pPr>
              <w:jc w:val="center"/>
              <w:ind w:right="43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440" w:type="dxa"/>
            <w:vAlign w:val="bottom"/>
          </w:tcPr>
          <w:p>
            <w:pPr>
              <w:spacing w:after="0"/>
              <w:rPr>
                <w:sz w:val="19"/>
                <w:szCs w:val="19"/>
                <w:color w:val="auto"/>
              </w:rPr>
            </w:pPr>
          </w:p>
        </w:tc>
      </w:tr>
      <w:tr>
        <w:trPr>
          <w:trHeight w:val="481"/>
        </w:trPr>
        <w:tc>
          <w:tcPr>
            <w:tcW w:w="23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321 North Harvey</w:t>
            </w:r>
          </w:p>
        </w:tc>
        <w:tc>
          <w:tcPr>
            <w:tcW w:w="15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7"/>
              </w:rPr>
              <w:t>P.O. Box 321</w:t>
            </w:r>
          </w:p>
        </w:tc>
        <w:tc>
          <w:tcPr>
            <w:tcW w:w="24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Oklahoma City</w:t>
            </w:r>
          </w:p>
        </w:tc>
        <w:tc>
          <w:tcPr>
            <w:tcW w:w="14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Oklahoma</w:t>
            </w:r>
          </w:p>
        </w:tc>
        <w:tc>
          <w:tcPr>
            <w:tcW w:w="34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73101-0321</w:t>
            </w:r>
          </w:p>
        </w:tc>
      </w:tr>
      <w:tr>
        <w:trPr>
          <w:trHeight w:val="228"/>
        </w:trPr>
        <w:tc>
          <w:tcPr>
            <w:tcW w:w="2380" w:type="dxa"/>
            <w:vAlign w:val="bottom"/>
          </w:tcPr>
          <w:p>
            <w:pPr>
              <w:spacing w:after="0"/>
              <w:rPr>
                <w:sz w:val="19"/>
                <w:szCs w:val="19"/>
                <w:color w:val="auto"/>
              </w:rPr>
            </w:pPr>
          </w:p>
        </w:tc>
        <w:tc>
          <w:tcPr>
            <w:tcW w:w="3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440" w:type="dxa"/>
            <w:vAlign w:val="bottom"/>
          </w:tcPr>
          <w:p>
            <w:pPr>
              <w:spacing w:after="0"/>
              <w:rPr>
                <w:sz w:val="19"/>
                <w:szCs w:val="19"/>
                <w:color w:val="auto"/>
              </w:rPr>
            </w:pPr>
          </w:p>
        </w:tc>
        <w:tc>
          <w:tcPr>
            <w:tcW w:w="34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0" w:lineRule="exact"/>
        <w:rPr>
          <w:sz w:val="24"/>
          <w:szCs w:val="24"/>
          <w:color w:val="auto"/>
        </w:rPr>
      </w:pPr>
    </w:p>
    <w:p>
      <w:pPr>
        <w:spacing w:after="0" w:line="344"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(405) 553-3000</w:t>
      </w:r>
    </w:p>
    <w:p>
      <w:pPr>
        <w:spacing w:after="0" w:line="27"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31"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wp:posOffset>
            </wp:positionH>
            <wp:positionV relativeFrom="paragraph">
              <wp:posOffset>17145</wp:posOffset>
            </wp:positionV>
            <wp:extent cx="66948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47" w:lineRule="exact"/>
        <w:rPr>
          <w:sz w:val="24"/>
          <w:szCs w:val="24"/>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22" w:lineRule="exact"/>
        <w:rPr>
          <w:sz w:val="24"/>
          <w:szCs w:val="24"/>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00" w:type="dxa"/>
            <w:vAlign w:val="bottom"/>
          </w:tcPr>
          <w:p>
            <w:pPr>
              <w:spacing w:after="0"/>
              <w:rPr>
                <w:sz w:val="20"/>
                <w:szCs w:val="20"/>
                <w:color w:val="auto"/>
              </w:rPr>
            </w:pPr>
          </w:p>
        </w:tc>
        <w:tc>
          <w:tcPr>
            <w:tcW w:w="4000" w:type="dxa"/>
            <w:vAlign w:val="bottom"/>
          </w:tcPr>
          <w:p>
            <w:pPr>
              <w:spacing w:after="0"/>
              <w:rPr>
                <w:sz w:val="20"/>
                <w:szCs w:val="20"/>
                <w:color w:val="auto"/>
              </w:rPr>
            </w:pPr>
          </w:p>
        </w:tc>
      </w:tr>
      <w:tr>
        <w:trPr>
          <w:trHeight w:val="256"/>
        </w:trPr>
        <w:tc>
          <w:tcPr>
            <w:tcW w:w="34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Registrant</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8"/>
        </w:trPr>
        <w:tc>
          <w:tcPr>
            <w:tcW w:w="34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OGE Energy Corp.</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OGE</w:t>
            </w: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Oklahoma Gas and Electric Company</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N/A</w:t>
            </w: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0" w:lineRule="exact"/>
        <w:rPr>
          <w:sz w:val="24"/>
          <w:szCs w:val="24"/>
          <w:color w:val="auto"/>
        </w:rPr>
      </w:pPr>
    </w:p>
    <w:p>
      <w:pPr>
        <w:spacing w:after="0" w:line="349"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or Rule 12b-2 of the Securities Exchange Act of 1934 (§240.12b-2). </w:t>
      </w:r>
      <w:r>
        <w:rPr>
          <w:rFonts w:ascii="MS PGothic" w:cs="MS PGothic" w:eastAsia="MS PGothic" w:hAnsi="MS PGothic"/>
          <w:sz w:val="18"/>
          <w:szCs w:val="18"/>
          <w:color w:val="auto"/>
        </w:rPr>
        <w:t>☐</w:t>
      </w:r>
    </w:p>
    <w:p>
      <w:pPr>
        <w:spacing w:after="0" w:line="206"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OGE Energy Corp. ("OGE Energy") is the parent company of Oklahoma Gas and Electric Company ("OG&amp;E"), a regulated electric utility with approximately 882,000 customers in Oklahoma and western Arkansas.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Oklahoma Development Finance Authority ("ODFA"), a public trust and instrumentality of the State of Oklahoma, is offering ratepayer-backed bonds (the "Bonds") for the purpose of allowing OG&amp;E to recover certain costs it incurred as a result of Winter Storm Uri in February 2021, under and pursuant to a new provision of Oklahoma law, "February 2021 Regulated Utility Consumer Protection Act," which is codified as Title 74, Oklahoma Statutes 2021, Section 9070,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"Securitization Law"). The Bonds are limited and special revenue obligations of the ODFA, payable solely from the securitization bond collateral, created pursuant to the Securitization Law and an irrevocable financial order issued by the Oklahoma Corporation Commission on December 16, 2021. The Supreme Court of Oklahoma approved the Bonds in an opinion issued on May 3, 2022. The Bonds are not an obligation of OG&amp;E or any of its affiliates.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offering of the Bonds, the ODFA has prepared a Preliminary Official Statement for distribution to potential purchasers. The Preliminary Official Statement discloses certain information about OG&amp;E that supplements or updates certain prior disclosures of OG&amp;E. Pursuant to Regulation FD, OGE Energy and OG&amp;E are furnishing excerpts of the Preliminary Official Statement hereto as Exhibit 99.01.</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information, including the Exhibit 99.01 referenced herein, is "furnished" and shall not be deemed "filed" for purposes of Section 18 of the Securities Exchange Act of 1934, as amended, or otherwise subject to the liabilities of that section. It may be incorporated by reference in a filing by OGE Energy or OG&amp;E under the Securities Exchange Act of 1934, as amended, only if and to the extent such subsequent filing specifically references the information herein as being incorporated by reference in such filing.</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Bonds have not been registered under the Securities Act of 1933 or any state securities laws. This Current Report on Form 8-K shall not constitute an offer to sell or the solicitation of an offer to buy any security, nor shall there be any sale of securities in any jurisdiction in which such offer, solicitation or sale would be unlawful prior to registration or qualification under the securities laws of any such jurisdiction.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50" w:lineRule="exact"/>
        <w:rPr>
          <w:sz w:val="20"/>
          <w:szCs w:val="20"/>
          <w:color w:val="auto"/>
        </w:rPr>
      </w:pPr>
    </w:p>
    <w:p>
      <w:pPr>
        <w:ind w:left="1260" w:hanging="260"/>
        <w:spacing w:after="0"/>
        <w:tabs>
          <w:tab w:leader="none" w:pos="1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Exhibits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Exhibit Number</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6000" w:type="dxa"/>
            <w:vAlign w:val="bottom"/>
            <w:gridSpan w:val="3"/>
          </w:tcPr>
          <w:p>
            <w:pPr>
              <w:spacing w:after="0"/>
              <w:rPr>
                <w:sz w:val="18"/>
                <w:szCs w:val="18"/>
                <w:color w:val="auto"/>
              </w:rPr>
            </w:pPr>
          </w:p>
        </w:tc>
      </w:tr>
      <w:tr>
        <w:trPr>
          <w:trHeight w:val="371"/>
        </w:trPr>
        <w:tc>
          <w:tcPr>
            <w:tcW w:w="22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99.01</w:t>
            </w:r>
          </w:p>
        </w:tc>
        <w:tc>
          <w:tcPr>
            <w:tcW w:w="1180" w:type="dxa"/>
            <w:vAlign w:val="bottom"/>
          </w:tcPr>
          <w:p>
            <w:pPr>
              <w:spacing w:after="0"/>
              <w:rPr>
                <w:sz w:val="24"/>
                <w:szCs w:val="24"/>
                <w:color w:val="auto"/>
              </w:rPr>
            </w:pPr>
          </w:p>
        </w:tc>
        <w:tc>
          <w:tcPr>
            <w:tcW w:w="7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Excerpts from Preliminary Official Statement containing information detailing OG&amp;E Oklahoma customer</w:t>
            </w:r>
          </w:p>
        </w:tc>
      </w:tr>
      <w:tr>
        <w:trPr>
          <w:trHeight w:val="156"/>
        </w:trPr>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72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information including energy consumption and write-offs.</w:t>
            </w:r>
          </w:p>
        </w:tc>
        <w:tc>
          <w:tcPr>
            <w:tcW w:w="80" w:type="dxa"/>
            <w:vAlign w:val="bottom"/>
          </w:tcPr>
          <w:p>
            <w:pPr>
              <w:spacing w:after="0"/>
              <w:rPr>
                <w:sz w:val="13"/>
                <w:szCs w:val="13"/>
                <w:color w:val="auto"/>
              </w:rPr>
            </w:pPr>
          </w:p>
        </w:tc>
      </w:tr>
      <w:tr>
        <w:trPr>
          <w:trHeight w:val="20"/>
        </w:trPr>
        <w:tc>
          <w:tcPr>
            <w:tcW w:w="22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180" w:type="dxa"/>
            <w:vAlign w:val="bottom"/>
            <w:gridSpan w:val="3"/>
            <w:shd w:val="clear" w:color="auto" w:fill="0000FF"/>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r>
      <w:tr>
        <w:trPr>
          <w:trHeight w:val="209"/>
        </w:trPr>
        <w:tc>
          <w:tcPr>
            <w:tcW w:w="22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104</w:t>
            </w:r>
          </w:p>
        </w:tc>
        <w:tc>
          <w:tcPr>
            <w:tcW w:w="1180" w:type="dxa"/>
            <w:vAlign w:val="bottom"/>
          </w:tcPr>
          <w:p>
            <w:pPr>
              <w:spacing w:after="0"/>
              <w:rPr>
                <w:sz w:val="18"/>
                <w:szCs w:val="18"/>
                <w:color w:val="auto"/>
              </w:rPr>
            </w:pPr>
          </w:p>
        </w:tc>
        <w:tc>
          <w:tcPr>
            <w:tcW w:w="7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w:t>
            </w:r>
          </w:p>
        </w:tc>
      </w:tr>
      <w:tr>
        <w:trPr>
          <w:trHeight w:val="234"/>
        </w:trPr>
        <w:tc>
          <w:tcPr>
            <w:tcW w:w="10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1231"/>
        </w:trPr>
        <w:tc>
          <w:tcPr>
            <w:tcW w:w="10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thereunto duly authorized.</w:t>
      </w:r>
    </w:p>
    <w:p>
      <w:pPr>
        <w:spacing w:after="0" w:line="200" w:lineRule="exact"/>
        <w:rPr>
          <w:sz w:val="20"/>
          <w:szCs w:val="20"/>
          <w:color w:val="auto"/>
        </w:rPr>
      </w:pPr>
    </w:p>
    <w:p>
      <w:pPr>
        <w:spacing w:after="0" w:line="268" w:lineRule="exact"/>
        <w:rPr>
          <w:sz w:val="20"/>
          <w:szCs w:val="20"/>
          <w:color w:val="auto"/>
        </w:rPr>
      </w:pPr>
    </w:p>
    <w:tbl>
      <w:tblPr>
        <w:tblLayout w:type="fixed"/>
        <w:tblInd w:w="4580" w:type="dxa"/>
        <w:tblCellMar>
          <w:top w:w="0" w:type="dxa"/>
          <w:left w:w="0" w:type="dxa"/>
          <w:bottom w:w="0" w:type="dxa"/>
          <w:right w:w="0" w:type="dxa"/>
        </w:tblCellMar>
      </w:tblPr>
      <w:tr>
        <w:trPr>
          <w:trHeight w:val="229"/>
        </w:trPr>
        <w:tc>
          <w:tcPr>
            <w:tcW w:w="280" w:type="dxa"/>
            <w:vAlign w:val="bottom"/>
          </w:tcPr>
          <w:p>
            <w:pPr>
              <w:spacing w:after="0"/>
              <w:rPr>
                <w:sz w:val="19"/>
                <w:szCs w:val="19"/>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OGE ENERGY CORP.</w:t>
            </w:r>
          </w:p>
        </w:tc>
      </w:tr>
      <w:tr>
        <w:trPr>
          <w:trHeight w:val="233"/>
        </w:trPr>
        <w:tc>
          <w:tcPr>
            <w:tcW w:w="280" w:type="dxa"/>
            <w:vAlign w:val="bottom"/>
          </w:tcPr>
          <w:p>
            <w:pPr>
              <w:spacing w:after="0"/>
              <w:rPr>
                <w:sz w:val="20"/>
                <w:szCs w:val="20"/>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OKLAHOMA GAS AND ELECTRIC COMPANY</w:t>
            </w:r>
          </w:p>
        </w:tc>
      </w:tr>
      <w:tr>
        <w:trPr>
          <w:trHeight w:val="234"/>
        </w:trPr>
        <w:tc>
          <w:tcPr>
            <w:tcW w:w="280" w:type="dxa"/>
            <w:vAlign w:val="bottom"/>
          </w:tcPr>
          <w:p>
            <w:pPr>
              <w:spacing w:after="0"/>
              <w:rPr>
                <w:sz w:val="20"/>
                <w:szCs w:val="20"/>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9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6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Sarah R. Stafford</w:t>
            </w:r>
          </w:p>
        </w:tc>
      </w:tr>
      <w:tr>
        <w:trPr>
          <w:trHeight w:val="218"/>
        </w:trPr>
        <w:tc>
          <w:tcPr>
            <w:tcW w:w="280" w:type="dxa"/>
            <w:vAlign w:val="bottom"/>
          </w:tcPr>
          <w:p>
            <w:pPr>
              <w:spacing w:after="0"/>
              <w:rPr>
                <w:sz w:val="18"/>
                <w:szCs w:val="18"/>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Sarah R. Stafford</w:t>
            </w:r>
          </w:p>
        </w:tc>
      </w:tr>
      <w:tr>
        <w:trPr>
          <w:trHeight w:val="234"/>
        </w:trPr>
        <w:tc>
          <w:tcPr>
            <w:tcW w:w="280" w:type="dxa"/>
            <w:vAlign w:val="bottom"/>
          </w:tcPr>
          <w:p>
            <w:pPr>
              <w:spacing w:after="0"/>
              <w:rPr>
                <w:sz w:val="20"/>
                <w:szCs w:val="20"/>
                <w:color w:val="auto"/>
              </w:rPr>
            </w:pPr>
          </w:p>
        </w:tc>
        <w:tc>
          <w:tcPr>
            <w:tcW w:w="63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Controller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7, 2022</w:t>
      </w:r>
    </w:p>
    <w:p>
      <w:pPr>
        <w:sectPr>
          <w:pgSz w:w="11900" w:h="16838" w:orient="portrait"/>
          <w:cols w:equalWidth="0" w:num="1">
            <w:col w:w="11240"/>
          </w:cols>
          <w:pgMar w:left="320" w:top="88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Excerpts from APPENDIX A to the Preliminary Official Statement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OG&amp;E will be the seller of the securitization property and initial servicer on the bonds. OG&amp;E is a regulated electric utility that generates, transmits, distributes and sells electric energy in Oklahoma and western Arkansas. OG&amp;E is a corporation organized under the laws of the State of Oklahoma and is a wholly-owned subsidiary of OGE Energy. OGE Energy is a holding company with investments in energy and energy services providers offering physical delivery and related services for electricity in Oklahoma and western Arkansas and natural gas, crude oil and natural gas liquids across the U.S. The Bonds do not constitute a debt, liability or other legal obligation of OG&amp;E, OGE Energy or any of their Affiliates.</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OG&amp;E's rates are subject to regulation by the Oklahoma Corporation Commission (the "Commission"), the Arkansas Public Service Commission and the Federal Energy Regulatory Commission.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OG&amp;E is the largest electric utility in Oklahoma. OG&amp;E's current service territory covers approximately 30,000 square miles in Oklahoma and western Arkansas and, as of December 31, 2021, supplies electric service to approximately 879,000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Base and Energy Consumption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tables show the electricity usage billed to OG&amp;E customers in the State of Oklahoma (the "Customers"), electric billed revenues for Customers and number of Customers for each revenue-reporting customer class for the five preceding years within Oklahoma. There can be no assurances that the retail electricity sales, retail electric revenues and number of retail Customers or the composition of any of the foregoing will remain at or near the levels reflected in the following tables.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80" w:type="dxa"/>
            <w:vAlign w:val="bottom"/>
            <w:gridSpan w:val="10"/>
          </w:tcPr>
          <w:p>
            <w:pPr>
              <w:ind w:left="420"/>
              <w:spacing w:after="0"/>
              <w:rPr>
                <w:sz w:val="20"/>
                <w:szCs w:val="20"/>
                <w:color w:val="auto"/>
              </w:rPr>
            </w:pPr>
            <w:r>
              <w:rPr>
                <w:rFonts w:ascii="Times New Roman" w:cs="Times New Roman" w:eastAsia="Times New Roman" w:hAnsi="Times New Roman"/>
                <w:sz w:val="14"/>
                <w:szCs w:val="14"/>
                <w:b w:val="1"/>
                <w:bCs w:val="1"/>
                <w:color w:val="auto"/>
              </w:rPr>
              <w:t>Energy Usage (As Measured by MWh) by Customer Class and Percentage Composition in Oklahoma*</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Customer Class</w:t>
            </w:r>
          </w:p>
        </w:tc>
        <w:tc>
          <w:tcPr>
            <w:tcW w:w="1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200" w:type="dxa"/>
            <w:vAlign w:val="bottom"/>
            <w:gridSpan w:val="2"/>
            <w:vMerge w:val="continue"/>
          </w:tcPr>
          <w:p>
            <w:pPr>
              <w:spacing w:after="0"/>
              <w:rPr>
                <w:sz w:val="16"/>
                <w:szCs w:val="16"/>
                <w:color w:val="auto"/>
              </w:rPr>
            </w:pPr>
          </w:p>
        </w:tc>
        <w:tc>
          <w:tcPr>
            <w:tcW w:w="122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80" w:type="dxa"/>
            <w:vAlign w:val="bottom"/>
          </w:tcPr>
          <w:p>
            <w:pPr>
              <w:spacing w:after="0"/>
              <w:rPr>
                <w:sz w:val="16"/>
                <w:szCs w:val="16"/>
                <w:color w:val="auto"/>
              </w:rPr>
            </w:pPr>
          </w:p>
        </w:tc>
        <w:tc>
          <w:tcPr>
            <w:tcW w:w="12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8,162,274</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34.42 %</w:t>
            </w:r>
          </w:p>
        </w:tc>
        <w:tc>
          <w:tcPr>
            <w:tcW w:w="80" w:type="dxa"/>
            <w:vAlign w:val="bottom"/>
          </w:tcPr>
          <w:p>
            <w:pPr>
              <w:spacing w:after="0"/>
              <w:rPr>
                <w:sz w:val="16"/>
                <w:szCs w:val="16"/>
                <w:color w:val="auto"/>
              </w:rPr>
            </w:pPr>
          </w:p>
        </w:tc>
        <w:tc>
          <w:tcPr>
            <w:tcW w:w="122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8,960,549</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35.26 %</w:t>
            </w:r>
          </w:p>
        </w:tc>
        <w:tc>
          <w:tcPr>
            <w:tcW w:w="100" w:type="dxa"/>
            <w:vAlign w:val="bottom"/>
          </w:tcPr>
          <w:p>
            <w:pPr>
              <w:spacing w:after="0"/>
              <w:rPr>
                <w:sz w:val="16"/>
                <w:szCs w:val="16"/>
                <w:color w:val="auto"/>
              </w:rPr>
            </w:pPr>
          </w:p>
        </w:tc>
        <w:tc>
          <w:tcPr>
            <w:tcW w:w="12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8,962,631</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34.80 %</w:t>
            </w:r>
          </w:p>
        </w:tc>
        <w:tc>
          <w:tcPr>
            <w:tcW w:w="100" w:type="dxa"/>
            <w:vAlign w:val="bottom"/>
          </w:tcPr>
          <w:p>
            <w:pPr>
              <w:spacing w:after="0"/>
              <w:rPr>
                <w:sz w:val="16"/>
                <w:szCs w:val="16"/>
                <w:color w:val="auto"/>
              </w:rPr>
            </w:pPr>
          </w:p>
        </w:tc>
        <w:tc>
          <w:tcPr>
            <w:tcW w:w="12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8,694,846</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35.40 %</w:t>
            </w:r>
          </w:p>
        </w:tc>
        <w:tc>
          <w:tcPr>
            <w:tcW w:w="100" w:type="dxa"/>
            <w:vAlign w:val="bottom"/>
          </w:tcPr>
          <w:p>
            <w:pPr>
              <w:spacing w:after="0"/>
              <w:rPr>
                <w:sz w:val="16"/>
                <w:szCs w:val="16"/>
                <w:color w:val="auto"/>
              </w:rPr>
            </w:pPr>
          </w:p>
        </w:tc>
        <w:tc>
          <w:tcPr>
            <w:tcW w:w="12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8,908,131</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35.41 %</w:t>
            </w:r>
          </w:p>
        </w:tc>
        <w:tc>
          <w:tcPr>
            <w:tcW w:w="0" w:type="dxa"/>
            <w:vAlign w:val="bottom"/>
          </w:tcPr>
          <w:p>
            <w:pPr>
              <w:spacing w:after="0"/>
              <w:rPr>
                <w:sz w:val="1"/>
                <w:szCs w:val="1"/>
                <w:color w:val="auto"/>
              </w:rPr>
            </w:pPr>
          </w:p>
        </w:tc>
      </w:tr>
      <w:tr>
        <w:trPr>
          <w:trHeight w:val="19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6,809,774</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28.71</w:t>
            </w:r>
          </w:p>
        </w:tc>
        <w:tc>
          <w:tcPr>
            <w:tcW w:w="80" w:type="dxa"/>
            <w:vAlign w:val="bottom"/>
          </w:tcPr>
          <w:p>
            <w:pPr>
              <w:spacing w:after="0"/>
              <w:rPr>
                <w:sz w:val="16"/>
                <w:szCs w:val="16"/>
                <w:color w:val="auto"/>
              </w:rPr>
            </w:pPr>
          </w:p>
        </w:tc>
        <w:tc>
          <w:tcPr>
            <w:tcW w:w="1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7,329,888</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28.85</w:t>
            </w:r>
          </w:p>
        </w:tc>
        <w:tc>
          <w:tcPr>
            <w:tcW w:w="100" w:type="dxa"/>
            <w:vAlign w:val="bottom"/>
          </w:tcPr>
          <w:p>
            <w:pPr>
              <w:spacing w:after="0"/>
              <w:rPr>
                <w:sz w:val="16"/>
                <w:szCs w:val="16"/>
                <w:color w:val="auto"/>
              </w:rPr>
            </w:pPr>
          </w:p>
        </w:tc>
        <w:tc>
          <w:tcPr>
            <w:tcW w:w="1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6,463,937</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25.10</w:t>
            </w:r>
          </w:p>
        </w:tc>
        <w:tc>
          <w:tcPr>
            <w:tcW w:w="100" w:type="dxa"/>
            <w:vAlign w:val="bottom"/>
          </w:tcPr>
          <w:p>
            <w:pPr>
              <w:spacing w:after="0"/>
              <w:rPr>
                <w:sz w:val="16"/>
                <w:szCs w:val="16"/>
                <w:color w:val="auto"/>
              </w:rPr>
            </w:pPr>
          </w:p>
        </w:tc>
        <w:tc>
          <w:tcPr>
            <w:tcW w:w="1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5,703,393</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23.22</w:t>
            </w:r>
          </w:p>
        </w:tc>
        <w:tc>
          <w:tcPr>
            <w:tcW w:w="100" w:type="dxa"/>
            <w:vAlign w:val="bottom"/>
          </w:tcPr>
          <w:p>
            <w:pPr>
              <w:spacing w:after="0"/>
              <w:rPr>
                <w:sz w:val="16"/>
                <w:szCs w:val="16"/>
                <w:color w:val="auto"/>
              </w:rPr>
            </w:pPr>
          </w:p>
        </w:tc>
        <w:tc>
          <w:tcPr>
            <w:tcW w:w="12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6,107,746</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24.28</w:t>
            </w:r>
          </w:p>
        </w:tc>
        <w:tc>
          <w:tcPr>
            <w:tcW w:w="0" w:type="dxa"/>
            <w:vAlign w:val="bottom"/>
          </w:tcPr>
          <w:p>
            <w:pPr>
              <w:spacing w:after="0"/>
              <w:rPr>
                <w:sz w:val="1"/>
                <w:szCs w:val="1"/>
                <w:color w:val="auto"/>
              </w:rPr>
            </w:pPr>
          </w:p>
        </w:tc>
      </w:tr>
      <w:tr>
        <w:trPr>
          <w:trHeight w:val="20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Industrial</w:t>
            </w:r>
          </w:p>
        </w:tc>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2,620,143</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11.05</w:t>
            </w:r>
          </w:p>
        </w:tc>
        <w:tc>
          <w:tcPr>
            <w:tcW w:w="80" w:type="dxa"/>
            <w:vAlign w:val="bottom"/>
          </w:tcPr>
          <w:p>
            <w:pPr>
              <w:spacing w:after="0"/>
              <w:rPr>
                <w:sz w:val="17"/>
                <w:szCs w:val="17"/>
                <w:color w:val="auto"/>
              </w:rPr>
            </w:pPr>
          </w:p>
        </w:tc>
        <w:tc>
          <w:tcPr>
            <w:tcW w:w="1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2,797,445</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Pr>
          <w:p>
            <w:pPr>
              <w:spacing w:after="0"/>
              <w:rPr>
                <w:sz w:val="17"/>
                <w:szCs w:val="17"/>
                <w:color w:val="auto"/>
              </w:rPr>
            </w:pPr>
          </w:p>
        </w:tc>
        <w:tc>
          <w:tcPr>
            <w:tcW w:w="1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3,201,976</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12.43</w:t>
            </w:r>
          </w:p>
        </w:tc>
        <w:tc>
          <w:tcPr>
            <w:tcW w:w="100" w:type="dxa"/>
            <w:vAlign w:val="bottom"/>
          </w:tcPr>
          <w:p>
            <w:pPr>
              <w:spacing w:after="0"/>
              <w:rPr>
                <w:sz w:val="17"/>
                <w:szCs w:val="17"/>
                <w:color w:val="auto"/>
              </w:rPr>
            </w:pPr>
          </w:p>
        </w:tc>
        <w:tc>
          <w:tcPr>
            <w:tcW w:w="1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3,214,920</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13.09</w:t>
            </w:r>
          </w:p>
        </w:tc>
        <w:tc>
          <w:tcPr>
            <w:tcW w:w="100" w:type="dxa"/>
            <w:vAlign w:val="bottom"/>
          </w:tcPr>
          <w:p>
            <w:pPr>
              <w:spacing w:after="0"/>
              <w:rPr>
                <w:sz w:val="17"/>
                <w:szCs w:val="17"/>
                <w:color w:val="auto"/>
              </w:rPr>
            </w:pPr>
          </w:p>
        </w:tc>
        <w:tc>
          <w:tcPr>
            <w:tcW w:w="12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3,176,032</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12.62</w:t>
            </w:r>
          </w:p>
        </w:tc>
        <w:tc>
          <w:tcPr>
            <w:tcW w:w="0" w:type="dxa"/>
            <w:vAlign w:val="bottom"/>
          </w:tcPr>
          <w:p>
            <w:pPr>
              <w:spacing w:after="0"/>
              <w:rPr>
                <w:sz w:val="1"/>
                <w:szCs w:val="1"/>
                <w:color w:val="auto"/>
              </w:rPr>
            </w:pPr>
          </w:p>
        </w:tc>
      </w:tr>
      <w:tr>
        <w:trPr>
          <w:trHeight w:val="20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Oilfield</w:t>
            </w:r>
          </w:p>
        </w:tc>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3,194,479</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13.47</w:t>
            </w:r>
          </w:p>
        </w:tc>
        <w:tc>
          <w:tcPr>
            <w:tcW w:w="80" w:type="dxa"/>
            <w:vAlign w:val="bottom"/>
          </w:tcPr>
          <w:p>
            <w:pPr>
              <w:spacing w:after="0"/>
              <w:rPr>
                <w:sz w:val="17"/>
                <w:szCs w:val="17"/>
                <w:color w:val="auto"/>
              </w:rPr>
            </w:pPr>
          </w:p>
        </w:tc>
        <w:tc>
          <w:tcPr>
            <w:tcW w:w="1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3,352,333</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Pr>
          <w:p>
            <w:pPr>
              <w:spacing w:after="0"/>
              <w:rPr>
                <w:sz w:val="17"/>
                <w:szCs w:val="17"/>
                <w:color w:val="auto"/>
              </w:rPr>
            </w:pPr>
          </w:p>
        </w:tc>
        <w:tc>
          <w:tcPr>
            <w:tcW w:w="1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4,240,978</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16.46</w:t>
            </w:r>
          </w:p>
        </w:tc>
        <w:tc>
          <w:tcPr>
            <w:tcW w:w="100" w:type="dxa"/>
            <w:vAlign w:val="bottom"/>
          </w:tcPr>
          <w:p>
            <w:pPr>
              <w:spacing w:after="0"/>
              <w:rPr>
                <w:sz w:val="17"/>
                <w:szCs w:val="17"/>
                <w:color w:val="auto"/>
              </w:rPr>
            </w:pPr>
          </w:p>
        </w:tc>
        <w:tc>
          <w:tcPr>
            <w:tcW w:w="1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4,238,387</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17.25</w:t>
            </w:r>
          </w:p>
        </w:tc>
        <w:tc>
          <w:tcPr>
            <w:tcW w:w="100" w:type="dxa"/>
            <w:vAlign w:val="bottom"/>
          </w:tcPr>
          <w:p>
            <w:pPr>
              <w:spacing w:after="0"/>
              <w:rPr>
                <w:sz w:val="17"/>
                <w:szCs w:val="17"/>
                <w:color w:val="auto"/>
              </w:rPr>
            </w:pPr>
          </w:p>
        </w:tc>
        <w:tc>
          <w:tcPr>
            <w:tcW w:w="12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4,210,079</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16.73</w:t>
            </w:r>
          </w:p>
        </w:tc>
        <w:tc>
          <w:tcPr>
            <w:tcW w:w="0" w:type="dxa"/>
            <w:vAlign w:val="bottom"/>
          </w:tcPr>
          <w:p>
            <w:pPr>
              <w:spacing w:after="0"/>
              <w:rPr>
                <w:sz w:val="1"/>
                <w:szCs w:val="1"/>
                <w:color w:val="auto"/>
              </w:rPr>
            </w:pPr>
          </w:p>
        </w:tc>
      </w:tr>
      <w:tr>
        <w:trPr>
          <w:trHeight w:val="347"/>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Public Authorities</w:t>
            </w:r>
          </w:p>
        </w:tc>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2,931,429</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12.35</w:t>
            </w:r>
          </w:p>
        </w:tc>
        <w:tc>
          <w:tcPr>
            <w:tcW w:w="80" w:type="dxa"/>
            <w:vAlign w:val="bottom"/>
          </w:tcPr>
          <w:p>
            <w:pPr>
              <w:spacing w:after="0"/>
              <w:rPr>
                <w:sz w:val="24"/>
                <w:szCs w:val="24"/>
                <w:color w:val="auto"/>
              </w:rPr>
            </w:pPr>
          </w:p>
        </w:tc>
        <w:tc>
          <w:tcPr>
            <w:tcW w:w="1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2,968,299</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11.69</w:t>
            </w:r>
          </w:p>
        </w:tc>
        <w:tc>
          <w:tcPr>
            <w:tcW w:w="100" w:type="dxa"/>
            <w:vAlign w:val="bottom"/>
          </w:tcPr>
          <w:p>
            <w:pPr>
              <w:spacing w:after="0"/>
              <w:rPr>
                <w:sz w:val="24"/>
                <w:szCs w:val="24"/>
                <w:color w:val="auto"/>
              </w:rPr>
            </w:pPr>
          </w:p>
        </w:tc>
        <w:tc>
          <w:tcPr>
            <w:tcW w:w="1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2,888,089</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11.21</w:t>
            </w:r>
          </w:p>
        </w:tc>
        <w:tc>
          <w:tcPr>
            <w:tcW w:w="100" w:type="dxa"/>
            <w:vAlign w:val="bottom"/>
          </w:tcPr>
          <w:p>
            <w:pPr>
              <w:spacing w:after="0"/>
              <w:rPr>
                <w:sz w:val="24"/>
                <w:szCs w:val="24"/>
                <w:color w:val="auto"/>
              </w:rPr>
            </w:pPr>
          </w:p>
        </w:tc>
        <w:tc>
          <w:tcPr>
            <w:tcW w:w="1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2,712,452</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11.04</w:t>
            </w:r>
          </w:p>
        </w:tc>
        <w:tc>
          <w:tcPr>
            <w:tcW w:w="100" w:type="dxa"/>
            <w:vAlign w:val="bottom"/>
          </w:tcPr>
          <w:p>
            <w:pPr>
              <w:spacing w:after="0"/>
              <w:rPr>
                <w:sz w:val="24"/>
                <w:szCs w:val="24"/>
                <w:color w:val="auto"/>
              </w:rPr>
            </w:pPr>
          </w:p>
        </w:tc>
        <w:tc>
          <w:tcPr>
            <w:tcW w:w="12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2,756,596</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10.96</w:t>
            </w:r>
          </w:p>
        </w:tc>
        <w:tc>
          <w:tcPr>
            <w:tcW w:w="0" w:type="dxa"/>
            <w:vAlign w:val="bottom"/>
          </w:tcPr>
          <w:p>
            <w:pPr>
              <w:spacing w:after="0"/>
              <w:rPr>
                <w:sz w:val="1"/>
                <w:szCs w:val="1"/>
                <w:color w:val="auto"/>
              </w:rPr>
            </w:pPr>
          </w:p>
        </w:tc>
      </w:tr>
      <w:tr>
        <w:trPr>
          <w:trHeight w:val="196"/>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and Street lights</w:t>
            </w:r>
          </w:p>
        </w:tc>
        <w:tc>
          <w:tcPr>
            <w:tcW w:w="1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23,718,099</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80" w:type="dxa"/>
            <w:vAlign w:val="bottom"/>
          </w:tcPr>
          <w:p>
            <w:pPr>
              <w:spacing w:after="0"/>
              <w:rPr>
                <w:sz w:val="17"/>
                <w:szCs w:val="17"/>
                <w:color w:val="auto"/>
              </w:rPr>
            </w:pPr>
          </w:p>
        </w:tc>
        <w:tc>
          <w:tcPr>
            <w:tcW w:w="1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25,408,514</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100" w:type="dxa"/>
            <w:vAlign w:val="bottom"/>
          </w:tcPr>
          <w:p>
            <w:pPr>
              <w:spacing w:after="0"/>
              <w:rPr>
                <w:sz w:val="17"/>
                <w:szCs w:val="17"/>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25,757,612</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100" w:type="dxa"/>
            <w:vAlign w:val="bottom"/>
          </w:tcPr>
          <w:p>
            <w:pPr>
              <w:spacing w:after="0"/>
              <w:rPr>
                <w:sz w:val="17"/>
                <w:szCs w:val="17"/>
                <w:color w:val="auto"/>
              </w:rPr>
            </w:pPr>
          </w:p>
        </w:tc>
        <w:tc>
          <w:tcPr>
            <w:tcW w:w="12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24,563,997</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100" w:type="dxa"/>
            <w:vAlign w:val="bottom"/>
          </w:tcPr>
          <w:p>
            <w:pPr>
              <w:spacing w:after="0"/>
              <w:rPr>
                <w:sz w:val="17"/>
                <w:szCs w:val="17"/>
                <w:color w:val="auto"/>
              </w:rPr>
            </w:pPr>
          </w:p>
        </w:tc>
        <w:tc>
          <w:tcPr>
            <w:tcW w:w="12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25,158,584</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0" w:type="dxa"/>
            <w:vAlign w:val="bottom"/>
          </w:tcPr>
          <w:p>
            <w:pPr>
              <w:spacing w:after="0"/>
              <w:rPr>
                <w:sz w:val="1"/>
                <w:szCs w:val="1"/>
                <w:color w:val="auto"/>
              </w:rPr>
            </w:pPr>
          </w:p>
        </w:tc>
      </w:tr>
      <w:tr>
        <w:trPr>
          <w:trHeight w:val="28"/>
        </w:trPr>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ind w:left="360" w:hanging="321"/>
        <w:spacing w:after="0"/>
        <w:tabs>
          <w:tab w:leader="none" w:pos="3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Columns may not add due to rounding.</w:t>
      </w:r>
    </w:p>
    <w:p>
      <w:pPr>
        <w:spacing w:after="0" w:line="3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Service Level of each Customer is determined by OG&amp;E based on the nominal standard voltage of such Customer's connection to the OG&amp;E electric transmission and distribution system. Securitization Charge allocations are based on the actual daily kWh usage for each Service Level for the period of emergency during Winter Storm Uri, February 7, 2021 to February 21, 2021; provided, however, that allocations for those Customers billed based on day-ahead pricing procedures are based on their baseline usage during such period. See "THE FINANCING ORDER - Tariff" in the Official Statement.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380" w:type="dxa"/>
            <w:vAlign w:val="bottom"/>
            <w:gridSpan w:val="10"/>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Energy Usage (As Measured by MWh) by Service Level and Percentage Composition in Oklahoma*</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Service Level</w:t>
            </w:r>
          </w:p>
        </w:tc>
        <w:tc>
          <w:tcPr>
            <w:tcW w:w="1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080" w:type="dxa"/>
            <w:vAlign w:val="bottom"/>
            <w:gridSpan w:val="2"/>
            <w:vMerge w:val="continue"/>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S/L 1</w:t>
            </w:r>
          </w:p>
        </w:tc>
        <w:tc>
          <w:tcPr>
            <w:tcW w:w="80" w:type="dxa"/>
            <w:vAlign w:val="bottom"/>
          </w:tcPr>
          <w:p>
            <w:pPr>
              <w:spacing w:after="0"/>
              <w:rPr>
                <w:sz w:val="16"/>
                <w:szCs w:val="16"/>
                <w:color w:val="auto"/>
              </w:rPr>
            </w:pPr>
          </w:p>
        </w:tc>
        <w:tc>
          <w:tcPr>
            <w:tcW w:w="128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608,207</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2.56 %</w:t>
            </w:r>
          </w:p>
        </w:tc>
        <w:tc>
          <w:tcPr>
            <w:tcW w:w="100" w:type="dxa"/>
            <w:vAlign w:val="bottom"/>
          </w:tcPr>
          <w:p>
            <w:pPr>
              <w:spacing w:after="0"/>
              <w:rPr>
                <w:sz w:val="16"/>
                <w:szCs w:val="16"/>
                <w:color w:val="auto"/>
              </w:rPr>
            </w:pPr>
          </w:p>
        </w:tc>
        <w:tc>
          <w:tcPr>
            <w:tcW w:w="12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818,363</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3.22 %</w:t>
            </w:r>
          </w:p>
        </w:tc>
        <w:tc>
          <w:tcPr>
            <w:tcW w:w="100" w:type="dxa"/>
            <w:vAlign w:val="bottom"/>
          </w:tcPr>
          <w:p>
            <w:pPr>
              <w:spacing w:after="0"/>
              <w:rPr>
                <w:sz w:val="16"/>
                <w:szCs w:val="16"/>
                <w:color w:val="auto"/>
              </w:rPr>
            </w:pPr>
          </w:p>
        </w:tc>
        <w:tc>
          <w:tcPr>
            <w:tcW w:w="122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859,078</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3.34 %</w:t>
            </w:r>
          </w:p>
        </w:tc>
        <w:tc>
          <w:tcPr>
            <w:tcW w:w="100" w:type="dxa"/>
            <w:vAlign w:val="bottom"/>
          </w:tcPr>
          <w:p>
            <w:pPr>
              <w:spacing w:after="0"/>
              <w:rPr>
                <w:sz w:val="16"/>
                <w:szCs w:val="16"/>
                <w:color w:val="auto"/>
              </w:rPr>
            </w:pPr>
          </w:p>
        </w:tc>
        <w:tc>
          <w:tcPr>
            <w:tcW w:w="12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805,909</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3.28 %</w:t>
            </w:r>
          </w:p>
        </w:tc>
        <w:tc>
          <w:tcPr>
            <w:tcW w:w="80" w:type="dxa"/>
            <w:vAlign w:val="bottom"/>
          </w:tcPr>
          <w:p>
            <w:pPr>
              <w:spacing w:after="0"/>
              <w:rPr>
                <w:sz w:val="16"/>
                <w:szCs w:val="16"/>
                <w:color w:val="auto"/>
              </w:rPr>
            </w:pPr>
          </w:p>
        </w:tc>
        <w:tc>
          <w:tcPr>
            <w:tcW w:w="126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800,559</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3.18 %</w:t>
            </w:r>
          </w:p>
        </w:tc>
        <w:tc>
          <w:tcPr>
            <w:tcW w:w="0" w:type="dxa"/>
            <w:vAlign w:val="bottom"/>
          </w:tcPr>
          <w:p>
            <w:pPr>
              <w:spacing w:after="0"/>
              <w:rPr>
                <w:sz w:val="1"/>
                <w:szCs w:val="1"/>
                <w:color w:val="auto"/>
              </w:rPr>
            </w:pPr>
          </w:p>
        </w:tc>
      </w:tr>
      <w:tr>
        <w:trPr>
          <w:trHeight w:val="19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S/L 2</w:t>
            </w:r>
          </w:p>
        </w:tc>
        <w:tc>
          <w:tcPr>
            <w:tcW w:w="12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4,334,409</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18.27</w:t>
            </w:r>
          </w:p>
        </w:tc>
        <w:tc>
          <w:tcPr>
            <w:tcW w:w="100" w:type="dxa"/>
            <w:vAlign w:val="bottom"/>
          </w:tcPr>
          <w:p>
            <w:pPr>
              <w:spacing w:after="0"/>
              <w:rPr>
                <w:sz w:val="16"/>
                <w:szCs w:val="16"/>
                <w:color w:val="auto"/>
              </w:rPr>
            </w:pPr>
          </w:p>
        </w:tc>
        <w:tc>
          <w:tcPr>
            <w:tcW w:w="12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4,769,689</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18.77</w:t>
            </w:r>
          </w:p>
        </w:tc>
        <w:tc>
          <w:tcPr>
            <w:tcW w:w="100" w:type="dxa"/>
            <w:vAlign w:val="bottom"/>
          </w:tcPr>
          <w:p>
            <w:pPr>
              <w:spacing w:after="0"/>
              <w:rPr>
                <w:sz w:val="16"/>
                <w:szCs w:val="16"/>
                <w:color w:val="auto"/>
              </w:rPr>
            </w:pPr>
          </w:p>
        </w:tc>
        <w:tc>
          <w:tcPr>
            <w:tcW w:w="12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5,021,368</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19.49</w:t>
            </w:r>
          </w:p>
        </w:tc>
        <w:tc>
          <w:tcPr>
            <w:tcW w:w="100" w:type="dxa"/>
            <w:vAlign w:val="bottom"/>
          </w:tcPr>
          <w:p>
            <w:pPr>
              <w:spacing w:after="0"/>
              <w:rPr>
                <w:sz w:val="16"/>
                <w:szCs w:val="16"/>
                <w:color w:val="auto"/>
              </w:rPr>
            </w:pPr>
          </w:p>
        </w:tc>
        <w:tc>
          <w:tcPr>
            <w:tcW w:w="12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4,920,100</w:t>
            </w: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20.03</w:t>
            </w:r>
          </w:p>
        </w:tc>
        <w:tc>
          <w:tcPr>
            <w:tcW w:w="80" w:type="dxa"/>
            <w:vAlign w:val="bottom"/>
          </w:tcPr>
          <w:p>
            <w:pPr>
              <w:spacing w:after="0"/>
              <w:rPr>
                <w:sz w:val="16"/>
                <w:szCs w:val="16"/>
                <w:color w:val="auto"/>
              </w:rPr>
            </w:pPr>
          </w:p>
        </w:tc>
        <w:tc>
          <w:tcPr>
            <w:tcW w:w="12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4,915,069</w:t>
            </w: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19.54</w:t>
            </w:r>
          </w:p>
        </w:tc>
        <w:tc>
          <w:tcPr>
            <w:tcW w:w="0" w:type="dxa"/>
            <w:vAlign w:val="bottom"/>
          </w:tcPr>
          <w:p>
            <w:pPr>
              <w:spacing w:after="0"/>
              <w:rPr>
                <w:sz w:val="1"/>
                <w:szCs w:val="1"/>
                <w:color w:val="auto"/>
              </w:rPr>
            </w:pPr>
          </w:p>
        </w:tc>
      </w:tr>
      <w:tr>
        <w:trPr>
          <w:trHeight w:val="20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S/L 3</w:t>
            </w:r>
          </w:p>
        </w:tc>
        <w:tc>
          <w:tcPr>
            <w:tcW w:w="12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1,911,245</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Pr>
          <w:p>
            <w:pPr>
              <w:spacing w:after="0"/>
              <w:rPr>
                <w:sz w:val="17"/>
                <w:szCs w:val="17"/>
                <w:color w:val="auto"/>
              </w:rPr>
            </w:pPr>
          </w:p>
        </w:tc>
        <w:tc>
          <w:tcPr>
            <w:tcW w:w="12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1,908,162</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7.51</w:t>
            </w:r>
          </w:p>
        </w:tc>
        <w:tc>
          <w:tcPr>
            <w:tcW w:w="100" w:type="dxa"/>
            <w:vAlign w:val="bottom"/>
          </w:tcPr>
          <w:p>
            <w:pPr>
              <w:spacing w:after="0"/>
              <w:rPr>
                <w:sz w:val="17"/>
                <w:szCs w:val="17"/>
                <w:color w:val="auto"/>
              </w:rPr>
            </w:pPr>
          </w:p>
        </w:tc>
        <w:tc>
          <w:tcPr>
            <w:tcW w:w="12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1,986,925</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7.71</w:t>
            </w:r>
          </w:p>
        </w:tc>
        <w:tc>
          <w:tcPr>
            <w:tcW w:w="100" w:type="dxa"/>
            <w:vAlign w:val="bottom"/>
          </w:tcPr>
          <w:p>
            <w:pPr>
              <w:spacing w:after="0"/>
              <w:rPr>
                <w:sz w:val="17"/>
                <w:szCs w:val="17"/>
                <w:color w:val="auto"/>
              </w:rPr>
            </w:pPr>
          </w:p>
        </w:tc>
        <w:tc>
          <w:tcPr>
            <w:tcW w:w="12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1,759,575</w:t>
            </w: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7.16</w:t>
            </w:r>
          </w:p>
        </w:tc>
        <w:tc>
          <w:tcPr>
            <w:tcW w:w="80" w:type="dxa"/>
            <w:vAlign w:val="bottom"/>
          </w:tcPr>
          <w:p>
            <w:pPr>
              <w:spacing w:after="0"/>
              <w:rPr>
                <w:sz w:val="17"/>
                <w:szCs w:val="17"/>
                <w:color w:val="auto"/>
              </w:rPr>
            </w:pPr>
          </w:p>
        </w:tc>
        <w:tc>
          <w:tcPr>
            <w:tcW w:w="12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1,863,227</w:t>
            </w: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7.41</w:t>
            </w:r>
          </w:p>
        </w:tc>
        <w:tc>
          <w:tcPr>
            <w:tcW w:w="0" w:type="dxa"/>
            <w:vAlign w:val="bottom"/>
          </w:tcPr>
          <w:p>
            <w:pPr>
              <w:spacing w:after="0"/>
              <w:rPr>
                <w:sz w:val="1"/>
                <w:szCs w:val="1"/>
                <w:color w:val="auto"/>
              </w:rPr>
            </w:pPr>
          </w:p>
        </w:tc>
      </w:tr>
      <w:tr>
        <w:trPr>
          <w:trHeight w:val="20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S/L 4</w:t>
            </w:r>
          </w:p>
        </w:tc>
        <w:tc>
          <w:tcPr>
            <w:tcW w:w="12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563,593</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7"/>
                <w:szCs w:val="17"/>
                <w:color w:val="auto"/>
              </w:rPr>
            </w:pPr>
          </w:p>
        </w:tc>
        <w:tc>
          <w:tcPr>
            <w:tcW w:w="12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609,295</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7"/>
                <w:szCs w:val="17"/>
                <w:color w:val="auto"/>
              </w:rPr>
            </w:pPr>
          </w:p>
        </w:tc>
        <w:tc>
          <w:tcPr>
            <w:tcW w:w="12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582,918</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7"/>
                <w:szCs w:val="17"/>
                <w:color w:val="auto"/>
              </w:rPr>
            </w:pPr>
          </w:p>
        </w:tc>
        <w:tc>
          <w:tcPr>
            <w:tcW w:w="12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562,723</w:t>
            </w: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Pr>
          <w:p>
            <w:pPr>
              <w:spacing w:after="0"/>
              <w:rPr>
                <w:sz w:val="17"/>
                <w:szCs w:val="17"/>
                <w:color w:val="auto"/>
              </w:rPr>
            </w:pPr>
          </w:p>
        </w:tc>
        <w:tc>
          <w:tcPr>
            <w:tcW w:w="12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498,670</w:t>
            </w: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20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S/L 5</w:t>
            </w:r>
          </w:p>
        </w:tc>
        <w:tc>
          <w:tcPr>
            <w:tcW w:w="12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16,300,646</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68.73</w:t>
            </w:r>
          </w:p>
        </w:tc>
        <w:tc>
          <w:tcPr>
            <w:tcW w:w="100" w:type="dxa"/>
            <w:vAlign w:val="bottom"/>
          </w:tcPr>
          <w:p>
            <w:pPr>
              <w:spacing w:after="0"/>
              <w:rPr>
                <w:sz w:val="17"/>
                <w:szCs w:val="17"/>
                <w:color w:val="auto"/>
              </w:rPr>
            </w:pPr>
          </w:p>
        </w:tc>
        <w:tc>
          <w:tcPr>
            <w:tcW w:w="12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17,303,006</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68.10</w:t>
            </w:r>
          </w:p>
        </w:tc>
        <w:tc>
          <w:tcPr>
            <w:tcW w:w="100" w:type="dxa"/>
            <w:vAlign w:val="bottom"/>
          </w:tcPr>
          <w:p>
            <w:pPr>
              <w:spacing w:after="0"/>
              <w:rPr>
                <w:sz w:val="17"/>
                <w:szCs w:val="17"/>
                <w:color w:val="auto"/>
              </w:rPr>
            </w:pPr>
          </w:p>
        </w:tc>
        <w:tc>
          <w:tcPr>
            <w:tcW w:w="12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17,307,323</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67.19</w:t>
            </w:r>
          </w:p>
        </w:tc>
        <w:tc>
          <w:tcPr>
            <w:tcW w:w="100" w:type="dxa"/>
            <w:vAlign w:val="bottom"/>
          </w:tcPr>
          <w:p>
            <w:pPr>
              <w:spacing w:after="0"/>
              <w:rPr>
                <w:sz w:val="17"/>
                <w:szCs w:val="17"/>
                <w:color w:val="auto"/>
              </w:rPr>
            </w:pPr>
          </w:p>
        </w:tc>
        <w:tc>
          <w:tcPr>
            <w:tcW w:w="12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16,515,690</w:t>
            </w: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67.24</w:t>
            </w:r>
          </w:p>
        </w:tc>
        <w:tc>
          <w:tcPr>
            <w:tcW w:w="80" w:type="dxa"/>
            <w:vAlign w:val="bottom"/>
          </w:tcPr>
          <w:p>
            <w:pPr>
              <w:spacing w:after="0"/>
              <w:rPr>
                <w:sz w:val="17"/>
                <w:szCs w:val="17"/>
                <w:color w:val="auto"/>
              </w:rPr>
            </w:pPr>
          </w:p>
        </w:tc>
        <w:tc>
          <w:tcPr>
            <w:tcW w:w="12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17,081,059</w:t>
            </w: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67.89</w:t>
            </w:r>
          </w:p>
        </w:tc>
        <w:tc>
          <w:tcPr>
            <w:tcW w:w="0" w:type="dxa"/>
            <w:vAlign w:val="bottom"/>
          </w:tcPr>
          <w:p>
            <w:pPr>
              <w:spacing w:after="0"/>
              <w:rPr>
                <w:sz w:val="1"/>
                <w:szCs w:val="1"/>
                <w:color w:val="auto"/>
              </w:rPr>
            </w:pPr>
          </w:p>
        </w:tc>
      </w:tr>
      <w:tr>
        <w:trPr>
          <w:trHeight w:val="23"/>
        </w:trPr>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23,718,099</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25,408,514</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25,757,612</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24,563,997</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80" w:type="dxa"/>
            <w:vAlign w:val="bottom"/>
          </w:tcPr>
          <w:p>
            <w:pPr>
              <w:spacing w:after="0"/>
              <w:rPr>
                <w:sz w:val="17"/>
                <w:szCs w:val="17"/>
                <w:color w:val="auto"/>
              </w:rPr>
            </w:pPr>
          </w:p>
        </w:tc>
        <w:tc>
          <w:tcPr>
            <w:tcW w:w="12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25,158,584</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39090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09060" cy="8890"/>
                    </a:xfrm>
                    <a:prstGeom prst="rect">
                      <a:avLst/>
                    </a:prstGeom>
                    <a:noFill/>
                  </pic:spPr>
                </pic:pic>
              </a:graphicData>
            </a:graphic>
          </wp:anchor>
        </w:drawing>
      </w:r>
    </w:p>
    <w:p>
      <w:pPr>
        <w:spacing w:after="0" w:line="173" w:lineRule="exact"/>
        <w:rPr>
          <w:sz w:val="20"/>
          <w:szCs w:val="20"/>
          <w:color w:val="auto"/>
        </w:rPr>
      </w:pPr>
    </w:p>
    <w:p>
      <w:pPr>
        <w:ind w:left="360" w:hanging="321"/>
        <w:spacing w:after="0"/>
        <w:tabs>
          <w:tab w:leader="none" w:pos="3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Columns may not add due to rounding.</w:t>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80" w:type="dxa"/>
            <w:vAlign w:val="bottom"/>
            <w:gridSpan w:val="10"/>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Energy Usage (As Measured by MWh) by Service Level and Percentage Composition in Oklahoma*</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12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1280" w:type="dxa"/>
            <w:vAlign w:val="bottom"/>
            <w:gridSpan w:val="2"/>
            <w:vMerge w:val="continue"/>
          </w:tcPr>
          <w:p>
            <w:pPr>
              <w:spacing w:after="0"/>
              <w:rPr>
                <w:sz w:val="10"/>
                <w:szCs w:val="10"/>
                <w:color w:val="auto"/>
              </w:rPr>
            </w:pPr>
          </w:p>
        </w:tc>
        <w:tc>
          <w:tcPr>
            <w:tcW w:w="1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2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Level/Customer</w:t>
            </w:r>
          </w:p>
        </w:tc>
        <w:tc>
          <w:tcPr>
            <w:tcW w:w="1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2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8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S/L 1</w:t>
            </w:r>
          </w:p>
        </w:tc>
        <w:tc>
          <w:tcPr>
            <w:tcW w:w="100" w:type="dxa"/>
            <w:vAlign w:val="bottom"/>
          </w:tcPr>
          <w:p>
            <w:pPr>
              <w:spacing w:after="0"/>
              <w:rPr>
                <w:sz w:val="15"/>
                <w:szCs w:val="15"/>
                <w:color w:val="auto"/>
              </w:rPr>
            </w:pP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608,207</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2.56 %</w:t>
            </w:r>
          </w:p>
        </w:tc>
        <w:tc>
          <w:tcPr>
            <w:tcW w:w="80" w:type="dxa"/>
            <w:vAlign w:val="bottom"/>
          </w:tcPr>
          <w:p>
            <w:pPr>
              <w:spacing w:after="0"/>
              <w:rPr>
                <w:sz w:val="15"/>
                <w:szCs w:val="15"/>
                <w:color w:val="auto"/>
              </w:rPr>
            </w:pPr>
          </w:p>
        </w:tc>
        <w:tc>
          <w:tcPr>
            <w:tcW w:w="12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818,363</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3.22 %</w:t>
            </w:r>
          </w:p>
        </w:tc>
        <w:tc>
          <w:tcPr>
            <w:tcW w:w="80" w:type="dxa"/>
            <w:vAlign w:val="bottom"/>
          </w:tcPr>
          <w:p>
            <w:pPr>
              <w:spacing w:after="0"/>
              <w:rPr>
                <w:sz w:val="15"/>
                <w:szCs w:val="15"/>
                <w:color w:val="auto"/>
              </w:rPr>
            </w:pPr>
          </w:p>
        </w:tc>
        <w:tc>
          <w:tcPr>
            <w:tcW w:w="13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859,078</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3.34 %</w:t>
            </w:r>
          </w:p>
        </w:tc>
        <w:tc>
          <w:tcPr>
            <w:tcW w:w="100" w:type="dxa"/>
            <w:vAlign w:val="bottom"/>
          </w:tcPr>
          <w:p>
            <w:pPr>
              <w:spacing w:after="0"/>
              <w:rPr>
                <w:sz w:val="15"/>
                <w:szCs w:val="15"/>
                <w:color w:val="auto"/>
              </w:rPr>
            </w:pPr>
          </w:p>
        </w:tc>
        <w:tc>
          <w:tcPr>
            <w:tcW w:w="12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805,909</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3.28 %</w:t>
            </w:r>
          </w:p>
        </w:tc>
        <w:tc>
          <w:tcPr>
            <w:tcW w:w="80" w:type="dxa"/>
            <w:vAlign w:val="bottom"/>
          </w:tcPr>
          <w:p>
            <w:pPr>
              <w:spacing w:after="0"/>
              <w:rPr>
                <w:sz w:val="15"/>
                <w:szCs w:val="15"/>
                <w:color w:val="auto"/>
              </w:rPr>
            </w:pPr>
          </w:p>
        </w:tc>
        <w:tc>
          <w:tcPr>
            <w:tcW w:w="12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800,559</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3.18 %</w:t>
            </w:r>
          </w:p>
        </w:tc>
        <w:tc>
          <w:tcPr>
            <w:tcW w:w="0" w:type="dxa"/>
            <w:vAlign w:val="bottom"/>
          </w:tcPr>
          <w:p>
            <w:pPr>
              <w:spacing w:after="0"/>
              <w:rPr>
                <w:sz w:val="1"/>
                <w:szCs w:val="1"/>
                <w:color w:val="auto"/>
              </w:rPr>
            </w:pPr>
          </w:p>
        </w:tc>
      </w:tr>
      <w:tr>
        <w:trPr>
          <w:trHeight w:val="193"/>
        </w:trPr>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Commercial</w:t>
            </w: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50,111</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8.24</w:t>
            </w:r>
          </w:p>
        </w:tc>
        <w:tc>
          <w:tcPr>
            <w:tcW w:w="80" w:type="dxa"/>
            <w:vAlign w:val="bottom"/>
          </w:tcPr>
          <w:p>
            <w:pPr>
              <w:spacing w:after="0"/>
              <w:rPr>
                <w:sz w:val="16"/>
                <w:szCs w:val="16"/>
                <w:color w:val="auto"/>
              </w:rPr>
            </w:pPr>
          </w:p>
        </w:tc>
        <w:tc>
          <w:tcPr>
            <w:tcW w:w="12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92,879</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11.35</w:t>
            </w:r>
          </w:p>
        </w:tc>
        <w:tc>
          <w:tcPr>
            <w:tcW w:w="80" w:type="dxa"/>
            <w:vAlign w:val="bottom"/>
          </w:tcPr>
          <w:p>
            <w:pPr>
              <w:spacing w:after="0"/>
              <w:rPr>
                <w:sz w:val="16"/>
                <w:szCs w:val="16"/>
                <w:color w:val="auto"/>
              </w:rPr>
            </w:pPr>
          </w:p>
        </w:tc>
        <w:tc>
          <w:tcPr>
            <w:tcW w:w="13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108,738</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12.66</w:t>
            </w:r>
          </w:p>
        </w:tc>
        <w:tc>
          <w:tcPr>
            <w:tcW w:w="100" w:type="dxa"/>
            <w:vAlign w:val="bottom"/>
          </w:tcPr>
          <w:p>
            <w:pPr>
              <w:spacing w:after="0"/>
              <w:rPr>
                <w:sz w:val="16"/>
                <w:szCs w:val="16"/>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39,132</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4.86</w:t>
            </w:r>
          </w:p>
        </w:tc>
        <w:tc>
          <w:tcPr>
            <w:tcW w:w="80" w:type="dxa"/>
            <w:vAlign w:val="bottom"/>
          </w:tcPr>
          <w:p>
            <w:pPr>
              <w:spacing w:after="0"/>
              <w:rPr>
                <w:sz w:val="16"/>
                <w:szCs w:val="16"/>
                <w:color w:val="auto"/>
              </w:rPr>
            </w:pPr>
          </w:p>
        </w:tc>
        <w:tc>
          <w:tcPr>
            <w:tcW w:w="12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48,302</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6.03</w:t>
            </w:r>
          </w:p>
        </w:tc>
        <w:tc>
          <w:tcPr>
            <w:tcW w:w="0" w:type="dxa"/>
            <w:vAlign w:val="bottom"/>
          </w:tcPr>
          <w:p>
            <w:pPr>
              <w:spacing w:after="0"/>
              <w:rPr>
                <w:sz w:val="1"/>
                <w:szCs w:val="1"/>
                <w:color w:val="auto"/>
              </w:rPr>
            </w:pPr>
          </w:p>
        </w:tc>
      </w:tr>
      <w:tr>
        <w:trPr>
          <w:trHeight w:val="203"/>
        </w:trPr>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Industrial</w:t>
            </w: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64,956</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10.68</w:t>
            </w:r>
          </w:p>
        </w:tc>
        <w:tc>
          <w:tcPr>
            <w:tcW w:w="80" w:type="dxa"/>
            <w:vAlign w:val="bottom"/>
          </w:tcPr>
          <w:p>
            <w:pPr>
              <w:spacing w:after="0"/>
              <w:rPr>
                <w:sz w:val="17"/>
                <w:szCs w:val="17"/>
                <w:color w:val="auto"/>
              </w:rPr>
            </w:pPr>
          </w:p>
        </w:tc>
        <w:tc>
          <w:tcPr>
            <w:tcW w:w="12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85,436</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10.44</w:t>
            </w:r>
          </w:p>
        </w:tc>
        <w:tc>
          <w:tcPr>
            <w:tcW w:w="80" w:type="dxa"/>
            <w:vAlign w:val="bottom"/>
          </w:tcPr>
          <w:p>
            <w:pPr>
              <w:spacing w:after="0"/>
              <w:rPr>
                <w:sz w:val="17"/>
                <w:szCs w:val="17"/>
                <w:color w:val="auto"/>
              </w:rPr>
            </w:pPr>
          </w:p>
        </w:tc>
        <w:tc>
          <w:tcPr>
            <w:tcW w:w="13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112,421</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13.09</w:t>
            </w:r>
          </w:p>
        </w:tc>
        <w:tc>
          <w:tcPr>
            <w:tcW w:w="100" w:type="dxa"/>
            <w:vAlign w:val="bottom"/>
          </w:tcPr>
          <w:p>
            <w:pPr>
              <w:spacing w:after="0"/>
              <w:rPr>
                <w:sz w:val="17"/>
                <w:szCs w:val="17"/>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122,756</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15.23</w:t>
            </w:r>
          </w:p>
        </w:tc>
        <w:tc>
          <w:tcPr>
            <w:tcW w:w="80" w:type="dxa"/>
            <w:vAlign w:val="bottom"/>
          </w:tcPr>
          <w:p>
            <w:pPr>
              <w:spacing w:after="0"/>
              <w:rPr>
                <w:sz w:val="17"/>
                <w:szCs w:val="17"/>
                <w:color w:val="auto"/>
              </w:rPr>
            </w:pPr>
          </w:p>
        </w:tc>
        <w:tc>
          <w:tcPr>
            <w:tcW w:w="12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120,517</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15.05</w:t>
            </w:r>
          </w:p>
        </w:tc>
        <w:tc>
          <w:tcPr>
            <w:tcW w:w="0" w:type="dxa"/>
            <w:vAlign w:val="bottom"/>
          </w:tcPr>
          <w:p>
            <w:pPr>
              <w:spacing w:after="0"/>
              <w:rPr>
                <w:sz w:val="1"/>
                <w:szCs w:val="1"/>
                <w:color w:val="auto"/>
              </w:rPr>
            </w:pPr>
          </w:p>
        </w:tc>
      </w:tr>
      <w:tr>
        <w:trPr>
          <w:trHeight w:val="203"/>
        </w:trPr>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Oil Field</w:t>
            </w: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173,339</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28.50</w:t>
            </w:r>
          </w:p>
        </w:tc>
        <w:tc>
          <w:tcPr>
            <w:tcW w:w="80" w:type="dxa"/>
            <w:vAlign w:val="bottom"/>
          </w:tcPr>
          <w:p>
            <w:pPr>
              <w:spacing w:after="0"/>
              <w:rPr>
                <w:sz w:val="17"/>
                <w:szCs w:val="17"/>
                <w:color w:val="auto"/>
              </w:rPr>
            </w:pPr>
          </w:p>
        </w:tc>
        <w:tc>
          <w:tcPr>
            <w:tcW w:w="12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170,114</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20.79</w:t>
            </w:r>
          </w:p>
        </w:tc>
        <w:tc>
          <w:tcPr>
            <w:tcW w:w="80" w:type="dxa"/>
            <w:vAlign w:val="bottom"/>
          </w:tcPr>
          <w:p>
            <w:pPr>
              <w:spacing w:after="0"/>
              <w:rPr>
                <w:sz w:val="17"/>
                <w:szCs w:val="17"/>
                <w:color w:val="auto"/>
              </w:rPr>
            </w:pPr>
          </w:p>
        </w:tc>
        <w:tc>
          <w:tcPr>
            <w:tcW w:w="13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261,461</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30.44</w:t>
            </w:r>
          </w:p>
        </w:tc>
        <w:tc>
          <w:tcPr>
            <w:tcW w:w="100" w:type="dxa"/>
            <w:vAlign w:val="bottom"/>
          </w:tcPr>
          <w:p>
            <w:pPr>
              <w:spacing w:after="0"/>
              <w:rPr>
                <w:sz w:val="17"/>
                <w:szCs w:val="17"/>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292,773</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36.33</w:t>
            </w:r>
          </w:p>
        </w:tc>
        <w:tc>
          <w:tcPr>
            <w:tcW w:w="80" w:type="dxa"/>
            <w:vAlign w:val="bottom"/>
          </w:tcPr>
          <w:p>
            <w:pPr>
              <w:spacing w:after="0"/>
              <w:rPr>
                <w:sz w:val="17"/>
                <w:szCs w:val="17"/>
                <w:color w:val="auto"/>
              </w:rPr>
            </w:pPr>
          </w:p>
        </w:tc>
        <w:tc>
          <w:tcPr>
            <w:tcW w:w="12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280,499</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35.04</w:t>
            </w:r>
          </w:p>
        </w:tc>
        <w:tc>
          <w:tcPr>
            <w:tcW w:w="0" w:type="dxa"/>
            <w:vAlign w:val="bottom"/>
          </w:tcPr>
          <w:p>
            <w:pPr>
              <w:spacing w:after="0"/>
              <w:rPr>
                <w:sz w:val="1"/>
                <w:szCs w:val="1"/>
                <w:color w:val="auto"/>
              </w:rPr>
            </w:pPr>
          </w:p>
        </w:tc>
      </w:tr>
      <w:tr>
        <w:trPr>
          <w:trHeight w:val="158"/>
        </w:trPr>
        <w:tc>
          <w:tcPr>
            <w:tcW w:w="128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Public Authorities</w:t>
            </w:r>
          </w:p>
        </w:tc>
        <w:tc>
          <w:tcPr>
            <w:tcW w:w="12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319,801</w:t>
            </w:r>
          </w:p>
        </w:tc>
        <w:tc>
          <w:tcPr>
            <w:tcW w:w="6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52.58</w:t>
            </w:r>
          </w:p>
        </w:tc>
        <w:tc>
          <w:tcPr>
            <w:tcW w:w="80" w:type="dxa"/>
            <w:vAlign w:val="bottom"/>
          </w:tcPr>
          <w:p>
            <w:pPr>
              <w:spacing w:after="0"/>
              <w:rPr>
                <w:sz w:val="13"/>
                <w:szCs w:val="13"/>
                <w:color w:val="auto"/>
              </w:rPr>
            </w:pPr>
          </w:p>
        </w:tc>
        <w:tc>
          <w:tcPr>
            <w:tcW w:w="12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color w:val="auto"/>
              </w:rPr>
              <w:t>469,935</w:t>
            </w:r>
          </w:p>
        </w:tc>
        <w:tc>
          <w:tcPr>
            <w:tcW w:w="6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57.42</w:t>
            </w:r>
          </w:p>
        </w:tc>
        <w:tc>
          <w:tcPr>
            <w:tcW w:w="80" w:type="dxa"/>
            <w:vAlign w:val="bottom"/>
          </w:tcPr>
          <w:p>
            <w:pPr>
              <w:spacing w:after="0"/>
              <w:rPr>
                <w:sz w:val="13"/>
                <w:szCs w:val="13"/>
                <w:color w:val="auto"/>
              </w:rPr>
            </w:pPr>
          </w:p>
        </w:tc>
        <w:tc>
          <w:tcPr>
            <w:tcW w:w="13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376,458</w:t>
            </w: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43.82</w:t>
            </w:r>
          </w:p>
        </w:tc>
        <w:tc>
          <w:tcPr>
            <w:tcW w:w="100" w:type="dxa"/>
            <w:vAlign w:val="bottom"/>
          </w:tcPr>
          <w:p>
            <w:pPr>
              <w:spacing w:after="0"/>
              <w:rPr>
                <w:sz w:val="13"/>
                <w:szCs w:val="13"/>
                <w:color w:val="auto"/>
              </w:rPr>
            </w:pPr>
          </w:p>
        </w:tc>
        <w:tc>
          <w:tcPr>
            <w:tcW w:w="12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351,249</w:t>
            </w: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43.58</w:t>
            </w:r>
          </w:p>
        </w:tc>
        <w:tc>
          <w:tcPr>
            <w:tcW w:w="80" w:type="dxa"/>
            <w:vAlign w:val="bottom"/>
          </w:tcPr>
          <w:p>
            <w:pPr>
              <w:spacing w:after="0"/>
              <w:rPr>
                <w:sz w:val="13"/>
                <w:szCs w:val="13"/>
                <w:color w:val="auto"/>
              </w:rPr>
            </w:pPr>
          </w:p>
        </w:tc>
        <w:tc>
          <w:tcPr>
            <w:tcW w:w="12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351,242</w:t>
            </w: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43.87</w:t>
            </w:r>
          </w:p>
        </w:tc>
        <w:tc>
          <w:tcPr>
            <w:tcW w:w="0" w:type="dxa"/>
            <w:vAlign w:val="bottom"/>
          </w:tcPr>
          <w:p>
            <w:pPr>
              <w:spacing w:after="0"/>
              <w:rPr>
                <w:sz w:val="1"/>
                <w:szCs w:val="1"/>
                <w:color w:val="auto"/>
              </w:rPr>
            </w:pPr>
          </w:p>
        </w:tc>
      </w:tr>
      <w:tr>
        <w:trPr>
          <w:trHeight w:val="112"/>
        </w:trPr>
        <w:tc>
          <w:tcPr>
            <w:tcW w:w="1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and Street lights</w:t>
            </w:r>
          </w:p>
        </w:tc>
        <w:tc>
          <w:tcPr>
            <w:tcW w:w="12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28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28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color w:val="auto"/>
              </w:rPr>
              <w:t>S/L 2</w:t>
            </w: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4,334,409</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18.27</w:t>
            </w:r>
          </w:p>
        </w:tc>
        <w:tc>
          <w:tcPr>
            <w:tcW w:w="80" w:type="dxa"/>
            <w:vAlign w:val="bottom"/>
          </w:tcPr>
          <w:p>
            <w:pPr>
              <w:spacing w:after="0"/>
              <w:rPr>
                <w:sz w:val="16"/>
                <w:szCs w:val="16"/>
                <w:color w:val="auto"/>
              </w:rPr>
            </w:pPr>
          </w:p>
        </w:tc>
        <w:tc>
          <w:tcPr>
            <w:tcW w:w="12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4,769,689</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18.77</w:t>
            </w:r>
          </w:p>
        </w:tc>
        <w:tc>
          <w:tcPr>
            <w:tcW w:w="80" w:type="dxa"/>
            <w:vAlign w:val="bottom"/>
          </w:tcPr>
          <w:p>
            <w:pPr>
              <w:spacing w:after="0"/>
              <w:rPr>
                <w:sz w:val="16"/>
                <w:szCs w:val="16"/>
                <w:color w:val="auto"/>
              </w:rPr>
            </w:pPr>
          </w:p>
        </w:tc>
        <w:tc>
          <w:tcPr>
            <w:tcW w:w="13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5,021,368</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19.49</w:t>
            </w:r>
          </w:p>
        </w:tc>
        <w:tc>
          <w:tcPr>
            <w:tcW w:w="100" w:type="dxa"/>
            <w:vAlign w:val="bottom"/>
          </w:tcPr>
          <w:p>
            <w:pPr>
              <w:spacing w:after="0"/>
              <w:rPr>
                <w:sz w:val="16"/>
                <w:szCs w:val="16"/>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4,920,100</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20.03</w:t>
            </w:r>
          </w:p>
        </w:tc>
        <w:tc>
          <w:tcPr>
            <w:tcW w:w="80" w:type="dxa"/>
            <w:vAlign w:val="bottom"/>
          </w:tcPr>
          <w:p>
            <w:pPr>
              <w:spacing w:after="0"/>
              <w:rPr>
                <w:sz w:val="16"/>
                <w:szCs w:val="16"/>
                <w:color w:val="auto"/>
              </w:rPr>
            </w:pPr>
          </w:p>
        </w:tc>
        <w:tc>
          <w:tcPr>
            <w:tcW w:w="12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4,915,069</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19.54</w:t>
            </w:r>
          </w:p>
        </w:tc>
        <w:tc>
          <w:tcPr>
            <w:tcW w:w="0" w:type="dxa"/>
            <w:vAlign w:val="bottom"/>
          </w:tcPr>
          <w:p>
            <w:pPr>
              <w:spacing w:after="0"/>
              <w:rPr>
                <w:sz w:val="1"/>
                <w:szCs w:val="1"/>
                <w:color w:val="auto"/>
              </w:rPr>
            </w:pPr>
          </w:p>
        </w:tc>
      </w:tr>
      <w:tr>
        <w:trPr>
          <w:trHeight w:val="203"/>
        </w:trPr>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Commercial</w:t>
            </w: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617,460</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14.25</w:t>
            </w:r>
          </w:p>
        </w:tc>
        <w:tc>
          <w:tcPr>
            <w:tcW w:w="80" w:type="dxa"/>
            <w:vAlign w:val="bottom"/>
          </w:tcPr>
          <w:p>
            <w:pPr>
              <w:spacing w:after="0"/>
              <w:rPr>
                <w:sz w:val="17"/>
                <w:szCs w:val="17"/>
                <w:color w:val="auto"/>
              </w:rPr>
            </w:pPr>
          </w:p>
        </w:tc>
        <w:tc>
          <w:tcPr>
            <w:tcW w:w="12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873,309</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18.31</w:t>
            </w:r>
          </w:p>
        </w:tc>
        <w:tc>
          <w:tcPr>
            <w:tcW w:w="80" w:type="dxa"/>
            <w:vAlign w:val="bottom"/>
          </w:tcPr>
          <w:p>
            <w:pPr>
              <w:spacing w:after="0"/>
              <w:rPr>
                <w:sz w:val="17"/>
                <w:szCs w:val="17"/>
                <w:color w:val="auto"/>
              </w:rPr>
            </w:pPr>
          </w:p>
        </w:tc>
        <w:tc>
          <w:tcPr>
            <w:tcW w:w="13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264,092</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tcPr>
          <w:p>
            <w:pPr>
              <w:spacing w:after="0"/>
              <w:rPr>
                <w:sz w:val="17"/>
                <w:szCs w:val="17"/>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46,272</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0.94</w:t>
            </w:r>
          </w:p>
        </w:tc>
        <w:tc>
          <w:tcPr>
            <w:tcW w:w="80" w:type="dxa"/>
            <w:vAlign w:val="bottom"/>
          </w:tcPr>
          <w:p>
            <w:pPr>
              <w:spacing w:after="0"/>
              <w:rPr>
                <w:sz w:val="17"/>
                <w:szCs w:val="17"/>
                <w:color w:val="auto"/>
              </w:rPr>
            </w:pPr>
          </w:p>
        </w:tc>
        <w:tc>
          <w:tcPr>
            <w:tcW w:w="12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50,364</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03"/>
        </w:trPr>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Industrial</w:t>
            </w: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1,203,897</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27.78</w:t>
            </w:r>
          </w:p>
        </w:tc>
        <w:tc>
          <w:tcPr>
            <w:tcW w:w="80" w:type="dxa"/>
            <w:vAlign w:val="bottom"/>
          </w:tcPr>
          <w:p>
            <w:pPr>
              <w:spacing w:after="0"/>
              <w:rPr>
                <w:sz w:val="17"/>
                <w:szCs w:val="17"/>
                <w:color w:val="auto"/>
              </w:rPr>
            </w:pPr>
          </w:p>
        </w:tc>
        <w:tc>
          <w:tcPr>
            <w:tcW w:w="12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1,393,165</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29.21</w:t>
            </w:r>
          </w:p>
        </w:tc>
        <w:tc>
          <w:tcPr>
            <w:tcW w:w="80" w:type="dxa"/>
            <w:vAlign w:val="bottom"/>
          </w:tcPr>
          <w:p>
            <w:pPr>
              <w:spacing w:after="0"/>
              <w:rPr>
                <w:sz w:val="17"/>
                <w:szCs w:val="17"/>
                <w:color w:val="auto"/>
              </w:rPr>
            </w:pPr>
          </w:p>
        </w:tc>
        <w:tc>
          <w:tcPr>
            <w:tcW w:w="13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1,675,201</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33.36</w:t>
            </w:r>
          </w:p>
        </w:tc>
        <w:tc>
          <w:tcPr>
            <w:tcW w:w="100" w:type="dxa"/>
            <w:vAlign w:val="bottom"/>
          </w:tcPr>
          <w:p>
            <w:pPr>
              <w:spacing w:after="0"/>
              <w:rPr>
                <w:sz w:val="17"/>
                <w:szCs w:val="17"/>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1,718,950</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34.94</w:t>
            </w:r>
          </w:p>
        </w:tc>
        <w:tc>
          <w:tcPr>
            <w:tcW w:w="80" w:type="dxa"/>
            <w:vAlign w:val="bottom"/>
          </w:tcPr>
          <w:p>
            <w:pPr>
              <w:spacing w:after="0"/>
              <w:rPr>
                <w:sz w:val="17"/>
                <w:szCs w:val="17"/>
                <w:color w:val="auto"/>
              </w:rPr>
            </w:pPr>
          </w:p>
        </w:tc>
        <w:tc>
          <w:tcPr>
            <w:tcW w:w="12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1,760,302</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35.81</w:t>
            </w:r>
          </w:p>
        </w:tc>
        <w:tc>
          <w:tcPr>
            <w:tcW w:w="0" w:type="dxa"/>
            <w:vAlign w:val="bottom"/>
          </w:tcPr>
          <w:p>
            <w:pPr>
              <w:spacing w:after="0"/>
              <w:rPr>
                <w:sz w:val="1"/>
                <w:szCs w:val="1"/>
                <w:color w:val="auto"/>
              </w:rPr>
            </w:pPr>
          </w:p>
        </w:tc>
      </w:tr>
      <w:tr>
        <w:trPr>
          <w:trHeight w:val="203"/>
        </w:trPr>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Oil Field</w:t>
            </w: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1,904,137</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43.93</w:t>
            </w:r>
          </w:p>
        </w:tc>
        <w:tc>
          <w:tcPr>
            <w:tcW w:w="80" w:type="dxa"/>
            <w:vAlign w:val="bottom"/>
          </w:tcPr>
          <w:p>
            <w:pPr>
              <w:spacing w:after="0"/>
              <w:rPr>
                <w:sz w:val="17"/>
                <w:szCs w:val="17"/>
                <w:color w:val="auto"/>
              </w:rPr>
            </w:pPr>
          </w:p>
        </w:tc>
        <w:tc>
          <w:tcPr>
            <w:tcW w:w="12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2,014,960</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42.25</w:t>
            </w:r>
          </w:p>
        </w:tc>
        <w:tc>
          <w:tcPr>
            <w:tcW w:w="80" w:type="dxa"/>
            <w:vAlign w:val="bottom"/>
          </w:tcPr>
          <w:p>
            <w:pPr>
              <w:spacing w:after="0"/>
              <w:rPr>
                <w:sz w:val="17"/>
                <w:szCs w:val="17"/>
                <w:color w:val="auto"/>
              </w:rPr>
            </w:pPr>
          </w:p>
        </w:tc>
        <w:tc>
          <w:tcPr>
            <w:tcW w:w="13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2,564,943</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51.08</w:t>
            </w:r>
          </w:p>
        </w:tc>
        <w:tc>
          <w:tcPr>
            <w:tcW w:w="100" w:type="dxa"/>
            <w:vAlign w:val="bottom"/>
          </w:tcPr>
          <w:p>
            <w:pPr>
              <w:spacing w:after="0"/>
              <w:rPr>
                <w:sz w:val="17"/>
                <w:szCs w:val="17"/>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2,621,638</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53.28</w:t>
            </w:r>
          </w:p>
        </w:tc>
        <w:tc>
          <w:tcPr>
            <w:tcW w:w="80" w:type="dxa"/>
            <w:vAlign w:val="bottom"/>
          </w:tcPr>
          <w:p>
            <w:pPr>
              <w:spacing w:after="0"/>
              <w:rPr>
                <w:sz w:val="17"/>
                <w:szCs w:val="17"/>
                <w:color w:val="auto"/>
              </w:rPr>
            </w:pPr>
          </w:p>
        </w:tc>
        <w:tc>
          <w:tcPr>
            <w:tcW w:w="12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2,613,095</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53.16</w:t>
            </w:r>
          </w:p>
        </w:tc>
        <w:tc>
          <w:tcPr>
            <w:tcW w:w="0" w:type="dxa"/>
            <w:vAlign w:val="bottom"/>
          </w:tcPr>
          <w:p>
            <w:pPr>
              <w:spacing w:after="0"/>
              <w:rPr>
                <w:sz w:val="1"/>
                <w:szCs w:val="1"/>
                <w:color w:val="auto"/>
              </w:rPr>
            </w:pPr>
          </w:p>
        </w:tc>
      </w:tr>
      <w:tr>
        <w:trPr>
          <w:trHeight w:val="158"/>
        </w:trPr>
        <w:tc>
          <w:tcPr>
            <w:tcW w:w="128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Public Authorities</w:t>
            </w:r>
          </w:p>
        </w:tc>
        <w:tc>
          <w:tcPr>
            <w:tcW w:w="12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608,916</w:t>
            </w:r>
          </w:p>
        </w:tc>
        <w:tc>
          <w:tcPr>
            <w:tcW w:w="6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14.05</w:t>
            </w:r>
          </w:p>
        </w:tc>
        <w:tc>
          <w:tcPr>
            <w:tcW w:w="80" w:type="dxa"/>
            <w:vAlign w:val="bottom"/>
          </w:tcPr>
          <w:p>
            <w:pPr>
              <w:spacing w:after="0"/>
              <w:rPr>
                <w:sz w:val="13"/>
                <w:szCs w:val="13"/>
                <w:color w:val="auto"/>
              </w:rPr>
            </w:pPr>
          </w:p>
        </w:tc>
        <w:tc>
          <w:tcPr>
            <w:tcW w:w="12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color w:val="auto"/>
              </w:rPr>
              <w:t>488,255</w:t>
            </w:r>
          </w:p>
        </w:tc>
        <w:tc>
          <w:tcPr>
            <w:tcW w:w="6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10.24</w:t>
            </w:r>
          </w:p>
        </w:tc>
        <w:tc>
          <w:tcPr>
            <w:tcW w:w="80" w:type="dxa"/>
            <w:vAlign w:val="bottom"/>
          </w:tcPr>
          <w:p>
            <w:pPr>
              <w:spacing w:after="0"/>
              <w:rPr>
                <w:sz w:val="13"/>
                <w:szCs w:val="13"/>
                <w:color w:val="auto"/>
              </w:rPr>
            </w:pPr>
          </w:p>
        </w:tc>
        <w:tc>
          <w:tcPr>
            <w:tcW w:w="13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517,132</w:t>
            </w: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10.30</w:t>
            </w:r>
          </w:p>
        </w:tc>
        <w:tc>
          <w:tcPr>
            <w:tcW w:w="100" w:type="dxa"/>
            <w:vAlign w:val="bottom"/>
          </w:tcPr>
          <w:p>
            <w:pPr>
              <w:spacing w:after="0"/>
              <w:rPr>
                <w:sz w:val="13"/>
                <w:szCs w:val="13"/>
                <w:color w:val="auto"/>
              </w:rPr>
            </w:pPr>
          </w:p>
        </w:tc>
        <w:tc>
          <w:tcPr>
            <w:tcW w:w="12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533,239</w:t>
            </w: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10.84</w:t>
            </w:r>
          </w:p>
        </w:tc>
        <w:tc>
          <w:tcPr>
            <w:tcW w:w="80" w:type="dxa"/>
            <w:vAlign w:val="bottom"/>
          </w:tcPr>
          <w:p>
            <w:pPr>
              <w:spacing w:after="0"/>
              <w:rPr>
                <w:sz w:val="13"/>
                <w:szCs w:val="13"/>
                <w:color w:val="auto"/>
              </w:rPr>
            </w:pPr>
          </w:p>
        </w:tc>
        <w:tc>
          <w:tcPr>
            <w:tcW w:w="12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491,308</w:t>
            </w: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12"/>
        </w:trPr>
        <w:tc>
          <w:tcPr>
            <w:tcW w:w="1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and Street lights</w:t>
            </w:r>
          </w:p>
        </w:tc>
        <w:tc>
          <w:tcPr>
            <w:tcW w:w="12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28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28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color w:val="auto"/>
              </w:rPr>
              <w:t>S/L 3</w:t>
            </w: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1,911,245</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8.06</w:t>
            </w:r>
          </w:p>
        </w:tc>
        <w:tc>
          <w:tcPr>
            <w:tcW w:w="80" w:type="dxa"/>
            <w:vAlign w:val="bottom"/>
          </w:tcPr>
          <w:p>
            <w:pPr>
              <w:spacing w:after="0"/>
              <w:rPr>
                <w:sz w:val="16"/>
                <w:szCs w:val="16"/>
                <w:color w:val="auto"/>
              </w:rPr>
            </w:pPr>
          </w:p>
        </w:tc>
        <w:tc>
          <w:tcPr>
            <w:tcW w:w="12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1,908,162</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7.51</w:t>
            </w:r>
          </w:p>
        </w:tc>
        <w:tc>
          <w:tcPr>
            <w:tcW w:w="80" w:type="dxa"/>
            <w:vAlign w:val="bottom"/>
          </w:tcPr>
          <w:p>
            <w:pPr>
              <w:spacing w:after="0"/>
              <w:rPr>
                <w:sz w:val="16"/>
                <w:szCs w:val="16"/>
                <w:color w:val="auto"/>
              </w:rPr>
            </w:pPr>
          </w:p>
        </w:tc>
        <w:tc>
          <w:tcPr>
            <w:tcW w:w="13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1,986,925</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7.71</w:t>
            </w:r>
          </w:p>
        </w:tc>
        <w:tc>
          <w:tcPr>
            <w:tcW w:w="100" w:type="dxa"/>
            <w:vAlign w:val="bottom"/>
          </w:tcPr>
          <w:p>
            <w:pPr>
              <w:spacing w:after="0"/>
              <w:rPr>
                <w:sz w:val="16"/>
                <w:szCs w:val="16"/>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1,759,575</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7.16</w:t>
            </w:r>
          </w:p>
        </w:tc>
        <w:tc>
          <w:tcPr>
            <w:tcW w:w="80" w:type="dxa"/>
            <w:vAlign w:val="bottom"/>
          </w:tcPr>
          <w:p>
            <w:pPr>
              <w:spacing w:after="0"/>
              <w:rPr>
                <w:sz w:val="16"/>
                <w:szCs w:val="16"/>
                <w:color w:val="auto"/>
              </w:rPr>
            </w:pPr>
          </w:p>
        </w:tc>
        <w:tc>
          <w:tcPr>
            <w:tcW w:w="12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1,863,227</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7.41</w:t>
            </w:r>
          </w:p>
        </w:tc>
        <w:tc>
          <w:tcPr>
            <w:tcW w:w="0" w:type="dxa"/>
            <w:vAlign w:val="bottom"/>
          </w:tcPr>
          <w:p>
            <w:pPr>
              <w:spacing w:after="0"/>
              <w:rPr>
                <w:sz w:val="1"/>
                <w:szCs w:val="1"/>
                <w:color w:val="auto"/>
              </w:rPr>
            </w:pPr>
          </w:p>
        </w:tc>
      </w:tr>
      <w:tr>
        <w:trPr>
          <w:trHeight w:val="203"/>
        </w:trPr>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Commercial</w:t>
            </w: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450,456</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23.57</w:t>
            </w:r>
          </w:p>
        </w:tc>
        <w:tc>
          <w:tcPr>
            <w:tcW w:w="80" w:type="dxa"/>
            <w:vAlign w:val="bottom"/>
          </w:tcPr>
          <w:p>
            <w:pPr>
              <w:spacing w:after="0"/>
              <w:rPr>
                <w:sz w:val="17"/>
                <w:szCs w:val="17"/>
                <w:color w:val="auto"/>
              </w:rPr>
            </w:pPr>
          </w:p>
        </w:tc>
        <w:tc>
          <w:tcPr>
            <w:tcW w:w="12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443,161</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23.22</w:t>
            </w:r>
          </w:p>
        </w:tc>
        <w:tc>
          <w:tcPr>
            <w:tcW w:w="80" w:type="dxa"/>
            <w:vAlign w:val="bottom"/>
          </w:tcPr>
          <w:p>
            <w:pPr>
              <w:spacing w:after="0"/>
              <w:rPr>
                <w:sz w:val="17"/>
                <w:szCs w:val="17"/>
                <w:color w:val="auto"/>
              </w:rPr>
            </w:pPr>
          </w:p>
        </w:tc>
        <w:tc>
          <w:tcPr>
            <w:tcW w:w="13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434,776</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21.88</w:t>
            </w:r>
          </w:p>
        </w:tc>
        <w:tc>
          <w:tcPr>
            <w:tcW w:w="100" w:type="dxa"/>
            <w:vAlign w:val="bottom"/>
          </w:tcPr>
          <w:p>
            <w:pPr>
              <w:spacing w:after="0"/>
              <w:rPr>
                <w:sz w:val="17"/>
                <w:szCs w:val="17"/>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312,567</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17.76</w:t>
            </w:r>
          </w:p>
        </w:tc>
        <w:tc>
          <w:tcPr>
            <w:tcW w:w="80" w:type="dxa"/>
            <w:vAlign w:val="bottom"/>
          </w:tcPr>
          <w:p>
            <w:pPr>
              <w:spacing w:after="0"/>
              <w:rPr>
                <w:sz w:val="17"/>
                <w:szCs w:val="17"/>
                <w:color w:val="auto"/>
              </w:rPr>
            </w:pPr>
          </w:p>
        </w:tc>
        <w:tc>
          <w:tcPr>
            <w:tcW w:w="12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335,316</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18.00</w:t>
            </w:r>
          </w:p>
        </w:tc>
        <w:tc>
          <w:tcPr>
            <w:tcW w:w="0" w:type="dxa"/>
            <w:vAlign w:val="bottom"/>
          </w:tcPr>
          <w:p>
            <w:pPr>
              <w:spacing w:after="0"/>
              <w:rPr>
                <w:sz w:val="1"/>
                <w:szCs w:val="1"/>
                <w:color w:val="auto"/>
              </w:rPr>
            </w:pPr>
          </w:p>
        </w:tc>
      </w:tr>
      <w:tr>
        <w:trPr>
          <w:trHeight w:val="203"/>
        </w:trPr>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Industrial</w:t>
            </w: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441,065</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23.08</w:t>
            </w:r>
          </w:p>
        </w:tc>
        <w:tc>
          <w:tcPr>
            <w:tcW w:w="80" w:type="dxa"/>
            <w:vAlign w:val="bottom"/>
          </w:tcPr>
          <w:p>
            <w:pPr>
              <w:spacing w:after="0"/>
              <w:rPr>
                <w:sz w:val="17"/>
                <w:szCs w:val="17"/>
                <w:color w:val="auto"/>
              </w:rPr>
            </w:pPr>
          </w:p>
        </w:tc>
        <w:tc>
          <w:tcPr>
            <w:tcW w:w="12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433,335</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22.71</w:t>
            </w:r>
          </w:p>
        </w:tc>
        <w:tc>
          <w:tcPr>
            <w:tcW w:w="80" w:type="dxa"/>
            <w:vAlign w:val="bottom"/>
          </w:tcPr>
          <w:p>
            <w:pPr>
              <w:spacing w:after="0"/>
              <w:rPr>
                <w:sz w:val="17"/>
                <w:szCs w:val="17"/>
                <w:color w:val="auto"/>
              </w:rPr>
            </w:pPr>
          </w:p>
        </w:tc>
        <w:tc>
          <w:tcPr>
            <w:tcW w:w="13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437,330</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22.01</w:t>
            </w:r>
          </w:p>
        </w:tc>
        <w:tc>
          <w:tcPr>
            <w:tcW w:w="100" w:type="dxa"/>
            <w:vAlign w:val="bottom"/>
          </w:tcPr>
          <w:p>
            <w:pPr>
              <w:spacing w:after="0"/>
              <w:rPr>
                <w:sz w:val="17"/>
                <w:szCs w:val="17"/>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417,591</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23.73</w:t>
            </w:r>
          </w:p>
        </w:tc>
        <w:tc>
          <w:tcPr>
            <w:tcW w:w="80" w:type="dxa"/>
            <w:vAlign w:val="bottom"/>
          </w:tcPr>
          <w:p>
            <w:pPr>
              <w:spacing w:after="0"/>
              <w:rPr>
                <w:sz w:val="17"/>
                <w:szCs w:val="17"/>
                <w:color w:val="auto"/>
              </w:rPr>
            </w:pPr>
          </w:p>
        </w:tc>
        <w:tc>
          <w:tcPr>
            <w:tcW w:w="12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426,243</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22.88</w:t>
            </w:r>
          </w:p>
        </w:tc>
        <w:tc>
          <w:tcPr>
            <w:tcW w:w="0" w:type="dxa"/>
            <w:vAlign w:val="bottom"/>
          </w:tcPr>
          <w:p>
            <w:pPr>
              <w:spacing w:after="0"/>
              <w:rPr>
                <w:sz w:val="1"/>
                <w:szCs w:val="1"/>
                <w:color w:val="auto"/>
              </w:rPr>
            </w:pPr>
          </w:p>
        </w:tc>
      </w:tr>
      <w:tr>
        <w:trPr>
          <w:trHeight w:val="203"/>
        </w:trPr>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Oil Field</w:t>
            </w: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736,335</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38.53</w:t>
            </w:r>
          </w:p>
        </w:tc>
        <w:tc>
          <w:tcPr>
            <w:tcW w:w="80" w:type="dxa"/>
            <w:vAlign w:val="bottom"/>
          </w:tcPr>
          <w:p>
            <w:pPr>
              <w:spacing w:after="0"/>
              <w:rPr>
                <w:sz w:val="17"/>
                <w:szCs w:val="17"/>
                <w:color w:val="auto"/>
              </w:rPr>
            </w:pPr>
          </w:p>
        </w:tc>
        <w:tc>
          <w:tcPr>
            <w:tcW w:w="12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761,652</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39.92</w:t>
            </w:r>
          </w:p>
        </w:tc>
        <w:tc>
          <w:tcPr>
            <w:tcW w:w="80" w:type="dxa"/>
            <w:vAlign w:val="bottom"/>
          </w:tcPr>
          <w:p>
            <w:pPr>
              <w:spacing w:after="0"/>
              <w:rPr>
                <w:sz w:val="17"/>
                <w:szCs w:val="17"/>
                <w:color w:val="auto"/>
              </w:rPr>
            </w:pPr>
          </w:p>
        </w:tc>
        <w:tc>
          <w:tcPr>
            <w:tcW w:w="13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844,784</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42.52</w:t>
            </w:r>
          </w:p>
        </w:tc>
        <w:tc>
          <w:tcPr>
            <w:tcW w:w="100" w:type="dxa"/>
            <w:vAlign w:val="bottom"/>
          </w:tcPr>
          <w:p>
            <w:pPr>
              <w:spacing w:after="0"/>
              <w:rPr>
                <w:sz w:val="17"/>
                <w:szCs w:val="17"/>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782,412</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44.47</w:t>
            </w:r>
          </w:p>
        </w:tc>
        <w:tc>
          <w:tcPr>
            <w:tcW w:w="80" w:type="dxa"/>
            <w:vAlign w:val="bottom"/>
          </w:tcPr>
          <w:p>
            <w:pPr>
              <w:spacing w:after="0"/>
              <w:rPr>
                <w:sz w:val="17"/>
                <w:szCs w:val="17"/>
                <w:color w:val="auto"/>
              </w:rPr>
            </w:pPr>
          </w:p>
        </w:tc>
        <w:tc>
          <w:tcPr>
            <w:tcW w:w="12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819,374</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43.98</w:t>
            </w:r>
          </w:p>
        </w:tc>
        <w:tc>
          <w:tcPr>
            <w:tcW w:w="0" w:type="dxa"/>
            <w:vAlign w:val="bottom"/>
          </w:tcPr>
          <w:p>
            <w:pPr>
              <w:spacing w:after="0"/>
              <w:rPr>
                <w:sz w:val="1"/>
                <w:szCs w:val="1"/>
                <w:color w:val="auto"/>
              </w:rPr>
            </w:pPr>
          </w:p>
        </w:tc>
      </w:tr>
      <w:tr>
        <w:trPr>
          <w:trHeight w:val="158"/>
        </w:trPr>
        <w:tc>
          <w:tcPr>
            <w:tcW w:w="128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Public Authorities</w:t>
            </w:r>
          </w:p>
        </w:tc>
        <w:tc>
          <w:tcPr>
            <w:tcW w:w="12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283,389</w:t>
            </w:r>
          </w:p>
        </w:tc>
        <w:tc>
          <w:tcPr>
            <w:tcW w:w="6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14.83</w:t>
            </w:r>
          </w:p>
        </w:tc>
        <w:tc>
          <w:tcPr>
            <w:tcW w:w="80" w:type="dxa"/>
            <w:vAlign w:val="bottom"/>
          </w:tcPr>
          <w:p>
            <w:pPr>
              <w:spacing w:after="0"/>
              <w:rPr>
                <w:sz w:val="13"/>
                <w:szCs w:val="13"/>
                <w:color w:val="auto"/>
              </w:rPr>
            </w:pPr>
          </w:p>
        </w:tc>
        <w:tc>
          <w:tcPr>
            <w:tcW w:w="12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color w:val="auto"/>
              </w:rPr>
              <w:t>270,013</w:t>
            </w:r>
          </w:p>
        </w:tc>
        <w:tc>
          <w:tcPr>
            <w:tcW w:w="6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14.15</w:t>
            </w:r>
          </w:p>
        </w:tc>
        <w:tc>
          <w:tcPr>
            <w:tcW w:w="80" w:type="dxa"/>
            <w:vAlign w:val="bottom"/>
          </w:tcPr>
          <w:p>
            <w:pPr>
              <w:spacing w:after="0"/>
              <w:rPr>
                <w:sz w:val="13"/>
                <w:szCs w:val="13"/>
                <w:color w:val="auto"/>
              </w:rPr>
            </w:pPr>
          </w:p>
        </w:tc>
        <w:tc>
          <w:tcPr>
            <w:tcW w:w="13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270,035</w:t>
            </w: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13.59</w:t>
            </w:r>
          </w:p>
        </w:tc>
        <w:tc>
          <w:tcPr>
            <w:tcW w:w="100" w:type="dxa"/>
            <w:vAlign w:val="bottom"/>
          </w:tcPr>
          <w:p>
            <w:pPr>
              <w:spacing w:after="0"/>
              <w:rPr>
                <w:sz w:val="13"/>
                <w:szCs w:val="13"/>
                <w:color w:val="auto"/>
              </w:rPr>
            </w:pPr>
          </w:p>
        </w:tc>
        <w:tc>
          <w:tcPr>
            <w:tcW w:w="12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247,005</w:t>
            </w: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14.04</w:t>
            </w:r>
          </w:p>
        </w:tc>
        <w:tc>
          <w:tcPr>
            <w:tcW w:w="80" w:type="dxa"/>
            <w:vAlign w:val="bottom"/>
          </w:tcPr>
          <w:p>
            <w:pPr>
              <w:spacing w:after="0"/>
              <w:rPr>
                <w:sz w:val="13"/>
                <w:szCs w:val="13"/>
                <w:color w:val="auto"/>
              </w:rPr>
            </w:pPr>
          </w:p>
        </w:tc>
        <w:tc>
          <w:tcPr>
            <w:tcW w:w="12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282,295</w:t>
            </w: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15.15</w:t>
            </w:r>
          </w:p>
        </w:tc>
        <w:tc>
          <w:tcPr>
            <w:tcW w:w="0" w:type="dxa"/>
            <w:vAlign w:val="bottom"/>
          </w:tcPr>
          <w:p>
            <w:pPr>
              <w:spacing w:after="0"/>
              <w:rPr>
                <w:sz w:val="1"/>
                <w:szCs w:val="1"/>
                <w:color w:val="auto"/>
              </w:rPr>
            </w:pPr>
          </w:p>
        </w:tc>
      </w:tr>
      <w:tr>
        <w:trPr>
          <w:trHeight w:val="112"/>
        </w:trPr>
        <w:tc>
          <w:tcPr>
            <w:tcW w:w="1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and Street lights</w:t>
            </w:r>
          </w:p>
        </w:tc>
        <w:tc>
          <w:tcPr>
            <w:tcW w:w="12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28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28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color w:val="auto"/>
              </w:rPr>
              <w:t>S/L 4</w:t>
            </w: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563,593</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tcPr>
          <w:p>
            <w:pPr>
              <w:spacing w:after="0"/>
              <w:rPr>
                <w:sz w:val="16"/>
                <w:szCs w:val="16"/>
                <w:color w:val="auto"/>
              </w:rPr>
            </w:pPr>
          </w:p>
        </w:tc>
        <w:tc>
          <w:tcPr>
            <w:tcW w:w="12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609,295</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tcPr>
          <w:p>
            <w:pPr>
              <w:spacing w:after="0"/>
              <w:rPr>
                <w:sz w:val="16"/>
                <w:szCs w:val="16"/>
                <w:color w:val="auto"/>
              </w:rPr>
            </w:pPr>
          </w:p>
        </w:tc>
        <w:tc>
          <w:tcPr>
            <w:tcW w:w="13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582,918</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6"/>
                <w:szCs w:val="16"/>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562,723</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Pr>
          <w:p>
            <w:pPr>
              <w:spacing w:after="0"/>
              <w:rPr>
                <w:sz w:val="16"/>
                <w:szCs w:val="16"/>
                <w:color w:val="auto"/>
              </w:rPr>
            </w:pPr>
          </w:p>
        </w:tc>
        <w:tc>
          <w:tcPr>
            <w:tcW w:w="12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498,670</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203"/>
        </w:trPr>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Commercial</w:t>
            </w: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132,832</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23.57</w:t>
            </w:r>
          </w:p>
        </w:tc>
        <w:tc>
          <w:tcPr>
            <w:tcW w:w="80" w:type="dxa"/>
            <w:vAlign w:val="bottom"/>
          </w:tcPr>
          <w:p>
            <w:pPr>
              <w:spacing w:after="0"/>
              <w:rPr>
                <w:sz w:val="17"/>
                <w:szCs w:val="17"/>
                <w:color w:val="auto"/>
              </w:rPr>
            </w:pPr>
          </w:p>
        </w:tc>
        <w:tc>
          <w:tcPr>
            <w:tcW w:w="12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173,774</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28.52</w:t>
            </w:r>
          </w:p>
        </w:tc>
        <w:tc>
          <w:tcPr>
            <w:tcW w:w="80" w:type="dxa"/>
            <w:vAlign w:val="bottom"/>
          </w:tcPr>
          <w:p>
            <w:pPr>
              <w:spacing w:after="0"/>
              <w:rPr>
                <w:sz w:val="17"/>
                <w:szCs w:val="17"/>
                <w:color w:val="auto"/>
              </w:rPr>
            </w:pPr>
          </w:p>
        </w:tc>
        <w:tc>
          <w:tcPr>
            <w:tcW w:w="13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43,588</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7.48</w:t>
            </w:r>
          </w:p>
        </w:tc>
        <w:tc>
          <w:tcPr>
            <w:tcW w:w="100" w:type="dxa"/>
            <w:vAlign w:val="bottom"/>
          </w:tcPr>
          <w:p>
            <w:pPr>
              <w:spacing w:after="0"/>
              <w:rPr>
                <w:sz w:val="17"/>
                <w:szCs w:val="17"/>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41,528</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7.38</w:t>
            </w:r>
          </w:p>
        </w:tc>
        <w:tc>
          <w:tcPr>
            <w:tcW w:w="80" w:type="dxa"/>
            <w:vAlign w:val="bottom"/>
          </w:tcPr>
          <w:p>
            <w:pPr>
              <w:spacing w:after="0"/>
              <w:rPr>
                <w:sz w:val="17"/>
                <w:szCs w:val="17"/>
                <w:color w:val="auto"/>
              </w:rPr>
            </w:pPr>
          </w:p>
        </w:tc>
        <w:tc>
          <w:tcPr>
            <w:tcW w:w="12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45,087</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9.04</w:t>
            </w:r>
          </w:p>
        </w:tc>
        <w:tc>
          <w:tcPr>
            <w:tcW w:w="0" w:type="dxa"/>
            <w:vAlign w:val="bottom"/>
          </w:tcPr>
          <w:p>
            <w:pPr>
              <w:spacing w:after="0"/>
              <w:rPr>
                <w:sz w:val="1"/>
                <w:szCs w:val="1"/>
                <w:color w:val="auto"/>
              </w:rPr>
            </w:pPr>
          </w:p>
        </w:tc>
      </w:tr>
      <w:tr>
        <w:trPr>
          <w:trHeight w:val="203"/>
        </w:trPr>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Industrial</w:t>
            </w: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191,501</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33.98</w:t>
            </w:r>
          </w:p>
        </w:tc>
        <w:tc>
          <w:tcPr>
            <w:tcW w:w="80" w:type="dxa"/>
            <w:vAlign w:val="bottom"/>
          </w:tcPr>
          <w:p>
            <w:pPr>
              <w:spacing w:after="0"/>
              <w:rPr>
                <w:sz w:val="17"/>
                <w:szCs w:val="17"/>
                <w:color w:val="auto"/>
              </w:rPr>
            </w:pPr>
          </w:p>
        </w:tc>
        <w:tc>
          <w:tcPr>
            <w:tcW w:w="12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164,265</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26.96</w:t>
            </w:r>
          </w:p>
        </w:tc>
        <w:tc>
          <w:tcPr>
            <w:tcW w:w="80" w:type="dxa"/>
            <w:vAlign w:val="bottom"/>
          </w:tcPr>
          <w:p>
            <w:pPr>
              <w:spacing w:after="0"/>
              <w:rPr>
                <w:sz w:val="17"/>
                <w:szCs w:val="17"/>
                <w:color w:val="auto"/>
              </w:rPr>
            </w:pPr>
          </w:p>
        </w:tc>
        <w:tc>
          <w:tcPr>
            <w:tcW w:w="13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179,339</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30.77</w:t>
            </w:r>
          </w:p>
        </w:tc>
        <w:tc>
          <w:tcPr>
            <w:tcW w:w="100" w:type="dxa"/>
            <w:vAlign w:val="bottom"/>
          </w:tcPr>
          <w:p>
            <w:pPr>
              <w:spacing w:after="0"/>
              <w:rPr>
                <w:sz w:val="17"/>
                <w:szCs w:val="17"/>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185,481</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32.96</w:t>
            </w:r>
          </w:p>
        </w:tc>
        <w:tc>
          <w:tcPr>
            <w:tcW w:w="80" w:type="dxa"/>
            <w:vAlign w:val="bottom"/>
          </w:tcPr>
          <w:p>
            <w:pPr>
              <w:spacing w:after="0"/>
              <w:rPr>
                <w:sz w:val="17"/>
                <w:szCs w:val="17"/>
                <w:color w:val="auto"/>
              </w:rPr>
            </w:pPr>
          </w:p>
        </w:tc>
        <w:tc>
          <w:tcPr>
            <w:tcW w:w="12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121,126</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24.29</w:t>
            </w:r>
          </w:p>
        </w:tc>
        <w:tc>
          <w:tcPr>
            <w:tcW w:w="0" w:type="dxa"/>
            <w:vAlign w:val="bottom"/>
          </w:tcPr>
          <w:p>
            <w:pPr>
              <w:spacing w:after="0"/>
              <w:rPr>
                <w:sz w:val="1"/>
                <w:szCs w:val="1"/>
                <w:color w:val="auto"/>
              </w:rPr>
            </w:pPr>
          </w:p>
        </w:tc>
      </w:tr>
      <w:tr>
        <w:trPr>
          <w:trHeight w:val="203"/>
        </w:trPr>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Oil Field</w:t>
            </w: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70,663</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12.54</w:t>
            </w:r>
          </w:p>
        </w:tc>
        <w:tc>
          <w:tcPr>
            <w:tcW w:w="80" w:type="dxa"/>
            <w:vAlign w:val="bottom"/>
          </w:tcPr>
          <w:p>
            <w:pPr>
              <w:spacing w:after="0"/>
              <w:rPr>
                <w:sz w:val="17"/>
                <w:szCs w:val="17"/>
                <w:color w:val="auto"/>
              </w:rPr>
            </w:pPr>
          </w:p>
        </w:tc>
        <w:tc>
          <w:tcPr>
            <w:tcW w:w="12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95,401</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15.66</w:t>
            </w:r>
          </w:p>
        </w:tc>
        <w:tc>
          <w:tcPr>
            <w:tcW w:w="80" w:type="dxa"/>
            <w:vAlign w:val="bottom"/>
          </w:tcPr>
          <w:p>
            <w:pPr>
              <w:spacing w:after="0"/>
              <w:rPr>
                <w:sz w:val="17"/>
                <w:szCs w:val="17"/>
                <w:color w:val="auto"/>
              </w:rPr>
            </w:pPr>
          </w:p>
        </w:tc>
        <w:tc>
          <w:tcPr>
            <w:tcW w:w="13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191,907</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32.92</w:t>
            </w:r>
          </w:p>
        </w:tc>
        <w:tc>
          <w:tcPr>
            <w:tcW w:w="100" w:type="dxa"/>
            <w:vAlign w:val="bottom"/>
          </w:tcPr>
          <w:p>
            <w:pPr>
              <w:spacing w:after="0"/>
              <w:rPr>
                <w:sz w:val="17"/>
                <w:szCs w:val="17"/>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180,374</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32.05</w:t>
            </w:r>
          </w:p>
        </w:tc>
        <w:tc>
          <w:tcPr>
            <w:tcW w:w="80" w:type="dxa"/>
            <w:vAlign w:val="bottom"/>
          </w:tcPr>
          <w:p>
            <w:pPr>
              <w:spacing w:after="0"/>
              <w:rPr>
                <w:sz w:val="17"/>
                <w:szCs w:val="17"/>
                <w:color w:val="auto"/>
              </w:rPr>
            </w:pPr>
          </w:p>
        </w:tc>
        <w:tc>
          <w:tcPr>
            <w:tcW w:w="12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173,126</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34.72</w:t>
            </w:r>
          </w:p>
        </w:tc>
        <w:tc>
          <w:tcPr>
            <w:tcW w:w="0" w:type="dxa"/>
            <w:vAlign w:val="bottom"/>
          </w:tcPr>
          <w:p>
            <w:pPr>
              <w:spacing w:after="0"/>
              <w:rPr>
                <w:sz w:val="1"/>
                <w:szCs w:val="1"/>
                <w:color w:val="auto"/>
              </w:rPr>
            </w:pPr>
          </w:p>
        </w:tc>
      </w:tr>
      <w:tr>
        <w:trPr>
          <w:trHeight w:val="158"/>
        </w:trPr>
        <w:tc>
          <w:tcPr>
            <w:tcW w:w="128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Public Authorities</w:t>
            </w:r>
          </w:p>
        </w:tc>
        <w:tc>
          <w:tcPr>
            <w:tcW w:w="12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168,597</w:t>
            </w:r>
          </w:p>
        </w:tc>
        <w:tc>
          <w:tcPr>
            <w:tcW w:w="6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29.91</w:t>
            </w:r>
          </w:p>
        </w:tc>
        <w:tc>
          <w:tcPr>
            <w:tcW w:w="80" w:type="dxa"/>
            <w:vAlign w:val="bottom"/>
          </w:tcPr>
          <w:p>
            <w:pPr>
              <w:spacing w:after="0"/>
              <w:rPr>
                <w:sz w:val="13"/>
                <w:szCs w:val="13"/>
                <w:color w:val="auto"/>
              </w:rPr>
            </w:pPr>
          </w:p>
        </w:tc>
        <w:tc>
          <w:tcPr>
            <w:tcW w:w="12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color w:val="auto"/>
              </w:rPr>
              <w:t>175,856</w:t>
            </w:r>
          </w:p>
        </w:tc>
        <w:tc>
          <w:tcPr>
            <w:tcW w:w="6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28.86</w:t>
            </w:r>
          </w:p>
        </w:tc>
        <w:tc>
          <w:tcPr>
            <w:tcW w:w="80" w:type="dxa"/>
            <w:vAlign w:val="bottom"/>
          </w:tcPr>
          <w:p>
            <w:pPr>
              <w:spacing w:after="0"/>
              <w:rPr>
                <w:sz w:val="13"/>
                <w:szCs w:val="13"/>
                <w:color w:val="auto"/>
              </w:rPr>
            </w:pPr>
          </w:p>
        </w:tc>
        <w:tc>
          <w:tcPr>
            <w:tcW w:w="13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168,083</w:t>
            </w: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28.83</w:t>
            </w:r>
          </w:p>
        </w:tc>
        <w:tc>
          <w:tcPr>
            <w:tcW w:w="100" w:type="dxa"/>
            <w:vAlign w:val="bottom"/>
          </w:tcPr>
          <w:p>
            <w:pPr>
              <w:spacing w:after="0"/>
              <w:rPr>
                <w:sz w:val="13"/>
                <w:szCs w:val="13"/>
                <w:color w:val="auto"/>
              </w:rPr>
            </w:pPr>
          </w:p>
        </w:tc>
        <w:tc>
          <w:tcPr>
            <w:tcW w:w="12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155,341</w:t>
            </w: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27.61</w:t>
            </w:r>
          </w:p>
        </w:tc>
        <w:tc>
          <w:tcPr>
            <w:tcW w:w="80" w:type="dxa"/>
            <w:vAlign w:val="bottom"/>
          </w:tcPr>
          <w:p>
            <w:pPr>
              <w:spacing w:after="0"/>
              <w:rPr>
                <w:sz w:val="13"/>
                <w:szCs w:val="13"/>
                <w:color w:val="auto"/>
              </w:rPr>
            </w:pPr>
          </w:p>
        </w:tc>
        <w:tc>
          <w:tcPr>
            <w:tcW w:w="12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159,331</w:t>
            </w: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31.95</w:t>
            </w:r>
          </w:p>
        </w:tc>
        <w:tc>
          <w:tcPr>
            <w:tcW w:w="0" w:type="dxa"/>
            <w:vAlign w:val="bottom"/>
          </w:tcPr>
          <w:p>
            <w:pPr>
              <w:spacing w:after="0"/>
              <w:rPr>
                <w:sz w:val="1"/>
                <w:szCs w:val="1"/>
                <w:color w:val="auto"/>
              </w:rPr>
            </w:pPr>
          </w:p>
        </w:tc>
      </w:tr>
      <w:tr>
        <w:trPr>
          <w:trHeight w:val="112"/>
        </w:trPr>
        <w:tc>
          <w:tcPr>
            <w:tcW w:w="1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and Street lights</w:t>
            </w:r>
          </w:p>
        </w:tc>
        <w:tc>
          <w:tcPr>
            <w:tcW w:w="12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28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28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color w:val="auto"/>
              </w:rPr>
              <w:t>S/L 5</w:t>
            </w: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16,300,646</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68.73</w:t>
            </w:r>
          </w:p>
        </w:tc>
        <w:tc>
          <w:tcPr>
            <w:tcW w:w="80" w:type="dxa"/>
            <w:vAlign w:val="bottom"/>
          </w:tcPr>
          <w:p>
            <w:pPr>
              <w:spacing w:after="0"/>
              <w:rPr>
                <w:sz w:val="16"/>
                <w:szCs w:val="16"/>
                <w:color w:val="auto"/>
              </w:rPr>
            </w:pPr>
          </w:p>
        </w:tc>
        <w:tc>
          <w:tcPr>
            <w:tcW w:w="12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17,303,006</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68.10</w:t>
            </w:r>
          </w:p>
        </w:tc>
        <w:tc>
          <w:tcPr>
            <w:tcW w:w="80" w:type="dxa"/>
            <w:vAlign w:val="bottom"/>
          </w:tcPr>
          <w:p>
            <w:pPr>
              <w:spacing w:after="0"/>
              <w:rPr>
                <w:sz w:val="16"/>
                <w:szCs w:val="16"/>
                <w:color w:val="auto"/>
              </w:rPr>
            </w:pPr>
          </w:p>
        </w:tc>
        <w:tc>
          <w:tcPr>
            <w:tcW w:w="13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17,307,323</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67.19</w:t>
            </w:r>
          </w:p>
        </w:tc>
        <w:tc>
          <w:tcPr>
            <w:tcW w:w="100" w:type="dxa"/>
            <w:vAlign w:val="bottom"/>
          </w:tcPr>
          <w:p>
            <w:pPr>
              <w:spacing w:after="0"/>
              <w:rPr>
                <w:sz w:val="16"/>
                <w:szCs w:val="16"/>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16,515,690</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67.24</w:t>
            </w:r>
          </w:p>
        </w:tc>
        <w:tc>
          <w:tcPr>
            <w:tcW w:w="80" w:type="dxa"/>
            <w:vAlign w:val="bottom"/>
          </w:tcPr>
          <w:p>
            <w:pPr>
              <w:spacing w:after="0"/>
              <w:rPr>
                <w:sz w:val="16"/>
                <w:szCs w:val="16"/>
                <w:color w:val="auto"/>
              </w:rPr>
            </w:pPr>
          </w:p>
        </w:tc>
        <w:tc>
          <w:tcPr>
            <w:tcW w:w="12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17,081,059</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67.89</w:t>
            </w:r>
          </w:p>
        </w:tc>
        <w:tc>
          <w:tcPr>
            <w:tcW w:w="0" w:type="dxa"/>
            <w:vAlign w:val="bottom"/>
          </w:tcPr>
          <w:p>
            <w:pPr>
              <w:spacing w:after="0"/>
              <w:rPr>
                <w:sz w:val="1"/>
                <w:szCs w:val="1"/>
                <w:color w:val="auto"/>
              </w:rPr>
            </w:pPr>
          </w:p>
        </w:tc>
      </w:tr>
      <w:tr>
        <w:trPr>
          <w:trHeight w:val="203"/>
        </w:trPr>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Residential</w:t>
            </w: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8,162,274</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50.07</w:t>
            </w:r>
          </w:p>
        </w:tc>
        <w:tc>
          <w:tcPr>
            <w:tcW w:w="80" w:type="dxa"/>
            <w:vAlign w:val="bottom"/>
          </w:tcPr>
          <w:p>
            <w:pPr>
              <w:spacing w:after="0"/>
              <w:rPr>
                <w:sz w:val="17"/>
                <w:szCs w:val="17"/>
                <w:color w:val="auto"/>
              </w:rPr>
            </w:pPr>
          </w:p>
        </w:tc>
        <w:tc>
          <w:tcPr>
            <w:tcW w:w="12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8,960,549</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51.79</w:t>
            </w:r>
          </w:p>
        </w:tc>
        <w:tc>
          <w:tcPr>
            <w:tcW w:w="80" w:type="dxa"/>
            <w:vAlign w:val="bottom"/>
          </w:tcPr>
          <w:p>
            <w:pPr>
              <w:spacing w:after="0"/>
              <w:rPr>
                <w:sz w:val="17"/>
                <w:szCs w:val="17"/>
                <w:color w:val="auto"/>
              </w:rPr>
            </w:pPr>
          </w:p>
        </w:tc>
        <w:tc>
          <w:tcPr>
            <w:tcW w:w="13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8,962,632</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51.79</w:t>
            </w:r>
          </w:p>
        </w:tc>
        <w:tc>
          <w:tcPr>
            <w:tcW w:w="100" w:type="dxa"/>
            <w:vAlign w:val="bottom"/>
          </w:tcPr>
          <w:p>
            <w:pPr>
              <w:spacing w:after="0"/>
              <w:rPr>
                <w:sz w:val="17"/>
                <w:szCs w:val="17"/>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8,694,845</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52.65</w:t>
            </w:r>
          </w:p>
        </w:tc>
        <w:tc>
          <w:tcPr>
            <w:tcW w:w="80" w:type="dxa"/>
            <w:vAlign w:val="bottom"/>
          </w:tcPr>
          <w:p>
            <w:pPr>
              <w:spacing w:after="0"/>
              <w:rPr>
                <w:sz w:val="17"/>
                <w:szCs w:val="17"/>
                <w:color w:val="auto"/>
              </w:rPr>
            </w:pPr>
          </w:p>
        </w:tc>
        <w:tc>
          <w:tcPr>
            <w:tcW w:w="12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8,908,131</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52.15</w:t>
            </w:r>
          </w:p>
        </w:tc>
        <w:tc>
          <w:tcPr>
            <w:tcW w:w="0" w:type="dxa"/>
            <w:vAlign w:val="bottom"/>
          </w:tcPr>
          <w:p>
            <w:pPr>
              <w:spacing w:after="0"/>
              <w:rPr>
                <w:sz w:val="1"/>
                <w:szCs w:val="1"/>
                <w:color w:val="auto"/>
              </w:rPr>
            </w:pPr>
          </w:p>
        </w:tc>
      </w:tr>
      <w:tr>
        <w:trPr>
          <w:trHeight w:val="202"/>
        </w:trPr>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Commercial</w:t>
            </w: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5,558,916</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34.10</w:t>
            </w:r>
          </w:p>
        </w:tc>
        <w:tc>
          <w:tcPr>
            <w:tcW w:w="80" w:type="dxa"/>
            <w:vAlign w:val="bottom"/>
          </w:tcPr>
          <w:p>
            <w:pPr>
              <w:spacing w:after="0"/>
              <w:rPr>
                <w:sz w:val="17"/>
                <w:szCs w:val="17"/>
                <w:color w:val="auto"/>
              </w:rPr>
            </w:pPr>
          </w:p>
        </w:tc>
        <w:tc>
          <w:tcPr>
            <w:tcW w:w="12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5,746,765</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33.21</w:t>
            </w:r>
          </w:p>
        </w:tc>
        <w:tc>
          <w:tcPr>
            <w:tcW w:w="80" w:type="dxa"/>
            <w:vAlign w:val="bottom"/>
          </w:tcPr>
          <w:p>
            <w:pPr>
              <w:spacing w:after="0"/>
              <w:rPr>
                <w:sz w:val="17"/>
                <w:szCs w:val="17"/>
                <w:color w:val="auto"/>
              </w:rPr>
            </w:pPr>
          </w:p>
        </w:tc>
        <w:tc>
          <w:tcPr>
            <w:tcW w:w="13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5,612,743</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32.43</w:t>
            </w:r>
          </w:p>
        </w:tc>
        <w:tc>
          <w:tcPr>
            <w:tcW w:w="100" w:type="dxa"/>
            <w:vAlign w:val="bottom"/>
          </w:tcPr>
          <w:p>
            <w:pPr>
              <w:spacing w:after="0"/>
              <w:rPr>
                <w:sz w:val="17"/>
                <w:szCs w:val="17"/>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5,263,895</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31.87</w:t>
            </w:r>
          </w:p>
        </w:tc>
        <w:tc>
          <w:tcPr>
            <w:tcW w:w="80" w:type="dxa"/>
            <w:vAlign w:val="bottom"/>
          </w:tcPr>
          <w:p>
            <w:pPr>
              <w:spacing w:after="0"/>
              <w:rPr>
                <w:sz w:val="17"/>
                <w:szCs w:val="17"/>
                <w:color w:val="auto"/>
              </w:rPr>
            </w:pPr>
          </w:p>
        </w:tc>
        <w:tc>
          <w:tcPr>
            <w:tcW w:w="12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5,628,678</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32.95</w:t>
            </w:r>
          </w:p>
        </w:tc>
        <w:tc>
          <w:tcPr>
            <w:tcW w:w="0" w:type="dxa"/>
            <w:vAlign w:val="bottom"/>
          </w:tcPr>
          <w:p>
            <w:pPr>
              <w:spacing w:after="0"/>
              <w:rPr>
                <w:sz w:val="1"/>
                <w:szCs w:val="1"/>
                <w:color w:val="auto"/>
              </w:rPr>
            </w:pPr>
          </w:p>
        </w:tc>
      </w:tr>
      <w:tr>
        <w:trPr>
          <w:trHeight w:val="203"/>
        </w:trPr>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Industrial</w:t>
            </w: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718,725</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4.41</w:t>
            </w:r>
          </w:p>
        </w:tc>
        <w:tc>
          <w:tcPr>
            <w:tcW w:w="80" w:type="dxa"/>
            <w:vAlign w:val="bottom"/>
          </w:tcPr>
          <w:p>
            <w:pPr>
              <w:spacing w:after="0"/>
              <w:rPr>
                <w:sz w:val="17"/>
                <w:szCs w:val="17"/>
                <w:color w:val="auto"/>
              </w:rPr>
            </w:pPr>
          </w:p>
        </w:tc>
        <w:tc>
          <w:tcPr>
            <w:tcW w:w="12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721,245</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4.17</w:t>
            </w:r>
          </w:p>
        </w:tc>
        <w:tc>
          <w:tcPr>
            <w:tcW w:w="80" w:type="dxa"/>
            <w:vAlign w:val="bottom"/>
          </w:tcPr>
          <w:p>
            <w:pPr>
              <w:spacing w:after="0"/>
              <w:rPr>
                <w:sz w:val="17"/>
                <w:szCs w:val="17"/>
                <w:color w:val="auto"/>
              </w:rPr>
            </w:pPr>
          </w:p>
        </w:tc>
        <w:tc>
          <w:tcPr>
            <w:tcW w:w="13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797,685</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tcPr>
          <w:p>
            <w:pPr>
              <w:spacing w:after="0"/>
              <w:rPr>
                <w:sz w:val="17"/>
                <w:szCs w:val="17"/>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770,142</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4.66</w:t>
            </w:r>
          </w:p>
        </w:tc>
        <w:tc>
          <w:tcPr>
            <w:tcW w:w="80" w:type="dxa"/>
            <w:vAlign w:val="bottom"/>
          </w:tcPr>
          <w:p>
            <w:pPr>
              <w:spacing w:after="0"/>
              <w:rPr>
                <w:sz w:val="17"/>
                <w:szCs w:val="17"/>
                <w:color w:val="auto"/>
              </w:rPr>
            </w:pPr>
          </w:p>
        </w:tc>
        <w:tc>
          <w:tcPr>
            <w:tcW w:w="12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747,844</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4.38</w:t>
            </w:r>
          </w:p>
        </w:tc>
        <w:tc>
          <w:tcPr>
            <w:tcW w:w="0" w:type="dxa"/>
            <w:vAlign w:val="bottom"/>
          </w:tcPr>
          <w:p>
            <w:pPr>
              <w:spacing w:after="0"/>
              <w:rPr>
                <w:sz w:val="1"/>
                <w:szCs w:val="1"/>
                <w:color w:val="auto"/>
              </w:rPr>
            </w:pPr>
          </w:p>
        </w:tc>
      </w:tr>
      <w:tr>
        <w:trPr>
          <w:trHeight w:val="203"/>
        </w:trPr>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Oil Field</w:t>
            </w: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310,005</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Pr>
          <w:p>
            <w:pPr>
              <w:spacing w:after="0"/>
              <w:rPr>
                <w:sz w:val="17"/>
                <w:szCs w:val="17"/>
                <w:color w:val="auto"/>
              </w:rPr>
            </w:pPr>
          </w:p>
        </w:tc>
        <w:tc>
          <w:tcPr>
            <w:tcW w:w="12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310,206</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Pr>
          <w:p>
            <w:pPr>
              <w:spacing w:after="0"/>
              <w:rPr>
                <w:sz w:val="17"/>
                <w:szCs w:val="17"/>
                <w:color w:val="auto"/>
              </w:rPr>
            </w:pPr>
          </w:p>
        </w:tc>
        <w:tc>
          <w:tcPr>
            <w:tcW w:w="13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377,882</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7"/>
                <w:szCs w:val="17"/>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361,191</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2.19</w:t>
            </w:r>
          </w:p>
        </w:tc>
        <w:tc>
          <w:tcPr>
            <w:tcW w:w="80" w:type="dxa"/>
            <w:vAlign w:val="bottom"/>
          </w:tcPr>
          <w:p>
            <w:pPr>
              <w:spacing w:after="0"/>
              <w:rPr>
                <w:sz w:val="17"/>
                <w:szCs w:val="17"/>
                <w:color w:val="auto"/>
              </w:rPr>
            </w:pPr>
          </w:p>
        </w:tc>
        <w:tc>
          <w:tcPr>
            <w:tcW w:w="12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323,985</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158"/>
        </w:trPr>
        <w:tc>
          <w:tcPr>
            <w:tcW w:w="128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Public Authorities</w:t>
            </w:r>
          </w:p>
        </w:tc>
        <w:tc>
          <w:tcPr>
            <w:tcW w:w="12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1,550,726</w:t>
            </w:r>
          </w:p>
        </w:tc>
        <w:tc>
          <w:tcPr>
            <w:tcW w:w="6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9.51</w:t>
            </w:r>
          </w:p>
        </w:tc>
        <w:tc>
          <w:tcPr>
            <w:tcW w:w="80" w:type="dxa"/>
            <w:vAlign w:val="bottom"/>
          </w:tcPr>
          <w:p>
            <w:pPr>
              <w:spacing w:after="0"/>
              <w:rPr>
                <w:sz w:val="13"/>
                <w:szCs w:val="13"/>
                <w:color w:val="auto"/>
              </w:rPr>
            </w:pPr>
          </w:p>
        </w:tc>
        <w:tc>
          <w:tcPr>
            <w:tcW w:w="12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color w:val="auto"/>
              </w:rPr>
              <w:t>1,564,240</w:t>
            </w:r>
          </w:p>
        </w:tc>
        <w:tc>
          <w:tcPr>
            <w:tcW w:w="6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9.04</w:t>
            </w:r>
          </w:p>
        </w:tc>
        <w:tc>
          <w:tcPr>
            <w:tcW w:w="80" w:type="dxa"/>
            <w:vAlign w:val="bottom"/>
          </w:tcPr>
          <w:p>
            <w:pPr>
              <w:spacing w:after="0"/>
              <w:rPr>
                <w:sz w:val="13"/>
                <w:szCs w:val="13"/>
                <w:color w:val="auto"/>
              </w:rPr>
            </w:pPr>
          </w:p>
        </w:tc>
        <w:tc>
          <w:tcPr>
            <w:tcW w:w="13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1,556,382</w:t>
            </w: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8.99</w:t>
            </w:r>
          </w:p>
        </w:tc>
        <w:tc>
          <w:tcPr>
            <w:tcW w:w="100" w:type="dxa"/>
            <w:vAlign w:val="bottom"/>
          </w:tcPr>
          <w:p>
            <w:pPr>
              <w:spacing w:after="0"/>
              <w:rPr>
                <w:sz w:val="13"/>
                <w:szCs w:val="13"/>
                <w:color w:val="auto"/>
              </w:rPr>
            </w:pPr>
          </w:p>
        </w:tc>
        <w:tc>
          <w:tcPr>
            <w:tcW w:w="12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1,425,617</w:t>
            </w: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8.63</w:t>
            </w:r>
          </w:p>
        </w:tc>
        <w:tc>
          <w:tcPr>
            <w:tcW w:w="80" w:type="dxa"/>
            <w:vAlign w:val="bottom"/>
          </w:tcPr>
          <w:p>
            <w:pPr>
              <w:spacing w:after="0"/>
              <w:rPr>
                <w:sz w:val="13"/>
                <w:szCs w:val="13"/>
                <w:color w:val="auto"/>
              </w:rPr>
            </w:pPr>
          </w:p>
        </w:tc>
        <w:tc>
          <w:tcPr>
            <w:tcW w:w="12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1,472,420</w:t>
            </w: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8.62</w:t>
            </w:r>
          </w:p>
        </w:tc>
        <w:tc>
          <w:tcPr>
            <w:tcW w:w="0" w:type="dxa"/>
            <w:vAlign w:val="bottom"/>
          </w:tcPr>
          <w:p>
            <w:pPr>
              <w:spacing w:after="0"/>
              <w:rPr>
                <w:sz w:val="1"/>
                <w:szCs w:val="1"/>
                <w:color w:val="auto"/>
              </w:rPr>
            </w:pPr>
          </w:p>
        </w:tc>
      </w:tr>
      <w:tr>
        <w:trPr>
          <w:trHeight w:val="112"/>
        </w:trPr>
        <w:tc>
          <w:tcPr>
            <w:tcW w:w="1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and Street lights</w:t>
            </w:r>
          </w:p>
        </w:tc>
        <w:tc>
          <w:tcPr>
            <w:tcW w:w="12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1280" w:type="dxa"/>
            <w:vAlign w:val="bottom"/>
            <w:gridSpan w:val="2"/>
            <w:vMerge w:val="continue"/>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28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23,718,099</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7"/>
                <w:szCs w:val="17"/>
                <w:color w:val="auto"/>
              </w:rPr>
            </w:pPr>
          </w:p>
        </w:tc>
        <w:tc>
          <w:tcPr>
            <w:tcW w:w="12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25,408,514</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25,757,612</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24,563,997</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7"/>
                <w:szCs w:val="17"/>
                <w:color w:val="auto"/>
              </w:rPr>
            </w:pPr>
          </w:p>
        </w:tc>
        <w:tc>
          <w:tcPr>
            <w:tcW w:w="12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25,158,584</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1"/>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3960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173" w:lineRule="exact"/>
        <w:rPr>
          <w:sz w:val="20"/>
          <w:szCs w:val="20"/>
          <w:color w:val="auto"/>
        </w:rPr>
      </w:pPr>
    </w:p>
    <w:p>
      <w:pPr>
        <w:ind w:left="360" w:hanging="321"/>
        <w:spacing w:after="0"/>
        <w:tabs>
          <w:tab w:leader="none" w:pos="3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Columns may not add due to rounding.</w:t>
      </w:r>
    </w:p>
    <w:p>
      <w:pPr>
        <w:sectPr>
          <w:pgSz w:w="11900" w:h="16838" w:orient="portrait"/>
          <w:cols w:equalWidth="0" w:num="1">
            <w:col w:w="11240"/>
          </w:cols>
          <w:pgMar w:left="320" w:top="11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780" w:type="dxa"/>
            <w:vAlign w:val="bottom"/>
            <w:gridSpan w:val="11"/>
          </w:tcPr>
          <w:p>
            <w:pPr>
              <w:ind w:left="160"/>
              <w:spacing w:after="0"/>
              <w:rPr>
                <w:sz w:val="20"/>
                <w:szCs w:val="20"/>
                <w:color w:val="auto"/>
              </w:rPr>
            </w:pPr>
            <w:r>
              <w:rPr>
                <w:rFonts w:ascii="Times New Roman" w:cs="Times New Roman" w:eastAsia="Times New Roman" w:hAnsi="Times New Roman"/>
                <w:sz w:val="14"/>
                <w:szCs w:val="14"/>
                <w:b w:val="1"/>
                <w:bCs w:val="1"/>
                <w:color w:val="auto"/>
              </w:rPr>
              <w:t>Revenues by Customer Class Percentage Composition in Oklahoma (Dollars in millions)*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Customer Class</w:t>
            </w: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849.97</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44.71 %</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870.82</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45.33 %</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819.42</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45.32 %</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816.49</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46.14 %</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856.28</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45.73 %</w:t>
            </w:r>
          </w:p>
        </w:tc>
        <w:tc>
          <w:tcPr>
            <w:tcW w:w="0" w:type="dxa"/>
            <w:vAlign w:val="bottom"/>
          </w:tcPr>
          <w:p>
            <w:pPr>
              <w:spacing w:after="0"/>
              <w:rPr>
                <w:sz w:val="1"/>
                <w:szCs w:val="1"/>
                <w:color w:val="auto"/>
              </w:rPr>
            </w:pPr>
          </w:p>
        </w:tc>
      </w:tr>
      <w:tr>
        <w:trPr>
          <w:trHeight w:val="193"/>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240" w:type="dxa"/>
            <w:vAlign w:val="bottom"/>
          </w:tcPr>
          <w:p>
            <w:pPr>
              <w:spacing w:after="0"/>
              <w:rPr>
                <w:sz w:val="16"/>
                <w:szCs w:val="16"/>
                <w:color w:val="auto"/>
              </w:rPr>
            </w:pPr>
          </w:p>
        </w:tc>
        <w:tc>
          <w:tcPr>
            <w:tcW w:w="9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540.43</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551.49</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473.96</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443.20</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25.05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485.54</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25.93</w:t>
            </w:r>
          </w:p>
        </w:tc>
        <w:tc>
          <w:tcPr>
            <w:tcW w:w="0" w:type="dxa"/>
            <w:vAlign w:val="bottom"/>
          </w:tcPr>
          <w:p>
            <w:pPr>
              <w:spacing w:after="0"/>
              <w:rPr>
                <w:sz w:val="1"/>
                <w:szCs w:val="1"/>
                <w:color w:val="auto"/>
              </w:rPr>
            </w:pPr>
          </w:p>
        </w:tc>
      </w:tr>
      <w:tr>
        <w:trPr>
          <w:trHeight w:val="203"/>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Industrial</w:t>
            </w:r>
          </w:p>
        </w:tc>
        <w:tc>
          <w:tcPr>
            <w:tcW w:w="240" w:type="dxa"/>
            <w:vAlign w:val="bottom"/>
          </w:tcPr>
          <w:p>
            <w:pPr>
              <w:spacing w:after="0"/>
              <w:rPr>
                <w:sz w:val="17"/>
                <w:szCs w:val="17"/>
                <w:color w:val="auto"/>
              </w:rPr>
            </w:pPr>
          </w:p>
        </w:tc>
        <w:tc>
          <w:tcPr>
            <w:tcW w:w="9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150.60</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149.30</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154.59</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8.55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155.97</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159.48</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8.52</w:t>
            </w:r>
          </w:p>
        </w:tc>
        <w:tc>
          <w:tcPr>
            <w:tcW w:w="0" w:type="dxa"/>
            <w:vAlign w:val="bottom"/>
          </w:tcPr>
          <w:p>
            <w:pPr>
              <w:spacing w:after="0"/>
              <w:rPr>
                <w:sz w:val="1"/>
                <w:szCs w:val="1"/>
                <w:color w:val="auto"/>
              </w:rPr>
            </w:pPr>
          </w:p>
        </w:tc>
      </w:tr>
      <w:tr>
        <w:trPr>
          <w:trHeight w:val="203"/>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Oilfield</w:t>
            </w:r>
          </w:p>
        </w:tc>
        <w:tc>
          <w:tcPr>
            <w:tcW w:w="240" w:type="dxa"/>
            <w:vAlign w:val="bottom"/>
          </w:tcPr>
          <w:p>
            <w:pPr>
              <w:spacing w:after="0"/>
              <w:rPr>
                <w:sz w:val="17"/>
                <w:szCs w:val="17"/>
                <w:color w:val="auto"/>
              </w:rPr>
            </w:pPr>
          </w:p>
        </w:tc>
        <w:tc>
          <w:tcPr>
            <w:tcW w:w="9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160.73</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8.46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152.58</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179.49</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182.90</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10.34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187.21</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53"/>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Public Authorities</w:t>
            </w:r>
          </w:p>
        </w:tc>
        <w:tc>
          <w:tcPr>
            <w:tcW w:w="240" w:type="dxa"/>
            <w:vAlign w:val="bottom"/>
          </w:tcPr>
          <w:p>
            <w:pPr>
              <w:spacing w:after="0"/>
              <w:rPr>
                <w:sz w:val="22"/>
                <w:szCs w:val="22"/>
                <w:color w:val="auto"/>
              </w:rPr>
            </w:pPr>
          </w:p>
        </w:tc>
        <w:tc>
          <w:tcPr>
            <w:tcW w:w="9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199.11</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10.48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197.09</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180.74</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170.84</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184.07</w:t>
            </w: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9.82</w:t>
            </w:r>
          </w:p>
        </w:tc>
        <w:tc>
          <w:tcPr>
            <w:tcW w:w="0" w:type="dxa"/>
            <w:vAlign w:val="bottom"/>
          </w:tcPr>
          <w:p>
            <w:pPr>
              <w:spacing w:after="0"/>
              <w:rPr>
                <w:sz w:val="1"/>
                <w:szCs w:val="1"/>
                <w:color w:val="auto"/>
              </w:rPr>
            </w:pPr>
          </w:p>
        </w:tc>
      </w:tr>
      <w:tr>
        <w:trPr>
          <w:trHeight w:val="112"/>
        </w:trPr>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and Street lights</w:t>
            </w:r>
          </w:p>
        </w:tc>
        <w:tc>
          <w:tcPr>
            <w:tcW w:w="2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2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220" w:type="dxa"/>
            <w:vAlign w:val="bottom"/>
            <w:gridSpan w:val="2"/>
            <w:vMerge w:val="continue"/>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1,900.83</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1,921.27</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1,808.20</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1,769.41</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1,872.57</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3917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173" w:lineRule="exact"/>
        <w:rPr>
          <w:sz w:val="20"/>
          <w:szCs w:val="20"/>
          <w:color w:val="auto"/>
        </w:rPr>
      </w:pPr>
    </w:p>
    <w:p>
      <w:pPr>
        <w:ind w:left="360" w:hanging="321"/>
        <w:spacing w:after="0"/>
        <w:tabs>
          <w:tab w:leader="none" w:pos="3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Columns may not add due to rounding.</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300" w:type="dxa"/>
            <w:vAlign w:val="bottom"/>
            <w:gridSpan w:val="10"/>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Number of Customers and Percentage Composition in Oklahoma as of December 31 of the Year Shown Below*</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Customer Class</w:t>
            </w:r>
          </w:p>
        </w:tc>
        <w:tc>
          <w:tcPr>
            <w:tcW w:w="1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220" w:type="dxa"/>
            <w:vAlign w:val="bottom"/>
            <w:gridSpan w:val="2"/>
            <w:vMerge w:val="continue"/>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00" w:type="dxa"/>
            <w:vAlign w:val="bottom"/>
          </w:tcPr>
          <w:p>
            <w:pPr>
              <w:spacing w:after="0"/>
              <w:rPr>
                <w:sz w:val="16"/>
                <w:szCs w:val="16"/>
                <w:color w:val="auto"/>
              </w:rPr>
            </w:pPr>
          </w:p>
        </w:tc>
        <w:tc>
          <w:tcPr>
            <w:tcW w:w="122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663,754</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85.65 %</w:t>
            </w:r>
          </w:p>
        </w:tc>
        <w:tc>
          <w:tcPr>
            <w:tcW w:w="100" w:type="dxa"/>
            <w:vAlign w:val="bottom"/>
          </w:tcPr>
          <w:p>
            <w:pPr>
              <w:spacing w:after="0"/>
              <w:rPr>
                <w:sz w:val="16"/>
                <w:szCs w:val="16"/>
                <w:color w:val="auto"/>
              </w:rPr>
            </w:pPr>
          </w:p>
        </w:tc>
        <w:tc>
          <w:tcPr>
            <w:tcW w:w="120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669,401</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85.60 %</w:t>
            </w:r>
          </w:p>
        </w:tc>
        <w:tc>
          <w:tcPr>
            <w:tcW w:w="100" w:type="dxa"/>
            <w:vAlign w:val="bottom"/>
          </w:tcPr>
          <w:p>
            <w:pPr>
              <w:spacing w:after="0"/>
              <w:rPr>
                <w:sz w:val="16"/>
                <w:szCs w:val="16"/>
                <w:color w:val="auto"/>
              </w:rPr>
            </w:pPr>
          </w:p>
        </w:tc>
        <w:tc>
          <w:tcPr>
            <w:tcW w:w="120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675,375</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85.49 %</w:t>
            </w:r>
          </w:p>
        </w:tc>
        <w:tc>
          <w:tcPr>
            <w:tcW w:w="100" w:type="dxa"/>
            <w:vAlign w:val="bottom"/>
          </w:tcPr>
          <w:p>
            <w:pPr>
              <w:spacing w:after="0"/>
              <w:rPr>
                <w:sz w:val="16"/>
                <w:szCs w:val="16"/>
                <w:color w:val="auto"/>
              </w:rPr>
            </w:pPr>
          </w:p>
        </w:tc>
        <w:tc>
          <w:tcPr>
            <w:tcW w:w="128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683,034</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85.51 %</w:t>
            </w:r>
          </w:p>
        </w:tc>
        <w:tc>
          <w:tcPr>
            <w:tcW w:w="80" w:type="dxa"/>
            <w:vAlign w:val="bottom"/>
          </w:tcPr>
          <w:p>
            <w:pPr>
              <w:spacing w:after="0"/>
              <w:rPr>
                <w:sz w:val="16"/>
                <w:szCs w:val="16"/>
                <w:color w:val="auto"/>
              </w:rPr>
            </w:pPr>
          </w:p>
        </w:tc>
        <w:tc>
          <w:tcPr>
            <w:tcW w:w="124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691,891</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85.34 %</w:t>
            </w:r>
          </w:p>
        </w:tc>
        <w:tc>
          <w:tcPr>
            <w:tcW w:w="0" w:type="dxa"/>
            <w:vAlign w:val="bottom"/>
          </w:tcPr>
          <w:p>
            <w:pPr>
              <w:spacing w:after="0"/>
              <w:rPr>
                <w:sz w:val="1"/>
                <w:szCs w:val="1"/>
                <w:color w:val="auto"/>
              </w:rPr>
            </w:pPr>
          </w:p>
        </w:tc>
      </w:tr>
      <w:tr>
        <w:trPr>
          <w:trHeight w:val="193"/>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2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86,871</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11.21</w:t>
            </w:r>
          </w:p>
        </w:tc>
        <w:tc>
          <w:tcPr>
            <w:tcW w:w="100" w:type="dxa"/>
            <w:vAlign w:val="bottom"/>
          </w:tcPr>
          <w:p>
            <w:pPr>
              <w:spacing w:after="0"/>
              <w:rPr>
                <w:sz w:val="16"/>
                <w:szCs w:val="16"/>
                <w:color w:val="auto"/>
              </w:rPr>
            </w:pPr>
          </w:p>
        </w:tc>
        <w:tc>
          <w:tcPr>
            <w:tcW w:w="12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88,360</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11.30</w:t>
            </w:r>
          </w:p>
        </w:tc>
        <w:tc>
          <w:tcPr>
            <w:tcW w:w="100" w:type="dxa"/>
            <w:vAlign w:val="bottom"/>
          </w:tcPr>
          <w:p>
            <w:pPr>
              <w:spacing w:after="0"/>
              <w:rPr>
                <w:sz w:val="16"/>
                <w:szCs w:val="16"/>
                <w:color w:val="auto"/>
              </w:rPr>
            </w:pPr>
          </w:p>
        </w:tc>
        <w:tc>
          <w:tcPr>
            <w:tcW w:w="12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89,211</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11.29</w:t>
            </w:r>
          </w:p>
        </w:tc>
        <w:tc>
          <w:tcPr>
            <w:tcW w:w="100" w:type="dxa"/>
            <w:vAlign w:val="bottom"/>
          </w:tcPr>
          <w:p>
            <w:pPr>
              <w:spacing w:after="0"/>
              <w:rPr>
                <w:sz w:val="16"/>
                <w:szCs w:val="16"/>
                <w:color w:val="auto"/>
              </w:rPr>
            </w:pPr>
          </w:p>
        </w:tc>
        <w:tc>
          <w:tcPr>
            <w:tcW w:w="12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90,732</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11.36</w:t>
            </w:r>
          </w:p>
        </w:tc>
        <w:tc>
          <w:tcPr>
            <w:tcW w:w="8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93,785</w:t>
            </w: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11.57</w:t>
            </w:r>
          </w:p>
        </w:tc>
        <w:tc>
          <w:tcPr>
            <w:tcW w:w="0" w:type="dxa"/>
            <w:vAlign w:val="bottom"/>
          </w:tcPr>
          <w:p>
            <w:pPr>
              <w:spacing w:after="0"/>
              <w:rPr>
                <w:sz w:val="1"/>
                <w:szCs w:val="1"/>
                <w:color w:val="auto"/>
              </w:rPr>
            </w:pPr>
          </w:p>
        </w:tc>
      </w:tr>
      <w:tr>
        <w:trPr>
          <w:trHeight w:val="203"/>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Industrial</w:t>
            </w:r>
          </w:p>
        </w:tc>
        <w:tc>
          <w:tcPr>
            <w:tcW w:w="12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2,454</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tcPr>
          <w:p>
            <w:pPr>
              <w:spacing w:after="0"/>
              <w:rPr>
                <w:sz w:val="17"/>
                <w:szCs w:val="17"/>
                <w:color w:val="auto"/>
              </w:rPr>
            </w:pPr>
          </w:p>
        </w:tc>
        <w:tc>
          <w:tcPr>
            <w:tcW w:w="12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2,436</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0.31</w:t>
            </w:r>
          </w:p>
        </w:tc>
        <w:tc>
          <w:tcPr>
            <w:tcW w:w="100" w:type="dxa"/>
            <w:vAlign w:val="bottom"/>
          </w:tcPr>
          <w:p>
            <w:pPr>
              <w:spacing w:after="0"/>
              <w:rPr>
                <w:sz w:val="17"/>
                <w:szCs w:val="17"/>
                <w:color w:val="auto"/>
              </w:rPr>
            </w:pPr>
          </w:p>
        </w:tc>
        <w:tc>
          <w:tcPr>
            <w:tcW w:w="12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2,595</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tcPr>
          <w:p>
            <w:pPr>
              <w:spacing w:after="0"/>
              <w:rPr>
                <w:sz w:val="17"/>
                <w:szCs w:val="17"/>
                <w:color w:val="auto"/>
              </w:rPr>
            </w:pPr>
          </w:p>
        </w:tc>
        <w:tc>
          <w:tcPr>
            <w:tcW w:w="12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2,366</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0.30</w:t>
            </w:r>
          </w:p>
        </w:tc>
        <w:tc>
          <w:tcPr>
            <w:tcW w:w="80" w:type="dxa"/>
            <w:vAlign w:val="bottom"/>
          </w:tcPr>
          <w:p>
            <w:pPr>
              <w:spacing w:after="0"/>
              <w:rPr>
                <w:sz w:val="17"/>
                <w:szCs w:val="17"/>
                <w:color w:val="auto"/>
              </w:rPr>
            </w:pP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2,258</w:t>
            </w: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0.28</w:t>
            </w:r>
          </w:p>
        </w:tc>
        <w:tc>
          <w:tcPr>
            <w:tcW w:w="0" w:type="dxa"/>
            <w:vAlign w:val="bottom"/>
          </w:tcPr>
          <w:p>
            <w:pPr>
              <w:spacing w:after="0"/>
              <w:rPr>
                <w:sz w:val="1"/>
                <w:szCs w:val="1"/>
                <w:color w:val="auto"/>
              </w:rPr>
            </w:pPr>
          </w:p>
        </w:tc>
      </w:tr>
      <w:tr>
        <w:trPr>
          <w:trHeight w:val="203"/>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Oilfield</w:t>
            </w:r>
          </w:p>
        </w:tc>
        <w:tc>
          <w:tcPr>
            <w:tcW w:w="12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6,380</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0.82</w:t>
            </w:r>
          </w:p>
        </w:tc>
        <w:tc>
          <w:tcPr>
            <w:tcW w:w="100" w:type="dxa"/>
            <w:vAlign w:val="bottom"/>
          </w:tcPr>
          <w:p>
            <w:pPr>
              <w:spacing w:after="0"/>
              <w:rPr>
                <w:sz w:val="17"/>
                <w:szCs w:val="17"/>
                <w:color w:val="auto"/>
              </w:rPr>
            </w:pPr>
          </w:p>
        </w:tc>
        <w:tc>
          <w:tcPr>
            <w:tcW w:w="12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6,351</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0.81</w:t>
            </w:r>
          </w:p>
        </w:tc>
        <w:tc>
          <w:tcPr>
            <w:tcW w:w="100" w:type="dxa"/>
            <w:vAlign w:val="bottom"/>
          </w:tcPr>
          <w:p>
            <w:pPr>
              <w:spacing w:after="0"/>
              <w:rPr>
                <w:sz w:val="17"/>
                <w:szCs w:val="17"/>
                <w:color w:val="auto"/>
              </w:rPr>
            </w:pPr>
          </w:p>
        </w:tc>
        <w:tc>
          <w:tcPr>
            <w:tcW w:w="12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7,017</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0.89</w:t>
            </w:r>
          </w:p>
        </w:tc>
        <w:tc>
          <w:tcPr>
            <w:tcW w:w="100" w:type="dxa"/>
            <w:vAlign w:val="bottom"/>
          </w:tcPr>
          <w:p>
            <w:pPr>
              <w:spacing w:after="0"/>
              <w:rPr>
                <w:sz w:val="17"/>
                <w:szCs w:val="17"/>
                <w:color w:val="auto"/>
              </w:rPr>
            </w:pPr>
          </w:p>
        </w:tc>
        <w:tc>
          <w:tcPr>
            <w:tcW w:w="12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6,769</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0.85</w:t>
            </w:r>
          </w:p>
        </w:tc>
        <w:tc>
          <w:tcPr>
            <w:tcW w:w="80" w:type="dxa"/>
            <w:vAlign w:val="bottom"/>
          </w:tcPr>
          <w:p>
            <w:pPr>
              <w:spacing w:after="0"/>
              <w:rPr>
                <w:sz w:val="17"/>
                <w:szCs w:val="17"/>
                <w:color w:val="auto"/>
              </w:rPr>
            </w:pP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6,752</w:t>
            </w: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0.83</w:t>
            </w:r>
          </w:p>
        </w:tc>
        <w:tc>
          <w:tcPr>
            <w:tcW w:w="0" w:type="dxa"/>
            <w:vAlign w:val="bottom"/>
          </w:tcPr>
          <w:p>
            <w:pPr>
              <w:spacing w:after="0"/>
              <w:rPr>
                <w:sz w:val="1"/>
                <w:szCs w:val="1"/>
                <w:color w:val="auto"/>
              </w:rPr>
            </w:pPr>
          </w:p>
        </w:tc>
      </w:tr>
      <w:tr>
        <w:trPr>
          <w:trHeight w:val="257"/>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Public Authorities</w:t>
            </w:r>
          </w:p>
        </w:tc>
        <w:tc>
          <w:tcPr>
            <w:tcW w:w="122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15,472</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22"/>
                <w:szCs w:val="22"/>
                <w:color w:val="auto"/>
              </w:rPr>
            </w:pPr>
          </w:p>
        </w:tc>
        <w:tc>
          <w:tcPr>
            <w:tcW w:w="120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15,496</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22"/>
                <w:szCs w:val="22"/>
                <w:color w:val="auto"/>
              </w:rPr>
            </w:pPr>
          </w:p>
        </w:tc>
        <w:tc>
          <w:tcPr>
            <w:tcW w:w="12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15,758</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22"/>
                <w:szCs w:val="22"/>
                <w:color w:val="auto"/>
              </w:rPr>
            </w:pPr>
          </w:p>
        </w:tc>
        <w:tc>
          <w:tcPr>
            <w:tcW w:w="128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15,883</w:t>
            </w: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tcPr>
          <w:p>
            <w:pPr>
              <w:spacing w:after="0"/>
              <w:rPr>
                <w:sz w:val="22"/>
                <w:szCs w:val="22"/>
                <w:color w:val="auto"/>
              </w:rPr>
            </w:pP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16,028</w:t>
            </w: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107"/>
        </w:trPr>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and Street lights</w:t>
            </w:r>
          </w:p>
        </w:tc>
        <w:tc>
          <w:tcPr>
            <w:tcW w:w="12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220" w:type="dxa"/>
            <w:vAlign w:val="bottom"/>
            <w:gridSpan w:val="2"/>
            <w:vMerge w:val="continue"/>
          </w:tcPr>
          <w:p>
            <w:pPr>
              <w:spacing w:after="0"/>
              <w:rPr>
                <w:sz w:val="16"/>
                <w:szCs w:val="16"/>
                <w:color w:val="auto"/>
              </w:rPr>
            </w:pPr>
          </w:p>
        </w:tc>
        <w:tc>
          <w:tcPr>
            <w:tcW w:w="12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774,931</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782,044</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789,956</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798,784</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80" w:type="dxa"/>
            <w:vAlign w:val="bottom"/>
          </w:tcPr>
          <w:p>
            <w:pPr>
              <w:spacing w:after="0"/>
              <w:rPr>
                <w:sz w:val="16"/>
                <w:szCs w:val="16"/>
                <w:color w:val="auto"/>
              </w:rPr>
            </w:pPr>
          </w:p>
        </w:tc>
        <w:tc>
          <w:tcPr>
            <w:tcW w:w="12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810,714</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3909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173" w:lineRule="exact"/>
        <w:rPr>
          <w:sz w:val="20"/>
          <w:szCs w:val="20"/>
          <w:color w:val="auto"/>
        </w:rPr>
      </w:pPr>
    </w:p>
    <w:p>
      <w:pPr>
        <w:ind w:left="360" w:hanging="321"/>
        <w:spacing w:after="0"/>
        <w:tabs>
          <w:tab w:leader="none" w:pos="3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Columns may not add due to rounding.</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Percentage Concentration Within Large Commercial Customers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the ten largest Customers represented approximately 13.0% of total energy usage in Oklahoma and approximately 6.9% of OG&amp;E's total revenues in Oklahoma. All ten Customers are industrial and oilfield class accounts. There are no material concentrations in the residential and commercial classes.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Policy</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OG&amp;E's current business practice requires new business customers to provide a security deposit in the form of cash, bond or irrevocable letter of credit that is refunded when the account is closed. New residential customers whose outside credit scores indicate an elevated risk are required to provide a security deposit that is refunded based on customer protection rules promulgated by the Commission. The payment behavior of all existing customers is continuously monitored, and, if the payment behavior indicates sufficient risk within the meaning of the applicable utility regulation, customers will be required to provide a security deposit.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Billing Process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OG&amp;E bills its Customers on average every 30 days. For the year ended December 31, 2021, OG&amp;E mailed out an average of 42,000 bills on each business day to its Customers. For accounts with potential billing error exceptions, reports are generated for manual review. This review examines accounts that have abnormally high or low bills, potential meter-reading errors, possible meter malfunctions and/or unbilled accounts.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Collection, Termination of Service and Write-Off Policy</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2021, OG&amp;E received approximately 22% of its total bill payments via U.S. mail and approximately 78% of its total bill payments via electronic payments. Bills are due 21 calendar days after the issue date at which time they are considered delinquent. Delinquent customers are sent a notice to encourage payment within 10 days and accounts become eligible for disconnect after the passage of these 10 days. For the year ended December 31, 2021, approximately 2% of total billed retail revenue became eligible for disconnect and 25% of those eligible were disconnected. Approximately 90% of accounts disconnected for nonpayment ultimately make full payment and have service restored.</w:t>
      </w:r>
    </w:p>
    <w:p>
      <w:pPr>
        <w:sectPr>
          <w:pgSz w:w="11900" w:h="16838" w:orient="portrait"/>
          <w:cols w:equalWidth="0" w:num="1">
            <w:col w:w="11240"/>
          </w:cols>
          <w:pgMar w:left="320" w:top="117"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service is terminated, the customer is required to pay all past due amounts as well as a $21 reconnection fee in order to resume service as of the date of this official statement. After service termination due to non-payment a final bill including all unpaid amounts and net of deposits paid is issued within 10 business days. After service termination by customer request, a final bill including all unpaid amounts and net of deposits paid is issued the following business day. Unpaid final bills are written off approximately 180 days after the final bill is issued. Amounts written off are assigned to outside collection agencies and are reported to all three credit reporting agencies. Dollars recovered are netted against actual write-offs.</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OG&amp;E may change its credit, billing, collections and termination/restoration of service policies and procedures from time to time. It is expected that any such changes would be designed to enhance OG&amp;E's ability to bill and collect customer charges on a timely basis.</w:t>
      </w:r>
    </w:p>
    <w:p>
      <w:pPr>
        <w:spacing w:after="0" w:line="1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Annual Forecast Variance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related to annual forecast variance for ultimate electric delivery in Oklahoma for the past five years. Variances between actual sales and forecasted sales can be caused by a number of factors, though the primary drivers are unexpected extreme temperatures, which can cause actual sales volumes to be higher or unexpected mild temperatures, which can cause actual sales volumes to be lower. For 2020 and 2021, the primary driver of variances between the forecast and actual sales volumes is changes in behavior in response to COVID.</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Annual Forecast Variance For Ultimate Electric Delivery in Oklahoma (MWh)</w:t>
      </w:r>
    </w:p>
    <w:p>
      <w:pPr>
        <w:spacing w:after="0" w:line="281" w:lineRule="exact"/>
        <w:rPr>
          <w:sz w:val="20"/>
          <w:szCs w:val="20"/>
          <w:color w:val="auto"/>
        </w:rPr>
      </w:pPr>
    </w:p>
    <w:tbl>
      <w:tblPr>
        <w:tblLayout w:type="fixed"/>
        <w:tblInd w:w="140" w:type="dxa"/>
        <w:tblCellMar>
          <w:top w:w="0" w:type="dxa"/>
          <w:left w:w="0" w:type="dxa"/>
          <w:bottom w:w="0" w:type="dxa"/>
          <w:right w:w="0" w:type="dxa"/>
        </w:tblCellMar>
      </w:tblPr>
      <w:tr>
        <w:trPr>
          <w:trHeight w:val="209"/>
        </w:trPr>
        <w:tc>
          <w:tcPr>
            <w:tcW w:w="3020" w:type="dxa"/>
            <w:vAlign w:val="bottom"/>
          </w:tcPr>
          <w:p>
            <w:pPr>
              <w:spacing w:after="0"/>
              <w:rPr>
                <w:sz w:val="18"/>
                <w:szCs w:val="18"/>
                <w:color w:val="auto"/>
              </w:rPr>
            </w:pPr>
          </w:p>
        </w:tc>
        <w:tc>
          <w:tcPr>
            <w:tcW w:w="1920" w:type="dxa"/>
            <w:vAlign w:val="bottom"/>
            <w:tcBorders>
              <w:top w:val="single" w:sz="8" w:color="auto"/>
              <w:bottom w:val="single" w:sz="8" w:color="auto"/>
            </w:tcBorders>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0" w:type="dxa"/>
            <w:vAlign w:val="bottom"/>
            <w:tcBorders>
              <w:top w:val="single" w:sz="8" w:color="auto"/>
              <w:bottom w:val="single" w:sz="8" w:color="auto"/>
            </w:tcBorders>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20" w:type="dxa"/>
            <w:vAlign w:val="bottom"/>
            <w:tcBorders>
              <w:top w:val="single" w:sz="8" w:color="auto"/>
              <w:bottom w:val="single" w:sz="8" w:color="auto"/>
            </w:tcBorders>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0" w:type="dxa"/>
            <w:vAlign w:val="bottom"/>
            <w:tcBorders>
              <w:top w:val="single" w:sz="8" w:color="auto"/>
              <w:bottom w:val="single" w:sz="8" w:color="auto"/>
            </w:tcBorders>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80" w:type="dxa"/>
            <w:vAlign w:val="bottom"/>
            <w:tcBorders>
              <w:top w:val="single" w:sz="8" w:color="auto"/>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6"/>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S/L 1</w:t>
            </w:r>
          </w:p>
        </w:tc>
        <w:tc>
          <w:tcPr>
            <w:tcW w:w="1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Forecast MWh</w:t>
            </w:r>
          </w:p>
        </w:tc>
        <w:tc>
          <w:tcPr>
            <w:tcW w:w="19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668,912</w:t>
            </w:r>
          </w:p>
        </w:tc>
        <w:tc>
          <w:tcPr>
            <w:tcW w:w="1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638,920</w:t>
            </w:r>
          </w:p>
        </w:tc>
        <w:tc>
          <w:tcPr>
            <w:tcW w:w="16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797,648</w:t>
            </w:r>
          </w:p>
        </w:tc>
        <w:tc>
          <w:tcPr>
            <w:tcW w:w="1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860,041</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858,415</w:t>
            </w: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Weather Normalized Actuals MWh</w:t>
            </w:r>
          </w:p>
        </w:tc>
        <w:tc>
          <w:tcPr>
            <w:tcW w:w="19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675,960</w:t>
            </w:r>
          </w:p>
        </w:tc>
        <w:tc>
          <w:tcPr>
            <w:tcW w:w="1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750,557</w:t>
            </w:r>
          </w:p>
        </w:tc>
        <w:tc>
          <w:tcPr>
            <w:tcW w:w="16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857,790</w:t>
            </w:r>
          </w:p>
        </w:tc>
        <w:tc>
          <w:tcPr>
            <w:tcW w:w="1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795,806</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811,509</w:t>
            </w: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Variance (%)</w:t>
            </w:r>
          </w:p>
        </w:tc>
        <w:tc>
          <w:tcPr>
            <w:tcW w:w="19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1.1 %</w:t>
            </w:r>
          </w:p>
        </w:tc>
        <w:tc>
          <w:tcPr>
            <w:tcW w:w="16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17.5 %</w:t>
            </w:r>
          </w:p>
        </w:tc>
        <w:tc>
          <w:tcPr>
            <w:tcW w:w="16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7.5 %</w:t>
            </w:r>
          </w:p>
        </w:tc>
        <w:tc>
          <w:tcPr>
            <w:tcW w:w="16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-7.5 %</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-5.5 %</w:t>
            </w:r>
          </w:p>
        </w:tc>
      </w:tr>
      <w:tr>
        <w:trPr>
          <w:trHeight w:val="365"/>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S/L 2</w:t>
            </w: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2"/>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Forecast MWh</w:t>
            </w:r>
          </w:p>
        </w:tc>
        <w:tc>
          <w:tcPr>
            <w:tcW w:w="19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4,225,167</w:t>
            </w:r>
          </w:p>
        </w:tc>
        <w:tc>
          <w:tcPr>
            <w:tcW w:w="1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4,594,197</w:t>
            </w:r>
          </w:p>
        </w:tc>
        <w:tc>
          <w:tcPr>
            <w:tcW w:w="16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5,281,492</w:t>
            </w:r>
          </w:p>
        </w:tc>
        <w:tc>
          <w:tcPr>
            <w:tcW w:w="1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5,058,791</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5,034,069</w:t>
            </w: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Weather Normalized Actuals MWh</w:t>
            </w:r>
          </w:p>
        </w:tc>
        <w:tc>
          <w:tcPr>
            <w:tcW w:w="19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4,266,485</w:t>
            </w:r>
          </w:p>
        </w:tc>
        <w:tc>
          <w:tcPr>
            <w:tcW w:w="1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4,836,345</w:t>
            </w:r>
          </w:p>
        </w:tc>
        <w:tc>
          <w:tcPr>
            <w:tcW w:w="16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5,026,112</w:t>
            </w:r>
          </w:p>
        </w:tc>
        <w:tc>
          <w:tcPr>
            <w:tcW w:w="1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4,904,643</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4,926,382</w:t>
            </w: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Variance (%)</w:t>
            </w:r>
          </w:p>
        </w:tc>
        <w:tc>
          <w:tcPr>
            <w:tcW w:w="19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1.0 %</w:t>
            </w:r>
          </w:p>
        </w:tc>
        <w:tc>
          <w:tcPr>
            <w:tcW w:w="16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5.3 %</w:t>
            </w:r>
          </w:p>
        </w:tc>
        <w:tc>
          <w:tcPr>
            <w:tcW w:w="16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-4.8 %</w:t>
            </w:r>
          </w:p>
        </w:tc>
        <w:tc>
          <w:tcPr>
            <w:tcW w:w="16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-3.0 %</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365"/>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S/L 3</w:t>
            </w: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Forecast MWh</w:t>
            </w:r>
          </w:p>
        </w:tc>
        <w:tc>
          <w:tcPr>
            <w:tcW w:w="19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1,890,209</w:t>
            </w:r>
          </w:p>
        </w:tc>
        <w:tc>
          <w:tcPr>
            <w:tcW w:w="1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1,898,373</w:t>
            </w:r>
          </w:p>
        </w:tc>
        <w:tc>
          <w:tcPr>
            <w:tcW w:w="16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1,636,513</w:t>
            </w:r>
          </w:p>
        </w:tc>
        <w:tc>
          <w:tcPr>
            <w:tcW w:w="1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2,039,978</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1,916,903</w:t>
            </w: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Weather Normalized Actuals MWh</w:t>
            </w:r>
          </w:p>
        </w:tc>
        <w:tc>
          <w:tcPr>
            <w:tcW w:w="19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1,919,267</w:t>
            </w:r>
          </w:p>
        </w:tc>
        <w:tc>
          <w:tcPr>
            <w:tcW w:w="1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1,912,686</w:t>
            </w:r>
          </w:p>
        </w:tc>
        <w:tc>
          <w:tcPr>
            <w:tcW w:w="16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1,946,601</w:t>
            </w:r>
          </w:p>
        </w:tc>
        <w:tc>
          <w:tcPr>
            <w:tcW w:w="1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1,763,417</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1,866,761</w:t>
            </w: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Variance (%)</w:t>
            </w:r>
          </w:p>
        </w:tc>
        <w:tc>
          <w:tcPr>
            <w:tcW w:w="19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1.5 %</w:t>
            </w:r>
          </w:p>
        </w:tc>
        <w:tc>
          <w:tcPr>
            <w:tcW w:w="16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0.8 %</w:t>
            </w:r>
          </w:p>
        </w:tc>
        <w:tc>
          <w:tcPr>
            <w:tcW w:w="16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18.9 %</w:t>
            </w:r>
          </w:p>
        </w:tc>
        <w:tc>
          <w:tcPr>
            <w:tcW w:w="16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-13.6 %</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r>
      <w:tr>
        <w:trPr>
          <w:trHeight w:val="364"/>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S/L 4</w:t>
            </w: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Forecast MWh</w:t>
            </w:r>
          </w:p>
        </w:tc>
        <w:tc>
          <w:tcPr>
            <w:tcW w:w="19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574,959</w:t>
            </w:r>
          </w:p>
        </w:tc>
        <w:tc>
          <w:tcPr>
            <w:tcW w:w="1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561,924</w:t>
            </w:r>
          </w:p>
        </w:tc>
        <w:tc>
          <w:tcPr>
            <w:tcW w:w="16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535,054</w:t>
            </w:r>
          </w:p>
        </w:tc>
        <w:tc>
          <w:tcPr>
            <w:tcW w:w="1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572,847</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545,964</w:t>
            </w: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Weather Normalized Actuals MWh</w:t>
            </w:r>
          </w:p>
        </w:tc>
        <w:tc>
          <w:tcPr>
            <w:tcW w:w="19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556,010</w:t>
            </w:r>
          </w:p>
        </w:tc>
        <w:tc>
          <w:tcPr>
            <w:tcW w:w="1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602,578</w:t>
            </w:r>
          </w:p>
        </w:tc>
        <w:tc>
          <w:tcPr>
            <w:tcW w:w="16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622,397</w:t>
            </w:r>
          </w:p>
        </w:tc>
        <w:tc>
          <w:tcPr>
            <w:tcW w:w="1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561,943</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498,670</w:t>
            </w: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Variance (%)</w:t>
            </w:r>
          </w:p>
        </w:tc>
        <w:tc>
          <w:tcPr>
            <w:tcW w:w="19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-3.3 %</w:t>
            </w:r>
          </w:p>
        </w:tc>
        <w:tc>
          <w:tcPr>
            <w:tcW w:w="16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7.2 %</w:t>
            </w:r>
          </w:p>
        </w:tc>
        <w:tc>
          <w:tcPr>
            <w:tcW w:w="16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16.3 %</w:t>
            </w:r>
          </w:p>
        </w:tc>
        <w:tc>
          <w:tcPr>
            <w:tcW w:w="16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-1.9 %</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-8.7 %</w:t>
            </w:r>
          </w:p>
        </w:tc>
      </w:tr>
      <w:tr>
        <w:trPr>
          <w:trHeight w:val="365"/>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S/L 5</w:t>
            </w: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Forecast MWh</w:t>
            </w:r>
          </w:p>
        </w:tc>
        <w:tc>
          <w:tcPr>
            <w:tcW w:w="19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17,374,162</w:t>
            </w:r>
          </w:p>
        </w:tc>
        <w:tc>
          <w:tcPr>
            <w:tcW w:w="1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17,207,720</w:t>
            </w:r>
          </w:p>
        </w:tc>
        <w:tc>
          <w:tcPr>
            <w:tcW w:w="16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17,287,205</w:t>
            </w:r>
          </w:p>
        </w:tc>
        <w:tc>
          <w:tcPr>
            <w:tcW w:w="1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17,302,033</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17,167,836</w:t>
            </w: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Weather Normalized Actuals MWh</w:t>
            </w:r>
          </w:p>
        </w:tc>
        <w:tc>
          <w:tcPr>
            <w:tcW w:w="19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16,560,629</w:t>
            </w:r>
          </w:p>
        </w:tc>
        <w:tc>
          <w:tcPr>
            <w:tcW w:w="1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16,945,292</w:t>
            </w:r>
          </w:p>
        </w:tc>
        <w:tc>
          <w:tcPr>
            <w:tcW w:w="16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17,049,119</w:t>
            </w:r>
          </w:p>
        </w:tc>
        <w:tc>
          <w:tcPr>
            <w:tcW w:w="1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16,748,859</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17,278,746</w:t>
            </w: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Variance (%)</w:t>
            </w:r>
          </w:p>
        </w:tc>
        <w:tc>
          <w:tcPr>
            <w:tcW w:w="19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-4.7 %</w:t>
            </w:r>
          </w:p>
        </w:tc>
        <w:tc>
          <w:tcPr>
            <w:tcW w:w="16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-1.5 %</w:t>
            </w:r>
          </w:p>
        </w:tc>
        <w:tc>
          <w:tcPr>
            <w:tcW w:w="16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-1.4 %</w:t>
            </w:r>
          </w:p>
        </w:tc>
        <w:tc>
          <w:tcPr>
            <w:tcW w:w="16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-3.2 %</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0.6 %</w:t>
            </w:r>
          </w:p>
        </w:tc>
      </w:tr>
      <w:tr>
        <w:trPr>
          <w:trHeight w:val="364"/>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Forecast MWh</w:t>
            </w:r>
          </w:p>
        </w:tc>
        <w:tc>
          <w:tcPr>
            <w:tcW w:w="19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24,733,409</w:t>
            </w:r>
          </w:p>
        </w:tc>
        <w:tc>
          <w:tcPr>
            <w:tcW w:w="1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24,901,134</w:t>
            </w:r>
          </w:p>
        </w:tc>
        <w:tc>
          <w:tcPr>
            <w:tcW w:w="16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25,537,912</w:t>
            </w:r>
          </w:p>
        </w:tc>
        <w:tc>
          <w:tcPr>
            <w:tcW w:w="1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25,833,690</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25,523,187</w:t>
            </w: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Weather Normalized Actuals MWh</w:t>
            </w:r>
          </w:p>
        </w:tc>
        <w:tc>
          <w:tcPr>
            <w:tcW w:w="19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23,978,353</w:t>
            </w:r>
          </w:p>
        </w:tc>
        <w:tc>
          <w:tcPr>
            <w:tcW w:w="1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25,047,461</w:t>
            </w:r>
          </w:p>
        </w:tc>
        <w:tc>
          <w:tcPr>
            <w:tcW w:w="16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25,502,021</w:t>
            </w:r>
          </w:p>
        </w:tc>
        <w:tc>
          <w:tcPr>
            <w:tcW w:w="1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24,774,670</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25,382,069</w:t>
            </w: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Variance (%)</w:t>
            </w:r>
          </w:p>
        </w:tc>
        <w:tc>
          <w:tcPr>
            <w:tcW w:w="19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-3.1 %</w:t>
            </w:r>
          </w:p>
        </w:tc>
        <w:tc>
          <w:tcPr>
            <w:tcW w:w="16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0.6 %</w:t>
            </w:r>
          </w:p>
        </w:tc>
        <w:tc>
          <w:tcPr>
            <w:tcW w:w="16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-0.1 %</w:t>
            </w:r>
          </w:p>
        </w:tc>
        <w:tc>
          <w:tcPr>
            <w:tcW w:w="16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-4.1 %</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-0.6 %</w:t>
            </w:r>
          </w:p>
        </w:tc>
      </w:tr>
    </w:tbl>
    <w:p>
      <w:pPr>
        <w:sectPr>
          <w:pgSz w:w="11900" w:h="16838" w:orient="portrait"/>
          <w:cols w:equalWidth="0" w:num="1">
            <w:col w:w="11240"/>
          </w:cols>
          <w:pgMar w:left="320" w:top="1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Write-off and Delinquency Experience</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tables set forth information relating to OG&amp;E's billed revenues and write-off experience for the past five years, as noted for either Customers or total company. Such historical information is presented because OG&amp;E's actual experience with respect to write-offs and delinquencies may be indicative of its future experience, which will affect the timing of WEC Collections. OG&amp;E does not expect, but there can be no certainty, that the delinquency or write-off experience with respect to WEC Collections will differ substantially from the rates indicated. Write-off and delinquency data is affected by factors such as the overall economy, weather and changes in collection practices. The net write-off and delinquency experience is expected, but there can be no certainty, to be similar to OG&amp;E's previous experience.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OG&amp;E revenues in Oklahoma for the past five calendar years for each customer class.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Billed Revenue by Customer Class in Oklahoma (Dollars in millions)*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Customer Class</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8"/>
        </w:trPr>
        <w:tc>
          <w:tcPr>
            <w:tcW w:w="3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98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849.97</w:t>
            </w:r>
          </w:p>
        </w:tc>
        <w:tc>
          <w:tcPr>
            <w:tcW w:w="98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870.82</w:t>
            </w:r>
          </w:p>
        </w:tc>
        <w:tc>
          <w:tcPr>
            <w:tcW w:w="98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819.42</w:t>
            </w:r>
          </w:p>
        </w:tc>
        <w:tc>
          <w:tcPr>
            <w:tcW w:w="98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816.49</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856.28</w:t>
            </w:r>
          </w:p>
        </w:tc>
      </w:tr>
      <w:tr>
        <w:trPr>
          <w:trHeight w:val="193"/>
        </w:trPr>
        <w:tc>
          <w:tcPr>
            <w:tcW w:w="3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540.43</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551.49</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473.96</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443.20</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485.54</w:t>
            </w:r>
          </w:p>
        </w:tc>
      </w:tr>
      <w:tr>
        <w:trPr>
          <w:trHeight w:val="203"/>
        </w:trPr>
        <w:tc>
          <w:tcPr>
            <w:tcW w:w="3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Industrial</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150.60</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149.30</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154.59</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155.97</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159.48</w:t>
            </w:r>
          </w:p>
        </w:tc>
      </w:tr>
      <w:tr>
        <w:trPr>
          <w:trHeight w:val="203"/>
        </w:trPr>
        <w:tc>
          <w:tcPr>
            <w:tcW w:w="3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Oilfield</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160.73</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152.58</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179.49</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182.90</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187.21</w:t>
            </w:r>
          </w:p>
        </w:tc>
      </w:tr>
      <w:tr>
        <w:trPr>
          <w:trHeight w:val="203"/>
        </w:trPr>
        <w:tc>
          <w:tcPr>
            <w:tcW w:w="3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Public Authorities and Street lights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199.11</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197.09</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180.74</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170.84</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184.07</w:t>
            </w:r>
          </w:p>
        </w:tc>
      </w:tr>
      <w:tr>
        <w:trPr>
          <w:trHeight w:val="23"/>
        </w:trPr>
        <w:tc>
          <w:tcPr>
            <w:tcW w:w="33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6"/>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80" w:type="dxa"/>
            <w:vAlign w:val="bottom"/>
            <w:tcBorders>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1,900.83</w:t>
            </w:r>
          </w:p>
        </w:tc>
        <w:tc>
          <w:tcPr>
            <w:tcW w:w="980" w:type="dxa"/>
            <w:vAlign w:val="bottom"/>
            <w:tcBorders>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1,921.27</w:t>
            </w:r>
          </w:p>
        </w:tc>
        <w:tc>
          <w:tcPr>
            <w:tcW w:w="980" w:type="dxa"/>
            <w:vAlign w:val="bottom"/>
            <w:tcBorders>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1,808.20</w:t>
            </w:r>
          </w:p>
        </w:tc>
        <w:tc>
          <w:tcPr>
            <w:tcW w:w="980" w:type="dxa"/>
            <w:vAlign w:val="bottom"/>
            <w:tcBorders>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1,769.41</w:t>
            </w: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1,872.57</w:t>
            </w:r>
          </w:p>
        </w:tc>
      </w:tr>
      <w:tr>
        <w:trPr>
          <w:trHeight w:val="21"/>
        </w:trPr>
        <w:tc>
          <w:tcPr>
            <w:tcW w:w="3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3120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FFFFFF"/>
        </w:rPr>
        <w:t>'</w:t>
      </w:r>
      <w:r>
        <w:rPr>
          <w:rFonts w:ascii="Times New Roman" w:cs="Times New Roman" w:eastAsia="Times New Roman" w:hAnsi="Times New Roman"/>
          <w:sz w:val="14"/>
          <w:szCs w:val="14"/>
          <w:color w:val="000000"/>
        </w:rPr>
        <w:t>* Numbers not exact due to rounding</w:t>
      </w:r>
    </w:p>
    <w:p>
      <w:pPr>
        <w:spacing w:after="0" w:line="37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gross write-offs for electricity and gross write-offs as a percentage of total billed revenue for the past five years in Oklahoma.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Gross Write-Offs as a Percentage of Revenues in Oklahoma*</w:t>
      </w:r>
    </w:p>
    <w:p>
      <w:pPr>
        <w:spacing w:after="0" w:line="290"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2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2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8"/>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Billed Electric Revenues ($000)</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1,900,835</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1,921,274</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1,808,199</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1,769,407</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1,872,565</w:t>
            </w:r>
          </w:p>
        </w:tc>
      </w:tr>
      <w:tr>
        <w:trPr>
          <w:trHeight w:val="193"/>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Gross Write-Offs ($000)</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5,520</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6,304</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5,387</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5,013</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6,030</w:t>
            </w: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Percentage of Billed Revenue</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0.29 %</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0.33 %</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0.30 %</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0.28 %</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9832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FFFFFF"/>
        </w:rPr>
        <w:t>'</w:t>
      </w:r>
      <w:r>
        <w:rPr>
          <w:rFonts w:ascii="Times New Roman" w:cs="Times New Roman" w:eastAsia="Times New Roman" w:hAnsi="Times New Roman"/>
          <w:sz w:val="14"/>
          <w:szCs w:val="14"/>
          <w:color w:val="000000"/>
        </w:rPr>
        <w:t>* Numbers not exact due to rounding.</w:t>
      </w:r>
    </w:p>
    <w:p>
      <w:pPr>
        <w:spacing w:after="0" w:line="3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shows total OG&amp;E net write-offs and total net write-offs as a percentage of total electric billed revenue for the past five years in Oklahoma. Net write-offs include amounts recovered by OG&amp;E from deposits, bankruptcy proceedings and payments received after an account has been either written-off by OG&amp;E or transferred to one of its external collection agencies.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Net Write-Offs as a Percentage of Revenues in Oklahoma*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30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30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8"/>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Billed Electric Revenues ($000)</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1,900,835</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1,921,274</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1,808,199</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1,769,407</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1,872,565</w:t>
            </w:r>
          </w:p>
        </w:tc>
      </w:tr>
      <w:tr>
        <w:trPr>
          <w:trHeight w:val="193"/>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Write-Offs ($000)</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2,285</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3,560</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2,695</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2,086</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3,066</w:t>
            </w:r>
          </w:p>
        </w:tc>
      </w:tr>
      <w:tr>
        <w:trPr>
          <w:trHeight w:val="203"/>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Percentage of Billed Revenue</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0.12 %</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0.19 %</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0.15 %</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0.12 %</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0.16 %</w:t>
            </w:r>
          </w:p>
        </w:tc>
      </w:tr>
      <w:tr>
        <w:trPr>
          <w:trHeight w:val="23"/>
        </w:trPr>
        <w:tc>
          <w:tcPr>
            <w:tcW w:w="30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2983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FFFFFF"/>
        </w:rPr>
        <w:t>'</w:t>
      </w:r>
      <w:r>
        <w:rPr>
          <w:rFonts w:ascii="Times New Roman" w:cs="Times New Roman" w:eastAsia="Times New Roman" w:hAnsi="Times New Roman"/>
          <w:sz w:val="14"/>
          <w:szCs w:val="14"/>
          <w:color w:val="000000"/>
        </w:rPr>
        <w:t>* Numbers not exact due to rounding.</w:t>
      </w:r>
    </w:p>
    <w:p>
      <w:pPr>
        <w:sectPr>
          <w:pgSz w:w="11900" w:h="16838" w:orient="portrait"/>
          <w:cols w:equalWidth="0" w:num="1">
            <w:col w:w="11240"/>
          </w:cols>
          <w:pgMar w:left="320" w:top="11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Delinquencies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relating to the delinquency experience of OG&amp;E for residential, commercial, industrial, oilfield and public authorities and street lights as of December 31 of each of the five preceding years.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Customer Delinquency Data*</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Delinquencies as Percentage of Total Billed</w:t>
            </w:r>
          </w:p>
        </w:tc>
        <w:tc>
          <w:tcPr>
            <w:tcW w:w="10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580" w:type="dxa"/>
            <w:vAlign w:val="bottom"/>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580" w:type="dxa"/>
            <w:vAlign w:val="bottom"/>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20" w:type="dxa"/>
            <w:vAlign w:val="bottom"/>
          </w:tcPr>
          <w:p>
            <w:pPr>
              <w:spacing w:after="0"/>
              <w:rPr>
                <w:sz w:val="13"/>
                <w:szCs w:val="13"/>
                <w:color w:val="auto"/>
              </w:rPr>
            </w:pPr>
          </w:p>
        </w:tc>
        <w:tc>
          <w:tcPr>
            <w:tcW w:w="1600" w:type="dxa"/>
            <w:vAlign w:val="bottom"/>
            <w:vMerge w:val="restart"/>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60" w:type="dxa"/>
            <w:vAlign w:val="bottom"/>
            <w:vMerge w:val="restart"/>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4"/>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Revenues / Average Days Outstanding</w:t>
            </w:r>
          </w:p>
        </w:tc>
        <w:tc>
          <w:tcPr>
            <w:tcW w:w="108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30-59 days</w:t>
            </w:r>
          </w:p>
        </w:tc>
        <w:tc>
          <w:tcPr>
            <w:tcW w:w="1080" w:type="dxa"/>
            <w:vAlign w:val="bottom"/>
          </w:tcPr>
          <w:p>
            <w:pPr>
              <w:spacing w:after="0"/>
              <w:rPr>
                <w:sz w:val="16"/>
                <w:szCs w:val="16"/>
                <w:color w:val="auto"/>
              </w:rPr>
            </w:pPr>
          </w:p>
        </w:tc>
        <w:tc>
          <w:tcPr>
            <w:tcW w:w="1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3.4 %</w:t>
            </w:r>
          </w:p>
        </w:tc>
        <w:tc>
          <w:tcPr>
            <w:tcW w:w="1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2.7 %</w:t>
            </w:r>
          </w:p>
        </w:tc>
        <w:tc>
          <w:tcPr>
            <w:tcW w:w="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2.8 %</w:t>
            </w:r>
          </w:p>
        </w:tc>
        <w:tc>
          <w:tcPr>
            <w:tcW w:w="16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5.6 %</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0" w:type="dxa"/>
            <w:vAlign w:val="bottom"/>
          </w:tcPr>
          <w:p>
            <w:pPr>
              <w:spacing w:after="0"/>
              <w:rPr>
                <w:sz w:val="1"/>
                <w:szCs w:val="1"/>
                <w:color w:val="auto"/>
              </w:rPr>
            </w:pPr>
          </w:p>
        </w:tc>
      </w:tr>
      <w:tr>
        <w:trPr>
          <w:trHeight w:val="193"/>
        </w:trPr>
        <w:tc>
          <w:tcPr>
            <w:tcW w:w="3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60-89 days</w:t>
            </w:r>
          </w:p>
        </w:tc>
        <w:tc>
          <w:tcPr>
            <w:tcW w:w="1080" w:type="dxa"/>
            <w:vAlign w:val="bottom"/>
          </w:tcPr>
          <w:p>
            <w:pPr>
              <w:spacing w:after="0"/>
              <w:rPr>
                <w:sz w:val="16"/>
                <w:szCs w:val="16"/>
                <w:color w:val="auto"/>
              </w:rPr>
            </w:pPr>
          </w:p>
        </w:tc>
        <w:tc>
          <w:tcPr>
            <w:tcW w:w="1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2.2</w:t>
            </w:r>
          </w:p>
        </w:tc>
        <w:tc>
          <w:tcPr>
            <w:tcW w:w="1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w:t>
            </w:r>
          </w:p>
        </w:tc>
        <w:tc>
          <w:tcPr>
            <w:tcW w:w="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2.1</w:t>
            </w:r>
          </w:p>
        </w:tc>
        <w:tc>
          <w:tcPr>
            <w:tcW w:w="160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2.3</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3"/>
        </w:trPr>
        <w:tc>
          <w:tcPr>
            <w:tcW w:w="3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90 days or more</w:t>
            </w:r>
          </w:p>
        </w:tc>
        <w:tc>
          <w:tcPr>
            <w:tcW w:w="1080" w:type="dxa"/>
            <w:vAlign w:val="bottom"/>
          </w:tcPr>
          <w:p>
            <w:pPr>
              <w:spacing w:after="0"/>
              <w:rPr>
                <w:sz w:val="17"/>
                <w:szCs w:val="17"/>
                <w:color w:val="auto"/>
              </w:rPr>
            </w:pPr>
          </w:p>
        </w:tc>
        <w:tc>
          <w:tcPr>
            <w:tcW w:w="1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3.4</w:t>
            </w:r>
          </w:p>
        </w:tc>
        <w:tc>
          <w:tcPr>
            <w:tcW w:w="1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2.5</w:t>
            </w:r>
          </w:p>
        </w:tc>
        <w:tc>
          <w:tcPr>
            <w:tcW w:w="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3.4</w:t>
            </w:r>
          </w:p>
        </w:tc>
        <w:tc>
          <w:tcPr>
            <w:tcW w:w="160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7.3</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03"/>
        </w:trPr>
        <w:tc>
          <w:tcPr>
            <w:tcW w:w="32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tcPr>
          <w:p>
            <w:pPr>
              <w:spacing w:after="0"/>
              <w:rPr>
                <w:sz w:val="17"/>
                <w:szCs w:val="17"/>
                <w:color w:val="auto"/>
              </w:rPr>
            </w:pPr>
          </w:p>
        </w:tc>
        <w:tc>
          <w:tcPr>
            <w:tcW w:w="1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9.0 %</w:t>
            </w:r>
          </w:p>
        </w:tc>
        <w:tc>
          <w:tcPr>
            <w:tcW w:w="1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7.2 %</w:t>
            </w:r>
          </w:p>
        </w:tc>
        <w:tc>
          <w:tcPr>
            <w:tcW w:w="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8.3 %</w:t>
            </w:r>
          </w:p>
        </w:tc>
        <w:tc>
          <w:tcPr>
            <w:tcW w:w="16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15.2 %</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14.3 %</w:t>
            </w:r>
          </w:p>
        </w:tc>
        <w:tc>
          <w:tcPr>
            <w:tcW w:w="0" w:type="dxa"/>
            <w:vAlign w:val="bottom"/>
          </w:tcPr>
          <w:p>
            <w:pPr>
              <w:spacing w:after="0"/>
              <w:rPr>
                <w:sz w:val="1"/>
                <w:szCs w:val="1"/>
                <w:color w:val="auto"/>
              </w:rPr>
            </w:pPr>
          </w:p>
        </w:tc>
      </w:tr>
      <w:tr>
        <w:trPr>
          <w:trHeight w:val="203"/>
        </w:trPr>
        <w:tc>
          <w:tcPr>
            <w:tcW w:w="32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Average Days Outstanding</w:t>
            </w:r>
          </w:p>
        </w:tc>
        <w:tc>
          <w:tcPr>
            <w:tcW w:w="1080" w:type="dxa"/>
            <w:vAlign w:val="bottom"/>
          </w:tcPr>
          <w:p>
            <w:pPr>
              <w:spacing w:after="0"/>
              <w:rPr>
                <w:sz w:val="17"/>
                <w:szCs w:val="17"/>
                <w:color w:val="auto"/>
              </w:rPr>
            </w:pPr>
          </w:p>
        </w:tc>
        <w:tc>
          <w:tcPr>
            <w:tcW w:w="1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25.7</w:t>
            </w:r>
          </w:p>
        </w:tc>
        <w:tc>
          <w:tcPr>
            <w:tcW w:w="1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25.6</w:t>
            </w:r>
          </w:p>
        </w:tc>
        <w:tc>
          <w:tcPr>
            <w:tcW w:w="8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25.1</w:t>
            </w:r>
          </w:p>
        </w:tc>
        <w:tc>
          <w:tcPr>
            <w:tcW w:w="16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26.5</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0749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74920" cy="8255"/>
                    </a:xfrm>
                    <a:prstGeom prst="rect">
                      <a:avLst/>
                    </a:prstGeom>
                    <a:noFill/>
                  </pic:spPr>
                </pic:pic>
              </a:graphicData>
            </a:graphic>
          </wp:anchor>
        </w:drawing>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FFFFFF"/>
        </w:rPr>
        <w:t>'</w:t>
      </w:r>
      <w:r>
        <w:rPr>
          <w:rFonts w:ascii="Times New Roman" w:cs="Times New Roman" w:eastAsia="Times New Roman" w:hAnsi="Times New Roman"/>
          <w:sz w:val="14"/>
          <w:szCs w:val="14"/>
          <w:color w:val="000000"/>
        </w:rPr>
        <w:t>* Delinquency calculations are based on arrears, revenue, and write-off data provided by OG&amp;E.</w:t>
      </w:r>
    </w:p>
    <w:p>
      <w:pPr>
        <w:spacing w:after="0" w:line="3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Where to Find Additional Information About OG&amp;E and OGE Energy. </w:t>
      </w:r>
      <w:r>
        <w:rPr>
          <w:rFonts w:ascii="Times New Roman" w:cs="Times New Roman" w:eastAsia="Times New Roman" w:hAnsi="Times New Roman"/>
          <w:sz w:val="18"/>
          <w:szCs w:val="18"/>
          <w:color w:val="auto"/>
        </w:rPr>
        <w:t>OGE Energy files periodic reports with the SEC as required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Reports filed with the SEC are available for inspection without charge at the public reference room maintained by the SEC at 100 F Street, N.E., Washington, DC 20549. Copies of periodic reports and exhibits thereto may be obtained at the above location at prescribed rates. Information as to the operation of the public reference facilities is available by calling the SEC at 1-800-SEC-0330. Information filed with the SEC can also be inspected at the SEC's website, http://www.sec.gov. OGE Energy's filings are accessible at http://www.oge.com. Information on OGE Energy's website or filed with the SEC is not incorporated by reference into this Appendix A.</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2022-06-07T16:11:07Z</dcterms:created>
  <dcterms:modified xsi:type="dcterms:W3CDTF">2022-06-07T16:11:07Z</dcterms:modified>
</cp:coreProperties>
</file>