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ind w:left="3460"/>
        <w:spacing w:after="0"/>
        <w:rPr>
          <w:sz w:val="20"/>
          <w:szCs w:val="20"/>
          <w:color w:val="auto"/>
        </w:rPr>
      </w:pPr>
      <w:r>
        <w:rPr>
          <w:rFonts w:ascii="Arial" w:cs="Arial" w:eastAsia="Arial" w:hAnsi="Arial"/>
          <w:sz w:val="24"/>
          <w:szCs w:val="24"/>
          <w:b w:val="1"/>
          <w:bCs w:val="1"/>
          <w:color w:val="auto"/>
        </w:rPr>
        <w:t>FORM 8-K</w:t>
      </w:r>
    </w:p>
    <w:p>
      <w:pPr>
        <w:spacing w:after="0" w:line="26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9" w:lineRule="exact"/>
        <w:rPr>
          <w:sz w:val="24"/>
          <w:szCs w:val="24"/>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January 21,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2277745</wp:posOffset>
            </wp:positionH>
            <wp:positionV relativeFrom="paragraph">
              <wp:posOffset>19685</wp:posOffset>
            </wp:positionV>
            <wp:extent cx="3198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OKLAHOMA GAS AND ELECTRIC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471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3"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Oklahoma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471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3" w:lineRule="exact"/>
        <w:rPr>
          <w:sz w:val="24"/>
          <w:szCs w:val="24"/>
          <w:color w:val="auto"/>
        </w:rPr>
      </w:pPr>
    </w:p>
    <w:p>
      <w:pPr>
        <w:jc w:val="center"/>
        <w:ind w:right="1579"/>
        <w:spacing w:after="0"/>
        <w:rPr>
          <w:sz w:val="20"/>
          <w:szCs w:val="20"/>
          <w:color w:val="auto"/>
        </w:rPr>
      </w:pPr>
      <w:r>
        <w:rPr>
          <w:rFonts w:ascii="Arial" w:cs="Arial" w:eastAsia="Arial" w:hAnsi="Arial"/>
          <w:sz w:val="18"/>
          <w:szCs w:val="18"/>
          <w:color w:val="auto"/>
        </w:rPr>
        <w:t>(State or Other Jurisdiction of Incorporation)</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Borders>
              <w:bottom w:val="single" w:sz="8" w:color="auto"/>
            </w:tcBorders>
          </w:tcPr>
          <w:p>
            <w:pPr>
              <w:jc w:val="right"/>
              <w:ind w:right="2492"/>
              <w:spacing w:after="0"/>
              <w:rPr>
                <w:sz w:val="20"/>
                <w:szCs w:val="20"/>
                <w:color w:val="auto"/>
              </w:rPr>
            </w:pPr>
            <w:r>
              <w:rPr>
                <w:rFonts w:ascii="Arial" w:cs="Arial" w:eastAsia="Arial" w:hAnsi="Arial"/>
                <w:sz w:val="18"/>
                <w:szCs w:val="18"/>
                <w:color w:val="auto"/>
              </w:rPr>
              <w:t>1-1097</w:t>
            </w:r>
          </w:p>
        </w:tc>
        <w:tc>
          <w:tcPr>
            <w:tcW w:w="3520" w:type="dxa"/>
            <w:vAlign w:val="bottom"/>
            <w:tcBorders>
              <w:bottom w:val="single" w:sz="8" w:color="auto"/>
            </w:tcBorders>
          </w:tcPr>
          <w:p>
            <w:pPr>
              <w:jc w:val="right"/>
              <w:ind w:right="1532"/>
              <w:spacing w:after="0"/>
              <w:rPr>
                <w:sz w:val="20"/>
                <w:szCs w:val="20"/>
                <w:color w:val="auto"/>
              </w:rPr>
            </w:pPr>
            <w:r>
              <w:rPr>
                <w:rFonts w:ascii="Arial" w:cs="Arial" w:eastAsia="Arial" w:hAnsi="Arial"/>
                <w:sz w:val="18"/>
                <w:szCs w:val="18"/>
                <w:color w:val="auto"/>
              </w:rPr>
              <w:t>73-0382390</w:t>
            </w:r>
          </w:p>
        </w:tc>
      </w:tr>
      <w:tr>
        <w:trPr>
          <w:trHeight w:val="217"/>
        </w:trPr>
        <w:tc>
          <w:tcPr>
            <w:tcW w:w="5100" w:type="dxa"/>
            <w:vAlign w:val="bottom"/>
          </w:tcPr>
          <w:p>
            <w:pPr>
              <w:ind w:left="1300"/>
              <w:spacing w:after="0"/>
              <w:rPr>
                <w:sz w:val="20"/>
                <w:szCs w:val="20"/>
                <w:color w:val="auto"/>
              </w:rPr>
            </w:pPr>
            <w:r>
              <w:rPr>
                <w:rFonts w:ascii="Arial" w:cs="Arial" w:eastAsia="Arial" w:hAnsi="Arial"/>
                <w:sz w:val="18"/>
                <w:szCs w:val="18"/>
                <w:color w:val="auto"/>
              </w:rPr>
              <w:t>(Commission File Number)</w:t>
            </w:r>
          </w:p>
        </w:tc>
        <w:tc>
          <w:tcPr>
            <w:tcW w:w="3520" w:type="dxa"/>
            <w:vAlign w:val="bottom"/>
          </w:tcPr>
          <w:p>
            <w:pPr>
              <w:jc w:val="center"/>
              <w:ind w:right="492"/>
              <w:spacing w:after="0"/>
              <w:rPr>
                <w:sz w:val="20"/>
                <w:szCs w:val="20"/>
                <w:color w:val="auto"/>
              </w:rPr>
            </w:pPr>
            <w:r>
              <w:rPr>
                <w:rFonts w:ascii="Arial" w:cs="Arial" w:eastAsia="Arial" w:hAnsi="Arial"/>
                <w:sz w:val="18"/>
                <w:szCs w:val="18"/>
                <w:color w:val="auto"/>
                <w:w w:val="92"/>
              </w:rPr>
              <w:t>(IRS Employer Identification No.)</w:t>
            </w:r>
          </w:p>
        </w:tc>
      </w:tr>
      <w:tr>
        <w:trPr>
          <w:trHeight w:val="452"/>
        </w:trPr>
        <w:tc>
          <w:tcPr>
            <w:tcW w:w="5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321 North Harvey, P.O. Box 321, Oklahoma City, Oklahoma</w:t>
            </w:r>
          </w:p>
        </w:tc>
        <w:tc>
          <w:tcPr>
            <w:tcW w:w="352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rPr>
              <w:t>73101-0321</w:t>
            </w:r>
          </w:p>
        </w:tc>
      </w:tr>
      <w:tr>
        <w:trPr>
          <w:trHeight w:val="217"/>
        </w:trPr>
        <w:tc>
          <w:tcPr>
            <w:tcW w:w="5100" w:type="dxa"/>
            <w:vAlign w:val="bottom"/>
          </w:tcPr>
          <w:p>
            <w:pPr>
              <w:ind w:left="1300"/>
              <w:spacing w:after="0"/>
              <w:rPr>
                <w:sz w:val="20"/>
                <w:szCs w:val="20"/>
                <w:color w:val="auto"/>
              </w:rPr>
            </w:pPr>
            <w:r>
              <w:rPr>
                <w:rFonts w:ascii="Arial" w:cs="Arial" w:eastAsia="Arial" w:hAnsi="Arial"/>
                <w:sz w:val="18"/>
                <w:szCs w:val="18"/>
                <w:color w:val="auto"/>
              </w:rPr>
              <w:t>(Address of Principal Executive Offices)</w:t>
            </w:r>
          </w:p>
        </w:tc>
        <w:tc>
          <w:tcPr>
            <w:tcW w:w="3520" w:type="dxa"/>
            <w:vAlign w:val="bottom"/>
          </w:tcPr>
          <w:p>
            <w:pPr>
              <w:jc w:val="center"/>
              <w:ind w:left="292"/>
              <w:spacing w:after="0"/>
              <w:rPr>
                <w:sz w:val="20"/>
                <w:szCs w:val="20"/>
                <w:color w:val="auto"/>
              </w:rPr>
            </w:pPr>
            <w:r>
              <w:rPr>
                <w:rFonts w:ascii="Arial" w:cs="Arial" w:eastAsia="Arial" w:hAnsi="Arial"/>
                <w:sz w:val="18"/>
                <w:szCs w:val="18"/>
                <w:color w:val="auto"/>
                <w:w w:val="91"/>
              </w:rPr>
              <w:t>(Zip Code)</w:t>
            </w:r>
          </w:p>
        </w:tc>
      </w:tr>
      <w:tr>
        <w:trPr>
          <w:trHeight w:val="451"/>
        </w:trPr>
        <w:tc>
          <w:tcPr>
            <w:tcW w:w="5100" w:type="dxa"/>
            <w:vAlign w:val="bottom"/>
          </w:tcPr>
          <w:p>
            <w:pPr>
              <w:jc w:val="right"/>
              <w:ind w:right="192"/>
              <w:spacing w:after="0"/>
              <w:rPr>
                <w:sz w:val="20"/>
                <w:szCs w:val="20"/>
                <w:color w:val="auto"/>
              </w:rPr>
            </w:pPr>
            <w:r>
              <w:rPr>
                <w:rFonts w:ascii="Arial" w:cs="Arial" w:eastAsia="Arial" w:hAnsi="Arial"/>
                <w:sz w:val="18"/>
                <w:szCs w:val="18"/>
                <w:color w:val="auto"/>
              </w:rPr>
              <w:t>405-553-3000</w:t>
            </w:r>
          </w:p>
        </w:tc>
        <w:tc>
          <w:tcPr>
            <w:tcW w:w="35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5471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5471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2119" w:firstLine="689"/>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36" w:lineRule="exact"/>
        <w:rPr>
          <w:sz w:val="24"/>
          <w:szCs w:val="24"/>
          <w:color w:val="auto"/>
        </w:rPr>
      </w:pPr>
    </w:p>
    <w:p>
      <w:pPr>
        <w:ind w:left="300" w:hanging="195"/>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300" w:hanging="195"/>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63" w:lineRule="exact"/>
        <w:rPr>
          <w:rFonts w:ascii="Arial" w:cs="Arial" w:eastAsia="Arial" w:hAnsi="Arial"/>
          <w:sz w:val="22"/>
          <w:szCs w:val="22"/>
          <w:color w:val="auto"/>
        </w:rPr>
      </w:pPr>
    </w:p>
    <w:p>
      <w:pPr>
        <w:ind w:left="100" w:right="3719" w:firstLine="5"/>
        <w:spacing w:after="0" w:line="228" w:lineRule="auto"/>
        <w:tabs>
          <w:tab w:leader="none" w:pos="296"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100" w:right="3739" w:firstLine="5"/>
        <w:spacing w:after="0" w:line="228" w:lineRule="auto"/>
        <w:tabs>
          <w:tab w:leader="none" w:pos="296"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 Oklahoma Rate Case Filing</w:t>
      </w:r>
    </w:p>
    <w:p>
      <w:pPr>
        <w:spacing w:after="0" w:line="252" w:lineRule="exact"/>
        <w:rPr>
          <w:sz w:val="20"/>
          <w:szCs w:val="20"/>
          <w:color w:val="auto"/>
        </w:rPr>
      </w:pPr>
    </w:p>
    <w:p>
      <w:pPr>
        <w:jc w:val="both"/>
        <w:ind w:right="2099" w:firstLine="705"/>
        <w:spacing w:after="0" w:line="288" w:lineRule="auto"/>
        <w:rPr>
          <w:sz w:val="20"/>
          <w:szCs w:val="20"/>
          <w:color w:val="auto"/>
        </w:rPr>
      </w:pPr>
      <w:r>
        <w:rPr>
          <w:rFonts w:ascii="Arial" w:cs="Arial" w:eastAsia="Arial" w:hAnsi="Arial"/>
          <w:sz w:val="16"/>
          <w:szCs w:val="16"/>
          <w:color w:val="auto"/>
        </w:rPr>
        <w:t>On January 21, 2009, OGE Energy issued a press release announcing that Oklahoma Gas and Electric Company, an Oklahoma corporation (the “Company”) will make its planned Oklahoma rate case filing on or about February 26, 2009. On December 12, 2008, the Company filed notice with the Oklahoma Corporation Commission (“OCC”) of its intent to seek a change in its electric rates, anticipating a rate case filing no sooner than January 26, 2009. The Company is still preparing the rate case and, at this time, has not determined the amount of the expected increase it will request. The case is expected to proceed through the first half of 2009. If an increase is approved by the OCC, customers would not see it reflected in their electric rates until the August / September 2009 timeframe as previously announced. The related press release is furnished as Exhibit 99.01 and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(d) Exhibits</w:t>
            </w: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Exhibit Number</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720" w:type="dxa"/>
            <w:vAlign w:val="bottom"/>
          </w:tcPr>
          <w:p>
            <w:pPr>
              <w:spacing w:after="0"/>
              <w:rPr>
                <w:sz w:val="24"/>
                <w:szCs w:val="24"/>
                <w:color w:val="auto"/>
              </w:rPr>
            </w:pPr>
          </w:p>
        </w:tc>
      </w:tr>
      <w:tr>
        <w:trPr>
          <w:trHeight w:val="552"/>
        </w:trPr>
        <w:tc>
          <w:tcPr>
            <w:tcW w:w="1740" w:type="dxa"/>
            <w:vAlign w:val="bottom"/>
            <w:gridSpan w:val="3"/>
          </w:tcPr>
          <w:p>
            <w:pPr>
              <w:jc w:val="right"/>
              <w:ind w:right="180"/>
              <w:spacing w:after="0"/>
              <w:rPr>
                <w:sz w:val="20"/>
                <w:szCs w:val="20"/>
                <w:color w:val="auto"/>
              </w:rPr>
            </w:pPr>
            <w:r>
              <w:rPr>
                <w:rFonts w:ascii="Arial" w:cs="Arial" w:eastAsia="Arial" w:hAnsi="Arial"/>
                <w:sz w:val="18"/>
                <w:szCs w:val="18"/>
                <w:color w:val="auto"/>
              </w:rPr>
              <w:t>99.01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3"/>
          </w:tcPr>
          <w:p>
            <w:pPr>
              <w:ind w:left="200"/>
              <w:spacing w:after="0"/>
              <w:rPr>
                <w:sz w:val="20"/>
                <w:szCs w:val="20"/>
                <w:color w:val="auto"/>
              </w:rPr>
            </w:pPr>
            <w:r>
              <w:rPr>
                <w:rFonts w:ascii="Arial" w:cs="Arial" w:eastAsia="Arial" w:hAnsi="Arial"/>
                <w:sz w:val="18"/>
                <w:szCs w:val="18"/>
                <w:color w:val="auto"/>
              </w:rPr>
              <w:t>Press release dated January 21, 2009, announcing OG&amp;E plans to file</w:t>
            </w:r>
          </w:p>
        </w:tc>
      </w:tr>
      <w:tr>
        <w:trPr>
          <w:trHeight w:val="222"/>
        </w:trPr>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80" w:type="dxa"/>
            <w:vAlign w:val="bottom"/>
            <w:gridSpan w:val="3"/>
          </w:tcPr>
          <w:p>
            <w:pPr>
              <w:ind w:left="260"/>
              <w:spacing w:after="0"/>
              <w:rPr>
                <w:sz w:val="20"/>
                <w:szCs w:val="20"/>
                <w:color w:val="auto"/>
              </w:rPr>
            </w:pPr>
            <w:r>
              <w:rPr>
                <w:rFonts w:ascii="Arial" w:cs="Arial" w:eastAsia="Arial" w:hAnsi="Arial"/>
                <w:sz w:val="18"/>
                <w:szCs w:val="18"/>
                <w:color w:val="auto"/>
              </w:rPr>
              <w:t>Oklahoma rate case in late February.</w:t>
            </w:r>
          </w:p>
        </w:tc>
      </w:tr>
      <w:tr>
        <w:trPr>
          <w:trHeight w:val="512"/>
        </w:trPr>
        <w:tc>
          <w:tcPr>
            <w:tcW w:w="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22"/>
          <w:szCs w:val="22"/>
          <w:b w:val="1"/>
          <w:bCs w:val="1"/>
          <w:color w:val="auto"/>
        </w:rPr>
        <w:t>SIGNATURE</w:t>
      </w:r>
    </w:p>
    <w:p>
      <w:pPr>
        <w:spacing w:after="0" w:line="253" w:lineRule="exact"/>
        <w:rPr>
          <w:sz w:val="20"/>
          <w:szCs w:val="20"/>
          <w:color w:val="auto"/>
        </w:rPr>
      </w:pPr>
    </w:p>
    <w:p>
      <w:pPr>
        <w:ind w:right="2419" w:firstLine="51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0"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OKLAHOMA GAS AND ELECTRIC COMPANY</w:t>
      </w:r>
    </w:p>
    <w:p>
      <w:pPr>
        <w:spacing w:after="0" w:line="42"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ind w:left="308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19685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Scott Forbes</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Controller, Chief Accounting Officer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January 23, 2009</w:t>
      </w:r>
    </w:p>
    <w:p>
      <w:pPr>
        <w:sectPr>
          <w:pgSz w:w="11900" w:h="16838" w:orient="portrait"/>
          <w:cols w:equalWidth="0" w:num="1">
            <w:col w:w="10219"/>
          </w:cols>
          <w:pgMar w:left="240" w:top="111" w:right="1440" w:bottom="1440" w:gutter="0" w:footer="0" w:header="0"/>
        </w:sectPr>
      </w:pPr>
    </w:p>
    <w:bookmarkStart w:id="3" w:name="page4"/>
    <w:bookmarkEnd w:id="3"/>
    <w:p>
      <w:pPr>
        <w:jc w:val="right"/>
        <w:ind w:right="2099"/>
        <w:spacing w:after="0"/>
        <w:rPr>
          <w:sz w:val="20"/>
          <w:szCs w:val="20"/>
          <w:color w:val="auto"/>
        </w:rPr>
      </w:pPr>
      <w:r>
        <w:rPr>
          <w:rFonts w:ascii="Arial" w:cs="Arial" w:eastAsia="Arial" w:hAnsi="Arial"/>
          <w:sz w:val="18"/>
          <w:szCs w:val="18"/>
          <w:b w:val="1"/>
          <w:bCs w:val="1"/>
          <w:color w:val="auto"/>
        </w:rPr>
        <w:t>Exhibit 99.01</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OG&amp;E plans to file Oklahoma rate case in late February</w:t>
      </w:r>
    </w:p>
    <w:p>
      <w:pPr>
        <w:spacing w:after="0" w:line="27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OKLAHOMA CITY – OG&amp;E announced today that it will make its planned Oklahoma rate case filing on or about Feb. 26. OG&amp;E on Dec. 12 filed notice with the Oklahoma Corporation Commission of the company’s intent to seek a change in its electric rates, anticipating a rate case filing no sooner than Jan. 26.</w:t>
      </w:r>
    </w:p>
    <w:p>
      <w:pPr>
        <w:spacing w:after="0" w:line="188"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The company is preparing rate case documentation for a test year ended Sept. 30, 2008, and anticipates new Oklahoma rates, if approved, being implemented in the August – September 2009 timeframe as previously announced.</w:t>
      </w:r>
    </w:p>
    <w:p>
      <w:pPr>
        <w:spacing w:after="0" w:line="221" w:lineRule="exact"/>
        <w:rPr>
          <w:sz w:val="20"/>
          <w:szCs w:val="20"/>
          <w:color w:val="auto"/>
        </w:rPr>
      </w:pPr>
    </w:p>
    <w:p>
      <w:pPr>
        <w:jc w:val="both"/>
        <w:ind w:right="2119"/>
        <w:spacing w:after="0" w:line="306" w:lineRule="auto"/>
        <w:rPr>
          <w:sz w:val="20"/>
          <w:szCs w:val="20"/>
          <w:color w:val="auto"/>
        </w:rPr>
      </w:pPr>
      <w:r>
        <w:rPr>
          <w:rFonts w:ascii="Arial" w:cs="Arial" w:eastAsia="Arial" w:hAnsi="Arial"/>
          <w:sz w:val="16"/>
          <w:szCs w:val="16"/>
          <w:color w:val="auto"/>
        </w:rPr>
        <w:t>OG&amp;E, serving more than 769,000 customers in a service area spanning 30,000 square miles in Oklahoma and western Arkansas, is a subsidiary of OGE Energy Corp. (NYSE: OGE). OGE Energy also is the parent company of Enogex LLC, a midstream natural gas pipeline business with principal operations in Oklahoma.</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2019-12-10T02:18:04Z</dcterms:created>
  <dcterms:modified xsi:type="dcterms:W3CDTF">2019-12-10T02:18:04Z</dcterms:modified>
</cp:coreProperties>
</file>