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80"/>
          </w:cols>
          <w:pgMar w:left="580" w:top="205" w:right="1039" w:bottom="1440" w:gutter="0" w:footer="0" w:header="0"/>
        </w:sectPr>
      </w:pP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1243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information contained in this preliminary prospectus supplement is not complete and may be changed. This preliminary prospectus supplement and the accompanying prospectus are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 an effective registration statement filed with the Securities and Exchange Commission. This preliminary prospectus supplement and the accompanying prospectus are not an offer to</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notes and are not soliciting an offer to buy the notes in any jurisdiction where the offer or sale is not permitted.</w:t>
            </w:r>
          </w:p>
        </w:tc>
      </w:tr>
      <w:tr>
        <w:trPr>
          <w:trHeight w:val="27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6"/>
              </w:rPr>
              <w:t>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8"/>
              </w:rPr>
              <w:t>part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4"/>
              </w:rPr>
              <w:t>sell</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 Filed Pursuant to Rule 424(b)(5)​</w:t>
      </w:r>
    </w:p>
    <w:p>
      <w:pPr>
        <w:ind w:left="6140"/>
        <w:spacing w:after="0"/>
        <w:rPr>
          <w:sz w:val="20"/>
          <w:szCs w:val="20"/>
          <w:color w:val="auto"/>
        </w:rPr>
      </w:pPr>
      <w:r>
        <w:rPr>
          <w:rFonts w:ascii="Times New Roman" w:cs="Times New Roman" w:eastAsia="Times New Roman" w:hAnsi="Times New Roman"/>
          <w:sz w:val="16"/>
          <w:szCs w:val="16"/>
          <w:b w:val="1"/>
          <w:bCs w:val="1"/>
          <w:color w:val="auto"/>
        </w:rPr>
        <w:t> Registration Statement No. 333-279061-01​</w:t>
      </w:r>
    </w:p>
    <w:p>
      <w:pPr>
        <w:jc w:val="center"/>
        <w:ind w:right="80"/>
        <w:spacing w:after="0" w:line="238" w:lineRule="auto"/>
        <w:rPr>
          <w:sz w:val="20"/>
          <w:szCs w:val="20"/>
          <w:color w:val="auto"/>
        </w:rPr>
      </w:pPr>
      <w:r>
        <w:rPr>
          <w:rFonts w:ascii="Times New Roman" w:cs="Times New Roman" w:eastAsia="Times New Roman" w:hAnsi="Times New Roman"/>
          <w:sz w:val="17"/>
          <w:szCs w:val="17"/>
          <w:b w:val="1"/>
          <w:bCs w:val="1"/>
          <w:color w:val="FC0014"/>
        </w:rPr>
        <w:t>Subject to Completion,</w:t>
      </w:r>
    </w:p>
    <w:p>
      <w:pPr>
        <w:jc w:val="center"/>
        <w:ind w:right="40"/>
        <w:spacing w:after="0"/>
        <w:rPr>
          <w:sz w:val="20"/>
          <w:szCs w:val="20"/>
          <w:color w:val="auto"/>
        </w:rPr>
      </w:pPr>
      <w:r>
        <w:rPr>
          <w:rFonts w:ascii="Times New Roman" w:cs="Times New Roman" w:eastAsia="Times New Roman" w:hAnsi="Times New Roman"/>
          <w:sz w:val="17"/>
          <w:szCs w:val="17"/>
          <w:b w:val="1"/>
          <w:bCs w:val="1"/>
          <w:color w:val="FC0014"/>
        </w:rPr>
        <w:t>Preliminary Prospectus Supplement dated March 23, 2026</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May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1764665</wp:posOffset>
            </wp:positionH>
            <wp:positionV relativeFrom="paragraph">
              <wp:posOffset>73025</wp:posOffset>
            </wp:positionV>
            <wp:extent cx="225425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5425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OKLAHOMA GAS AND ELECTRIC COMPANY</w:t>
      </w:r>
    </w:p>
    <w:p>
      <w:pPr>
        <w:spacing w:after="0" w:line="6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6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 xml:space="preserve">              % Senior Notes, Series Due                      , 20   </w:t>
      </w:r>
    </w:p>
    <w:p>
      <w:pPr>
        <w:spacing w:after="0" w:line="84" w:lineRule="exact"/>
        <w:rPr>
          <w:sz w:val="24"/>
          <w:szCs w:val="24"/>
          <w:color w:val="auto"/>
        </w:rPr>
      </w:pPr>
    </w:p>
    <w:p>
      <w:pPr>
        <w:ind w:right="240" w:firstLine="360"/>
        <w:spacing w:after="0" w:line="243" w:lineRule="auto"/>
        <w:rPr>
          <w:sz w:val="20"/>
          <w:szCs w:val="20"/>
          <w:color w:val="auto"/>
        </w:rPr>
      </w:pPr>
      <w:r>
        <w:rPr>
          <w:rFonts w:ascii="Times New Roman" w:cs="Times New Roman" w:eastAsia="Times New Roman" w:hAnsi="Times New Roman"/>
          <w:sz w:val="17"/>
          <w:szCs w:val="17"/>
          <w:color w:val="auto"/>
        </w:rPr>
        <w:t xml:space="preserve">We are offering $          of our           % Senior Notes, Series due                      , 20    (the “Senior Notes”). We will pay interest on the Senior Notes semi-annually in arrears on                      and                      of each year, commencing                </w:t>
      </w:r>
    </w:p>
    <w:p>
      <w:pPr>
        <w:ind w:right="80"/>
        <w:spacing w:after="0"/>
        <w:tabs>
          <w:tab w:leader="none" w:pos="8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20    . The Senior Notes will mature on                      , 20    . We may redeem the Senior Notes, in whole or in part, at any time prior to maturity at the applicable redemption price described in this prospectus supplement under the caption “Supplemental Description of Senior Notes — Optional Redemption”. We may also redeem the Senior Notes, in whole but not in part, at a redemption price equal to 101% of the principal amount thereof if a Tax Credit Event (as defined herein) occurs. See in this prospectus supplement under the caption “Supplemental Description of Senior Notes — Tax Credit Event Redemption”.</w:t>
      </w:r>
    </w:p>
    <w:p>
      <w:pPr>
        <w:spacing w:after="0" w:line="206" w:lineRule="exact"/>
        <w:rPr>
          <w:sz w:val="24"/>
          <w:szCs w:val="24"/>
          <w:color w:val="auto"/>
        </w:rPr>
      </w:pPr>
    </w:p>
    <w:p>
      <w:pPr>
        <w:jc w:val="both"/>
        <w:ind w:right="140" w:firstLine="360"/>
        <w:spacing w:after="0" w:line="248" w:lineRule="auto"/>
        <w:rPr>
          <w:sz w:val="20"/>
          <w:szCs w:val="20"/>
          <w:color w:val="auto"/>
        </w:rPr>
      </w:pPr>
      <w:r>
        <w:rPr>
          <w:rFonts w:ascii="Times New Roman" w:cs="Times New Roman" w:eastAsia="Times New Roman" w:hAnsi="Times New Roman"/>
          <w:sz w:val="17"/>
          <w:szCs w:val="17"/>
          <w:color w:val="auto"/>
        </w:rPr>
        <w:t>Please read the information described under the captions “Supplemental Description of Senior Notes” in this prospectus supplement and “Description of Debt Securities” in the accompanying prospectus for a more detailed description of the terms of the Senior Notes.</w:t>
      </w:r>
    </w:p>
    <w:p>
      <w:pPr>
        <w:spacing w:after="0" w:line="25" w:lineRule="exact"/>
        <w:rPr>
          <w:sz w:val="24"/>
          <w:szCs w:val="24"/>
          <w:color w:val="auto"/>
        </w:rPr>
      </w:pPr>
    </w:p>
    <w:p>
      <w:pPr>
        <w:jc w:val="both"/>
        <w:ind w:right="340" w:firstLine="360"/>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Investing in our Senior Notes involves risks. See “Risk Factors” beginning on page </w:t>
      </w:r>
      <w:r>
        <w:rPr>
          <w:rFonts w:ascii="Times New Roman" w:cs="Times New Roman" w:eastAsia="Times New Roman" w:hAnsi="Times New Roman"/>
          <w:sz w:val="17"/>
          <w:szCs w:val="17"/>
          <w:b w:val="1"/>
          <w:bCs w:val="1"/>
          <w:u w:val="single" w:color="auto"/>
          <w:color w:val="0000EE"/>
        </w:rPr>
        <w:t>S-5</w:t>
      </w:r>
      <w:r>
        <w:rPr>
          <w:rFonts w:ascii="Times New Roman" w:cs="Times New Roman" w:eastAsia="Times New Roman" w:hAnsi="Times New Roman"/>
          <w:sz w:val="17"/>
          <w:szCs w:val="17"/>
          <w:b w:val="1"/>
          <w:bCs w:val="1"/>
          <w:color w:val="auto"/>
        </w:rPr>
        <w:t xml:space="preserve"> of this prospectus supplement and page </w:t>
      </w:r>
      <w:r>
        <w:rPr>
          <w:rFonts w:ascii="Times New Roman" w:cs="Times New Roman" w:eastAsia="Times New Roman" w:hAnsi="Times New Roman"/>
          <w:sz w:val="17"/>
          <w:szCs w:val="17"/>
          <w:b w:val="1"/>
          <w:bCs w:val="1"/>
          <w:u w:val="single" w:color="auto"/>
          <w:color w:val="0000EE"/>
        </w:rPr>
        <w:t>3</w:t>
      </w:r>
      <w:r>
        <w:rPr>
          <w:rFonts w:ascii="Times New Roman" w:cs="Times New Roman" w:eastAsia="Times New Roman" w:hAnsi="Times New Roman"/>
          <w:sz w:val="17"/>
          <w:szCs w:val="17"/>
          <w:b w:val="1"/>
          <w:bCs w:val="1"/>
          <w:color w:val="auto"/>
        </w:rPr>
        <w:t xml:space="preserve"> of the accompanying prospectus and the risk factors included in our periodic reports that we file with the Securities and Exchange Commission (the “SEC”) before you invest in the Senior Notes.</w:t>
      </w:r>
    </w:p>
    <w:p>
      <w:pPr>
        <w:spacing w:after="0" w:line="41" w:lineRule="exact"/>
        <w:rPr>
          <w:sz w:val="24"/>
          <w:szCs w:val="24"/>
          <w:color w:val="auto"/>
        </w:rPr>
      </w:pPr>
    </w:p>
    <w:p>
      <w:pPr>
        <w:ind w:right="260" w:firstLine="360"/>
        <w:spacing w:after="0" w:line="243" w:lineRule="auto"/>
        <w:rPr>
          <w:sz w:val="20"/>
          <w:szCs w:val="20"/>
          <w:color w:val="auto"/>
        </w:rPr>
      </w:pPr>
      <w:r>
        <w:rPr>
          <w:rFonts w:ascii="Times New Roman" w:cs="Times New Roman" w:eastAsia="Times New Roman" w:hAnsi="Times New Roman"/>
          <w:sz w:val="17"/>
          <w:szCs w:val="17"/>
          <w:color w:val="auto"/>
        </w:rPr>
        <w:t>The Senior Notes will be our senior unsecured obligations and, as described below under the caption “Supplemental Description of Senior Notes — Ranking; No Limitations on Liens or Sale and Lease-Back Transactions,” will rank equally with all of our other senior unsecured indebtedness. We currently have no outstanding debt obligations that will be junior to the Senior Notes.</w:t>
      </w:r>
    </w:p>
    <w:p>
      <w:pPr>
        <w:spacing w:after="0" w:line="32" w:lineRule="exact"/>
        <w:rPr>
          <w:sz w:val="24"/>
          <w:szCs w:val="24"/>
          <w:color w:val="auto"/>
        </w:rPr>
      </w:pPr>
    </w:p>
    <w:p>
      <w:pPr>
        <w:ind w:right="280" w:firstLine="360"/>
        <w:spacing w:after="0" w:line="264" w:lineRule="auto"/>
        <w:rPr>
          <w:sz w:val="20"/>
          <w:szCs w:val="20"/>
          <w:color w:val="auto"/>
        </w:rPr>
      </w:pPr>
      <w:r>
        <w:rPr>
          <w:rFonts w:ascii="Times New Roman" w:cs="Times New Roman" w:eastAsia="Times New Roman" w:hAnsi="Times New Roman"/>
          <w:sz w:val="17"/>
          <w:szCs w:val="17"/>
          <w:color w:val="auto"/>
        </w:rPr>
        <w:t>The Senior Notes are a new issue of securities with no established trading market. We do not intend to apply to list the Senior Notes on any securities exchange or to include the Senior Notes in any automated quotation system.</w:t>
      </w:r>
    </w:p>
    <w:p>
      <w:pPr>
        <w:spacing w:after="0" w:line="11" w:lineRule="exact"/>
        <w:rPr>
          <w:sz w:val="24"/>
          <w:szCs w:val="24"/>
          <w:color w:val="auto"/>
        </w:rPr>
      </w:pPr>
    </w:p>
    <w:p>
      <w:pPr>
        <w:jc w:val="both"/>
        <w:ind w:right="440" w:firstLine="360"/>
        <w:spacing w:after="0" w:line="250"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4" w:lineRule="exact"/>
        <w:rPr>
          <w:sz w:val="24"/>
          <w:szCs w:val="24"/>
          <w:color w:val="auto"/>
        </w:rPr>
      </w:pPr>
    </w:p>
    <w:p>
      <w:pPr>
        <w:ind w:right="60" w:firstLine="360"/>
        <w:spacing w:after="0" w:line="251" w:lineRule="auto"/>
        <w:rPr>
          <w:sz w:val="20"/>
          <w:szCs w:val="20"/>
          <w:color w:val="auto"/>
        </w:rPr>
      </w:pPr>
      <w:r>
        <w:rPr>
          <w:rFonts w:ascii="Times New Roman" w:cs="Times New Roman" w:eastAsia="Times New Roman" w:hAnsi="Times New Roman"/>
          <w:sz w:val="16"/>
          <w:szCs w:val="16"/>
          <w:b w:val="1"/>
          <w:bCs w:val="1"/>
          <w:color w:val="auto"/>
        </w:rPr>
        <w:t>This prospectus supplement and the accompanying prospectus are not intended to constitute an offer to, and the Senior Notes should not be purchased, held, or otherwise acquired by, a “specified foreign entity” as defined in Section 7701(a)(51)(B) of the Internal Revenue Code of 1986, as amended (an “SFE”). By purchasing Senior Notes, any investor in the Senior Notes (including all affiliated entities that participate in such purchase) will be deemed to represent and warrant to us that it is not, and will not be, for its taxable year that includes the date of the original issuance of the Senior Notes, an SFE.</w:t>
      </w:r>
    </w:p>
    <w:tbl>
      <w:tblPr>
        <w:tblLayout w:type="fixed"/>
        <w:tblInd w:w="0" w:type="dxa"/>
        <w:tblCellMar>
          <w:top w:w="0" w:type="dxa"/>
          <w:left w:w="0" w:type="dxa"/>
          <w:bottom w:w="0" w:type="dxa"/>
          <w:right w:w="0" w:type="dxa"/>
        </w:tblCellMar>
      </w:tblPr>
      <w:tr>
        <w:trPr>
          <w:trHeight w:val="146"/>
        </w:trPr>
        <w:tc>
          <w:tcPr>
            <w:tcW w:w="4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Proceeds,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Before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Public</w:t>
            </w:r>
            <w:r>
              <w:rPr>
                <w:rFonts w:ascii="Times New Roman" w:cs="Times New Roman" w:eastAsia="Times New Roman" w:hAnsi="Times New Roman"/>
                <w:sz w:val="15"/>
                <w:szCs w:val="15"/>
                <w:b w:val="1"/>
                <w:bCs w:val="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Discount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Expenses, to Us</w:t>
            </w:r>
            <w:r>
              <w:rPr>
                <w:rFonts w:ascii="Times New Roman" w:cs="Times New Roman" w:eastAsia="Times New Roman" w:hAnsi="Times New Roman"/>
                <w:sz w:val="17"/>
                <w:szCs w:val="17"/>
                <w:b w:val="1"/>
                <w:bCs w:val="1"/>
                <w:color w:val="auto"/>
                <w:w w:val="96"/>
                <w:vertAlign w:val="superscript"/>
              </w:rPr>
              <w:t>(1)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 xml:space="preserve">Per         % Senior Note, Series due                      , 20   </w:t>
            </w:r>
          </w:p>
        </w:tc>
        <w:tc>
          <w:tcPr>
            <w:tcW w:w="1100" w:type="dxa"/>
            <w:vAlign w:val="bottom"/>
            <w:vMerge w:val="restart"/>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95"/>
              </w:rPr>
              <w:t>​        %</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right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w w:val="99"/>
              </w:rPr>
              <w:t>​        %</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CCEEFF"/>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7"/>
                <w:szCs w:val="17"/>
                <w:color w:val="auto"/>
              </w:rPr>
              <w:t>​        %</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67"/>
        </w:trPr>
        <w:tc>
          <w:tcPr>
            <w:tcW w:w="49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580" w:type="dxa"/>
            <w:vAlign w:val="bottom"/>
            <w:tcBorders>
              <w:right w:val="single" w:sz="8" w:color="CCEEFF"/>
            </w:tcBorders>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720" w:type="dxa"/>
            <w:vAlign w:val="bottom"/>
            <w:tcBorders>
              <w:right w:val="single" w:sz="8" w:color="CCEEFF"/>
            </w:tcBorders>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xml:space="preserve">​ ​$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 xml:space="preserve">​$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 xml:space="preserve">​$       </w:t>
            </w: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0577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577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138430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8" w:lineRule="exact"/>
        <w:rPr>
          <w:sz w:val="24"/>
          <w:szCs w:val="24"/>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Plus accrued interest from                      , 2026, if settlement occurs after that date.</w:t>
      </w:r>
    </w:p>
    <w:p>
      <w:pPr>
        <w:spacing w:after="0" w:line="73" w:lineRule="exact"/>
        <w:rPr>
          <w:sz w:val="24"/>
          <w:szCs w:val="24"/>
          <w:color w:val="auto"/>
        </w:rPr>
      </w:pPr>
    </w:p>
    <w:p>
      <w:pPr>
        <w:ind w:right="180" w:firstLine="360"/>
        <w:spacing w:after="0" w:line="248" w:lineRule="auto"/>
        <w:rPr>
          <w:sz w:val="20"/>
          <w:szCs w:val="20"/>
          <w:color w:val="auto"/>
        </w:rPr>
      </w:pPr>
      <w:r>
        <w:rPr>
          <w:rFonts w:ascii="Times New Roman" w:cs="Times New Roman" w:eastAsia="Times New Roman" w:hAnsi="Times New Roman"/>
          <w:sz w:val="17"/>
          <w:szCs w:val="17"/>
          <w:color w:val="auto"/>
        </w:rPr>
        <w:t xml:space="preserve">The underwriters expect to deliver the Senior Notes in book-entry form only through the facilities of The Depository Trust Company (“DTC”) for the accounts of its participants, including Clearstream Banking,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and Euroclear Bank S.A./N.V., against payment therefor on or about                      , 2026.</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Joint Book-Running Managers</w:t>
      </w:r>
    </w:p>
    <w:p>
      <w:pPr>
        <w:spacing w:after="0" w:line="157" w:lineRule="exact"/>
        <w:rPr>
          <w:sz w:val="24"/>
          <w:szCs w:val="24"/>
          <w:color w:val="auto"/>
        </w:rPr>
      </w:pPr>
    </w:p>
    <w:p>
      <w:pPr>
        <w:jc w:val="center"/>
        <w:spacing w:after="0" w:line="334" w:lineRule="auto"/>
        <w:rPr>
          <w:sz w:val="20"/>
          <w:szCs w:val="20"/>
          <w:color w:val="auto"/>
        </w:rPr>
      </w:pPr>
      <w:r>
        <w:rPr>
          <w:rFonts w:ascii="Times New Roman" w:cs="Times New Roman" w:eastAsia="Times New Roman" w:hAnsi="Times New Roman"/>
          <w:sz w:val="29"/>
          <w:szCs w:val="29"/>
          <w:b w:val="1"/>
          <w:bCs w:val="1"/>
          <w:color w:val="auto"/>
        </w:rPr>
        <w:t>​Barclays​ ​ BofA Securities ​ ​ PNC Capital Markets LLC ​ ​ Scotiabank​ US Bancorp</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Co-Managers</w:t>
      </w:r>
    </w:p>
    <w:p>
      <w:pPr>
        <w:spacing w:after="0" w:line="2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-720725</wp:posOffset>
            </wp:positionH>
            <wp:positionV relativeFrom="paragraph">
              <wp:posOffset>254000</wp:posOffset>
            </wp:positionV>
            <wp:extent cx="68065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900" w:space="240"/>
            <w:col w:w="914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the accompanying prospectus and any free writing prospectus we may provide to you.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contained in or incorporated by reference into this prospectus supplement, the accompanying prospectus or in any free writing prospectus that we may provide to you is accurate only as of the date on the front cover of those documents. Our business, financial condition, results of operations and prospects may have changed since those dates.</w:t>
      </w:r>
    </w:p>
    <w:p>
      <w:pPr>
        <w:spacing w:after="0" w:line="12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Persons outside the United States who come into possession of this prospectus supplement and the accompanying prospectus must inform themselves about and observe any restrictions relating to the offering of the Senior Notes and the distribution of this prospectus supplement and the accompanying prospectus outside the United States.</w:t>
      </w:r>
    </w:p>
    <w:p>
      <w:pPr>
        <w:spacing w:after="0" w:line="11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of the Senior Notes in certain jurisdictions may be restricted by law. This prospectus supplement and the accompanying prospectus do not constitute an offer, solicitation or an invitation on our behalf or the underwriters or any of them, to subscribe to or purchase any of the Senior Notes, and may not be used for or in connection with an offer or solicitation by anyone, in any jurisdiction in which such an offer or solicitation is not authorized or in which the person making such offer or solicitation is not qualified to do so or to any person to whom it is unlawful to make such an offer or solicitation. See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29"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 SUPPLEMENT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SUPPLEMENT SUMMARY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SUPPLEMENTAL DESCRIPTION OF SENIOR NOTES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CERTAIN U.S. FEDERAL INCOME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SELLING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CONFLICTS OF INTEREST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OPINIONS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OKLAHOMA</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GAS AND ELECTRIC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BOOK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-ENTRY SYSTEM</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OPINIONS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S-iii</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S-iv</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S-5</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w:t>
      </w:r>
    </w:p>
    <w:p>
      <w:pPr>
        <w:sectPr>
          <w:pgSz w:w="11900" w:h="16838" w:orient="portrait"/>
          <w:cols w:equalWidth="0" w:num="2">
            <w:col w:w="8160" w:space="720"/>
            <w:col w:w="99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incorporate important business and financial information about us that is not included in or delivered with these documents. This information is available without charge upon written or oral request as described under the caption “Where You Can Find More Information” in this prospectus supplement. In this prospectus supplement, “we,” “us,” “our” and “our company” refer to Oklahoma Gas and Electric Company, and “underwriters” refers to the firms listed on the front cover of this prospectus supplement.</w:t>
      </w:r>
    </w:p>
    <w:p>
      <w:pPr>
        <w:spacing w:after="0" w:line="18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This prospectus supplement is a supplement to the accompanying prospectus that also is a part of this document. The accompanying prospectus is part of a registration statement that we filed with the SEC using a “shelf” registration process. Under this process, we may sell an unspecified amount of the securities described in the accompanying prospectus, of which this offering is a part. This prospectus supplement provides you with specific information about the terms of this offering. Both this prospectus supplement and the accompanying prospectus include important information about us, our Senior Notes and other information you should know before investing in our Senior Notes. This prospectus supplement also adds, updates and changes information contained in the accompanying prospectus. To the extent that any statement that we make in this prospectus supplement is inconsistent with the statements made in the accompanying prospectus, the statements made in the accompanying prospectus are deemed modified or superseded by the statements made in this prospectus supplement. You should read both this prospectus supplement and the accompanying prospectus together with the additional information described under the heading “Where You Can Find More Information” in this prospectus supplement before investing in our Senior Notes. For more details, you should read the exhibits filed with the registration statement of which this prospectus supplement and the accompanying prospectus are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Except for the historical statements contained herein and therein, the matters discussed in this prospectus supplement, the accompanying prospectus and the documents incorporated by reference are forward -looking statements that are subject to certain risks, uncertainties and assumptions. Such forward-looking statements generally can be identified in this document by the words “anticipate,” “believe,” “estimate,” “expect,” “forecast,” “intend,” “objective,” “plan,” “possible,” “potential,” “project,” “target” and similar expressions. Actual results may vary materially from those expressed in forward-looking statements. In addition to the specific risk factors discussed in “Risk Factors” in this prospectus supplement, the accompanying prospectus and the documents incorporated by reference, factors that could cause actual results to differ materially from the forward-looking statements include, but are not limited to:</w:t>
      </w:r>
    </w:p>
    <w:p>
      <w:pPr>
        <w:spacing w:after="0" w:line="77" w:lineRule="exact"/>
        <w:rPr>
          <w:sz w:val="20"/>
          <w:szCs w:val="20"/>
          <w:color w:val="auto"/>
        </w:rPr>
      </w:pPr>
    </w:p>
    <w:p>
      <w:pPr>
        <w:ind w:left="1800" w:right="67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the availability of credit, access to existing lines of credit, access to the commercial paper markets, actions of rating agencies and inflation rates, and their impact on capital expenditures;</w:t>
      </w:r>
    </w:p>
    <w:p>
      <w:pPr>
        <w:spacing w:after="0" w:line="54"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parent company, OGE Energy Corp. (“OGE Energy”), to access the capital markets and obtain financing on favorable terms, as well as inflation rates and monetary fluctuations;</w:t>
      </w:r>
    </w:p>
    <w:p>
      <w:pPr>
        <w:spacing w:after="0" w:line="67"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timely and sufficient rate relief to allow for recovery of items such as capital expenditures, fuel and purchased power costs, operating costs, transmission costs and deferred expenditures;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and availability of electricity, coal and natural gas;</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including the extent and timing of the entry of additional competition in the markets we serve, potentially through deregulation;</w:t>
      </w:r>
    </w:p>
    <w:p>
      <w:pPr>
        <w:spacing w:after="0" w:line="40"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demand for our services resulting from cost-competitive advances in technology, such as distributed electricity generation and customer energy efficiency programs;</w:t>
      </w:r>
    </w:p>
    <w:p>
      <w:pPr>
        <w:spacing w:after="0" w:line="5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 changing markets and other factors that result in competitive disadvantages and create the potential for impairment of existing assets;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utility operations such as unusual weather conditions; catastrophic weather-related damage; unscheduled generation outages; unusual maintenance or repairs; unanticipated changes to fossil fuel, natural gas or coal supply costs or availability due to higher demand, shortages, transportation problems or other developments; environmental incidents; or electric transmission or gas pipeline system constraints;</w:t>
      </w:r>
    </w:p>
    <w:p>
      <w:pPr>
        <w:spacing w:after="0" w:line="6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prices of raw materials and equipment for current and future construction projects;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75"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retroactive pricing of transactions in the Southwest Power Pool markets, adjustments in market pricing mechanisms by the Southwest Power Pool, or allocation of transmission upgrade costs;</w:t>
      </w:r>
    </w:p>
    <w:p>
      <w:pPr>
        <w:spacing w:after="0" w:line="281"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or state legislation and regulatory decisions and initiatives that affect cost and investment recovery, have an impact on rate structures or affect the speed and degree to which competition enters our markets;</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safety laws or other regulations that may impact the cost of operations, restrict or change the way our facilities are operated or result in stranded assets;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future capacity requirements mandated by the Southwest Power Pool, which could be impacted by future load growth, environmental regulations, and the availability of resources;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rules or guidelines;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discontinuance of accounting principles for certain types of rate-regulated activities;</w:t>
      </w:r>
    </w:p>
    <w:p>
      <w:pPr>
        <w:spacing w:after="0" w:line="10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protecting assets against, or damage due to, terrorism or cyberattacks, including losing control of our assets and potential ransoms, and other catastrophic events;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coverage and terms of insurance;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61"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use, perception or regulation of generative artificial intelligence technologies, which could limit our ability to utilize such technology, create risk of enhanced regulatory scrutiny, generate uncertainty around intellectual property ownership, licensing or use, or which could otherwise result in risk of damage to our business, reputation or financial results;</w:t>
      </w:r>
    </w:p>
    <w:p>
      <w:pPr>
        <w:spacing w:after="0" w:line="71"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suppliers, customers and other contractual parties, including large, new customers from industries such as cryptocurrency and data centers;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attitudes regarding the electric utility and power industries;</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suitable investment opportunities to enhance shareholder returns and achieve long-term financial objectives through business acquisitions and divestitures;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pension and healthcare costs;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global events that could adversely affect and/or exacerbate macroeconomic conditions, including inflationary pressures, interest rate fluctuations, supply chain disruptions, economic recessions, pandemic health events, tariffs and uncertainty surrounding continued hostilities or sustained military campaigns, and their collateral consequences;</w:t>
      </w:r>
    </w:p>
    <w:p>
      <w:pPr>
        <w:spacing w:after="0" w:line="71" w:lineRule="exact"/>
        <w:rPr>
          <w:rFonts w:ascii="Times New Roman" w:cs="Times New Roman" w:eastAsia="Times New Roman" w:hAnsi="Times New Roman"/>
          <w:sz w:val="18"/>
          <w:szCs w:val="18"/>
          <w:color w:val="auto"/>
        </w:rPr>
      </w:pPr>
    </w:p>
    <w:p>
      <w:pPr>
        <w:jc w:val="both"/>
        <w:ind w:left="1800" w:right="6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other effects of legal and administrative proceedings, settlements, investigations, claims and matters, including, but not limited to, those described in the reports we file with the SEC;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listed in the reports we file with the SEC.</w:t>
      </w:r>
    </w:p>
    <w:p>
      <w:pPr>
        <w:spacing w:after="0" w:line="158" w:lineRule="exact"/>
        <w:rPr>
          <w:sz w:val="20"/>
          <w:szCs w:val="20"/>
          <w:color w:val="auto"/>
        </w:rPr>
      </w:pPr>
    </w:p>
    <w:p>
      <w:pPr>
        <w:ind w:left="1260" w:right="419" w:firstLine="360"/>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In light of these risks and uncertainties, there can be no assurance that the results and events contemplated by the forward-looking statements contained in or incorporated by reference in this prospectus supplement and the accompanying prospectus will in fact transpire. You are cautioned not to place undue reliance on these forward-looking statements, which speak only as of their dates. We undertake no obligation to publicly update or revise any forward-looking statements, whether as a result of new information, future events or otherwise. These risks and uncertainties are discussed in more detail under the sections entitled “Business,” “Risk Factors,” “Management’s Discussion and Analysis of Financial </w:t>
      </w:r>
      <w:hyperlink r:id="rId29">
        <w:r>
          <w:rPr>
            <w:rFonts w:ascii="Times New Roman" w:cs="Times New Roman" w:eastAsia="Times New Roman" w:hAnsi="Times New Roman"/>
            <w:sz w:val="18"/>
            <w:szCs w:val="18"/>
            <w:color w:val="auto"/>
          </w:rPr>
          <w:t xml:space="preserve">Condition and Results of Operations” and “Combined Notes to Financial Statements” in our </w:t>
        </w:r>
        <w:r>
          <w:rPr>
            <w:rFonts w:ascii="Times New Roman" w:cs="Times New Roman" w:eastAsia="Times New Roman" w:hAnsi="Times New Roman"/>
            <w:sz w:val="18"/>
            <w:szCs w:val="18"/>
            <w:u w:val="single" w:color="auto"/>
            <w:color w:val="0000EE"/>
          </w:rPr>
          <w:t>Annual Report</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EE"/>
          </w:rPr>
          <w:t>on Form 10-K for the year ended December 31,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in other documents on file with the SEC. You may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obtain copies of these documents as described under “Where You Can Find More Information”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3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together with the more detailed information and financial statements contained in or incorporated by reference in this prospectus supplement and the accompanying prospectus.</w:t>
      </w:r>
    </w:p>
    <w:p>
      <w:pPr>
        <w:spacing w:after="0" w:line="17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Oklahoma Gas and Electric Company</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162" w:lineRule="exact"/>
        <w:rPr>
          <w:sz w:val="20"/>
          <w:szCs w:val="20"/>
          <w:color w:val="auto"/>
        </w:rPr>
      </w:pPr>
    </w:p>
    <w:p>
      <w:pPr>
        <w:ind w:left="1280" w:right="459" w:firstLine="360"/>
        <w:spacing w:after="0" w:line="256" w:lineRule="auto"/>
        <w:rPr>
          <w:sz w:val="20"/>
          <w:szCs w:val="20"/>
          <w:color w:val="auto"/>
        </w:rPr>
      </w:pPr>
      <w:r>
        <w:rPr>
          <w:rFonts w:ascii="Times New Roman" w:cs="Times New Roman" w:eastAsia="Times New Roman" w:hAnsi="Times New Roman"/>
          <w:sz w:val="18"/>
          <w:szCs w:val="18"/>
          <w:color w:val="auto"/>
        </w:rPr>
        <w:t>We generate, transmit, distribute and sell electric energy in Oklahoma and western Arkansas. Our rates are subject to regulation by the Oklahoma Corporation Commission, the Arkansas Public Service Commission and the Federal Energy Regulatory Commission. We were incorporated in 1902 under the laws of the Oklahoma Territory. We are the largest electric company in Oklahoma and our franchised service territory includes Fort Smith, Arkansas and the surrounding communities. We sold our retail natural gas business in 1928 and are no longer engaged in the natural gas distribution business. We are a wholly-owned subsidiary of OGE Energy.</w:t>
      </w:r>
    </w:p>
    <w:p>
      <w:pPr>
        <w:spacing w:after="0" w:line="322" w:lineRule="exact"/>
        <w:rPr>
          <w:sz w:val="20"/>
          <w:szCs w:val="20"/>
          <w:color w:val="auto"/>
        </w:rPr>
      </w:pPr>
    </w:p>
    <w:p>
      <w:pPr>
        <w:ind w:left="1280" w:right="519" w:firstLine="360"/>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321 North Harvey, P.O. Box 321, Oklahoma City, Oklahoma 73101-0321. Our telephone number is (405) 553-3000. OGE Energy’s website address is www.oge.com. OGE Energy’s website address is provided for informational purposes only. No information contained in, or that can be accessed through, the website is to be considered part of this prospectus supplement or the accompanying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25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516245" cy="822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2" w:lineRule="exact"/>
        <w:rPr>
          <w:sz w:val="20"/>
          <w:szCs w:val="20"/>
          <w:color w:val="auto"/>
        </w:rPr>
      </w:pPr>
    </w:p>
    <w:p>
      <w:pPr>
        <w:ind w:left="128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summary contains basic information about this offering. Because this is only a summary, it does not contain all of the information that may be important to you. For a more complete understanding of this offering, we encourage you to read this entire prospectus supplement, including the information contained under the heading “Supplemental Description of Senior Notes,” the accompanying prospectus, including the information contained under the heading “Description of Debt Securities,” and the documents referred to in this prospectus supplement and the accompanying prospectus.</w:t>
      </w:r>
    </w:p>
    <w:p>
      <w:pPr>
        <w:spacing w:after="0" w:line="82"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Oklahoma Gas and Electric Company.</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Securities Offered</w:t>
      </w:r>
      <w:r>
        <w:rPr>
          <w:sz w:val="20"/>
          <w:szCs w:val="20"/>
          <w:color w:val="auto"/>
        </w:rPr>
        <w:tab/>
      </w:r>
      <w:r>
        <w:rPr>
          <w:rFonts w:ascii="Times New Roman" w:cs="Times New Roman" w:eastAsia="Times New Roman" w:hAnsi="Times New Roman"/>
          <w:sz w:val="18"/>
          <w:szCs w:val="18"/>
          <w:color w:val="auto"/>
        </w:rPr>
        <w:t>$              principal amount of           % Senior Notes, Series due</w:t>
      </w:r>
    </w:p>
    <w:p>
      <w:pPr>
        <w:spacing w:after="0" w:line="2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                , 20    .</w:t>
      </w:r>
    </w:p>
    <w:p>
      <w:pPr>
        <w:spacing w:after="0" w:line="99"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Maturity</w:t>
      </w:r>
      <w:r>
        <w:rPr>
          <w:sz w:val="20"/>
          <w:szCs w:val="20"/>
          <w:color w:val="auto"/>
        </w:rPr>
        <w:tab/>
      </w:r>
      <w:r>
        <w:rPr>
          <w:rFonts w:ascii="Times New Roman" w:cs="Times New Roman" w:eastAsia="Times New Roman" w:hAnsi="Times New Roman"/>
          <w:sz w:val="18"/>
          <w:szCs w:val="18"/>
          <w:color w:val="auto"/>
        </w:rPr>
        <w:t>                     , 20    .</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Interest Rate</w:t>
      </w:r>
      <w:r>
        <w:rPr>
          <w:sz w:val="20"/>
          <w:szCs w:val="20"/>
          <w:color w:val="auto"/>
        </w:rPr>
        <w:tab/>
      </w:r>
      <w:r>
        <w:rPr>
          <w:rFonts w:ascii="Times New Roman" w:cs="Times New Roman" w:eastAsia="Times New Roman" w:hAnsi="Times New Roman"/>
          <w:sz w:val="17"/>
          <w:szCs w:val="17"/>
          <w:color w:val="auto"/>
        </w:rPr>
        <w:t>          % per year.</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Interest Payment Dates</w:t>
      </w:r>
      <w:r>
        <w:rPr>
          <w:sz w:val="20"/>
          <w:szCs w:val="20"/>
          <w:color w:val="auto"/>
        </w:rPr>
        <w:tab/>
      </w:r>
      <w:r>
        <w:rPr>
          <w:rFonts w:ascii="Times New Roman" w:cs="Times New Roman" w:eastAsia="Times New Roman" w:hAnsi="Times New Roman"/>
          <w:sz w:val="18"/>
          <w:szCs w:val="18"/>
          <w:color w:val="auto"/>
        </w:rPr>
        <w:t>              and             of each year, beginning on                      ,</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20    .</w:t>
      </w:r>
    </w:p>
    <w:p>
      <w:pPr>
        <w:spacing w:after="0" w:line="99"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Ranking</w:t>
      </w:r>
      <w:r>
        <w:rPr>
          <w:sz w:val="20"/>
          <w:szCs w:val="20"/>
          <w:color w:val="auto"/>
        </w:rPr>
        <w:tab/>
      </w:r>
      <w:r>
        <w:rPr>
          <w:rFonts w:ascii="Times New Roman" w:cs="Times New Roman" w:eastAsia="Times New Roman" w:hAnsi="Times New Roman"/>
          <w:sz w:val="18"/>
          <w:szCs w:val="18"/>
          <w:color w:val="auto"/>
        </w:rPr>
        <w:t>The Senior Notes will be our senior unsecured obligations and will</w:t>
      </w:r>
    </w:p>
    <w:p>
      <w:pPr>
        <w:spacing w:after="0" w:line="27" w:lineRule="exact"/>
        <w:rPr>
          <w:sz w:val="20"/>
          <w:szCs w:val="20"/>
          <w:color w:val="auto"/>
        </w:rPr>
      </w:pPr>
    </w:p>
    <w:p>
      <w:pPr>
        <w:ind w:left="4300" w:right="399"/>
        <w:spacing w:after="0" w:line="251" w:lineRule="auto"/>
        <w:rPr>
          <w:sz w:val="20"/>
          <w:szCs w:val="20"/>
          <w:color w:val="auto"/>
        </w:rPr>
      </w:pPr>
      <w:r>
        <w:rPr>
          <w:rFonts w:ascii="Times New Roman" w:cs="Times New Roman" w:eastAsia="Times New Roman" w:hAnsi="Times New Roman"/>
          <w:sz w:val="18"/>
          <w:szCs w:val="18"/>
          <w:color w:val="auto"/>
        </w:rPr>
        <w:t>rank equally with all of our other senior unsecured indebtedness. We currently have no outstanding debt obligations that will be junior to the Senior Notes. The Indenture under which the Senior Notes will be issued will not prevent us from incurring additional indebtedness, which may be secured by some or all of our assets. As of the date of this prospectus supplement, we do not have any plans to issue secured indebtedness. See “Risk Factors” and “Supplemental Description of Senior Notes — Ranking; No Limitations on Liens or Sale and Lease-Back Transactions” for more information.</w:t>
      </w:r>
    </w:p>
    <w:p>
      <w:pPr>
        <w:spacing w:after="0" w:line="301"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Optional Redemption</w:t>
      </w:r>
      <w:r>
        <w:rPr>
          <w:sz w:val="20"/>
          <w:szCs w:val="20"/>
          <w:color w:val="auto"/>
        </w:rPr>
        <w:tab/>
      </w:r>
      <w:r>
        <w:rPr>
          <w:rFonts w:ascii="Times New Roman" w:cs="Times New Roman" w:eastAsia="Times New Roman" w:hAnsi="Times New Roman"/>
          <w:sz w:val="18"/>
          <w:szCs w:val="18"/>
          <w:color w:val="auto"/>
        </w:rPr>
        <w:t xml:space="preserve">At any time prior to                     , 20    (the date that is            </w:t>
      </w:r>
    </w:p>
    <w:p>
      <w:pPr>
        <w:spacing w:after="0" w:line="27" w:lineRule="exact"/>
        <w:rPr>
          <w:sz w:val="20"/>
          <w:szCs w:val="20"/>
          <w:color w:val="auto"/>
        </w:rPr>
      </w:pPr>
    </w:p>
    <w:p>
      <w:pPr>
        <w:ind w:left="4300" w:right="439"/>
        <w:spacing w:after="0" w:line="251" w:lineRule="auto"/>
        <w:rPr>
          <w:sz w:val="20"/>
          <w:szCs w:val="20"/>
          <w:color w:val="auto"/>
        </w:rPr>
      </w:pPr>
      <w:r>
        <w:rPr>
          <w:rFonts w:ascii="Times New Roman" w:cs="Times New Roman" w:eastAsia="Times New Roman" w:hAnsi="Times New Roman"/>
          <w:sz w:val="18"/>
          <w:szCs w:val="18"/>
          <w:color w:val="auto"/>
        </w:rPr>
        <w:t>months prior to the maturity date of the Senior Notes (the “Par Call Date”)), we may redeem the Senior Notes, in whole or from time to time in part, at our option, at a “make-whole” redemption price equal to the greater of (1) 100% of the principal amount of the Senior Notes being redeemed or (2) (a) the sum of the present values of the remaining scheduled payments of principal and interest on the Senior Notes being redeemed discounted to the redemption date (assuming the Senior Notes matured on the Par Call Date) on a semi-annual basis (assuming a 360-day year consisting of twelve 30- day months) at the treasury rate (as defined herein) plus         basis points less (b) interest accrued to the date fixed for redemption, plus, in each case, accrued and unpaid interest thereon to the date fixed for redemption.</w:t>
      </w:r>
    </w:p>
    <w:p>
      <w:pPr>
        <w:spacing w:after="0" w:line="341" w:lineRule="exact"/>
        <w:rPr>
          <w:sz w:val="20"/>
          <w:szCs w:val="20"/>
          <w:color w:val="auto"/>
        </w:rPr>
      </w:pPr>
    </w:p>
    <w:p>
      <w:pPr>
        <w:ind w:left="4300" w:right="399"/>
        <w:spacing w:after="0" w:line="261" w:lineRule="auto"/>
        <w:rPr>
          <w:sz w:val="20"/>
          <w:szCs w:val="20"/>
          <w:color w:val="auto"/>
        </w:rPr>
      </w:pPr>
      <w:r>
        <w:rPr>
          <w:rFonts w:ascii="Times New Roman" w:cs="Times New Roman" w:eastAsia="Times New Roman" w:hAnsi="Times New Roman"/>
          <w:sz w:val="18"/>
          <w:szCs w:val="18"/>
          <w:color w:val="auto"/>
        </w:rPr>
        <w:t>At any time on or after the Par Call Date, we may redeem the Senior Notes, in whole or from time to time in part, at our option, at a</w:t>
      </w:r>
    </w:p>
    <w:p>
      <w:pPr>
        <w:ind w:left="4300"/>
        <w:spacing w:after="0"/>
        <w:rPr>
          <w:sz w:val="20"/>
          <w:szCs w:val="20"/>
          <w:color w:val="auto"/>
        </w:rPr>
      </w:pPr>
      <w:r>
        <w:rPr>
          <w:rFonts w:ascii="Times New Roman" w:cs="Times New Roman" w:eastAsia="Times New Roman" w:hAnsi="Times New Roman"/>
          <w:sz w:val="18"/>
          <w:szCs w:val="18"/>
          <w:color w:val="auto"/>
        </w:rPr>
        <w:t>redemption price equal to 100% of the principal amount of the</w:t>
      </w:r>
    </w:p>
    <w:p>
      <w:pPr>
        <w:spacing w:after="0" w:line="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Senior Notes being redeemed, plus accrued and unpaid interest</w:t>
      </w:r>
    </w:p>
    <w:p>
      <w:pPr>
        <w:spacing w:after="0" w:line="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thereon to the date fixed for redemption. See “Supplemental</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Description of Senior Notes — Optional Redemption” for more</w:t>
      </w:r>
    </w:p>
    <w:p>
      <w:pPr>
        <w:spacing w:after="0" w:line="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information.</w:t>
      </w:r>
    </w:p>
    <w:p>
      <w:pPr>
        <w:spacing w:after="0" w:line="112"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Tax Credit Event Redemption</w:t>
      </w:r>
      <w:r>
        <w:rPr>
          <w:sz w:val="20"/>
          <w:szCs w:val="20"/>
          <w:color w:val="auto"/>
        </w:rPr>
        <w:tab/>
      </w:r>
      <w:r>
        <w:rPr>
          <w:rFonts w:ascii="Times New Roman" w:cs="Times New Roman" w:eastAsia="Times New Roman" w:hAnsi="Times New Roman"/>
          <w:sz w:val="18"/>
          <w:szCs w:val="18"/>
          <w:color w:val="auto"/>
        </w:rPr>
        <w:t>If a Tax Credit Event (as defined herein) occurs, we may redeem, at</w:t>
      </w:r>
    </w:p>
    <w:p>
      <w:pPr>
        <w:spacing w:after="0" w:line="27" w:lineRule="exact"/>
        <w:rPr>
          <w:sz w:val="20"/>
          <w:szCs w:val="20"/>
          <w:color w:val="auto"/>
        </w:rPr>
      </w:pPr>
    </w:p>
    <w:p>
      <w:pPr>
        <w:ind w:left="4300" w:right="639"/>
        <w:spacing w:after="0" w:line="255" w:lineRule="auto"/>
        <w:rPr>
          <w:sz w:val="20"/>
          <w:szCs w:val="20"/>
          <w:color w:val="auto"/>
        </w:rPr>
      </w:pPr>
      <w:r>
        <w:rPr>
          <w:rFonts w:ascii="Times New Roman" w:cs="Times New Roman" w:eastAsia="Times New Roman" w:hAnsi="Times New Roman"/>
          <w:sz w:val="18"/>
          <w:szCs w:val="18"/>
          <w:color w:val="auto"/>
        </w:rPr>
        <w:t>our option, the Senior Notes, in whole but not in part, at a redemption price equal to 101% of the principal amount of the Senior Notes being redeemed, plus accrued and unpaid interest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00" w:right="539"/>
        <w:spacing w:after="0" w:line="266" w:lineRule="auto"/>
        <w:rPr>
          <w:sz w:val="20"/>
          <w:szCs w:val="20"/>
          <w:color w:val="auto"/>
        </w:rPr>
      </w:pPr>
      <w:r>
        <w:rPr>
          <w:rFonts w:ascii="Times New Roman" w:cs="Times New Roman" w:eastAsia="Times New Roman" w:hAnsi="Times New Roman"/>
          <w:sz w:val="18"/>
          <w:szCs w:val="18"/>
          <w:color w:val="auto"/>
        </w:rPr>
        <w:t>but excluding the redemption date. See “Supplemental Description of Senior Notes — Tax Credit Event Redemption” for more information.</w:t>
      </w:r>
    </w:p>
    <w:p>
      <w:pPr>
        <w:spacing w:after="0" w:line="68"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Reopening of Series</w:t>
      </w:r>
      <w:r>
        <w:rPr>
          <w:sz w:val="20"/>
          <w:szCs w:val="20"/>
          <w:color w:val="auto"/>
        </w:rPr>
        <w:tab/>
      </w:r>
      <w:r>
        <w:rPr>
          <w:rFonts w:ascii="Times New Roman" w:cs="Times New Roman" w:eastAsia="Times New Roman" w:hAnsi="Times New Roman"/>
          <w:sz w:val="18"/>
          <w:szCs w:val="18"/>
          <w:color w:val="auto"/>
        </w:rPr>
        <w:t>We may, from time to time, without the consent of the holders of the</w:t>
      </w:r>
    </w:p>
    <w:p>
      <w:pPr>
        <w:spacing w:after="0" w:line="27" w:lineRule="exact"/>
        <w:rPr>
          <w:sz w:val="20"/>
          <w:szCs w:val="20"/>
          <w:color w:val="auto"/>
        </w:rPr>
      </w:pPr>
    </w:p>
    <w:p>
      <w:pPr>
        <w:ind w:left="4300" w:right="399"/>
        <w:spacing w:after="0" w:line="251" w:lineRule="auto"/>
        <w:rPr>
          <w:sz w:val="20"/>
          <w:szCs w:val="20"/>
          <w:color w:val="auto"/>
        </w:rPr>
      </w:pPr>
      <w:r>
        <w:rPr>
          <w:rFonts w:ascii="Times New Roman" w:cs="Times New Roman" w:eastAsia="Times New Roman" w:hAnsi="Times New Roman"/>
          <w:sz w:val="18"/>
          <w:szCs w:val="18"/>
          <w:color w:val="auto"/>
        </w:rPr>
        <w:t>Senior Notes offered by this prospectus supplement, reopen the Senior Notes and issue additional Senior Notes with the same terms (including maturity and interest payment terms), except for the date of issue, the price to public, and, if applicable, the first date from which interest will accrue and the initial interest payment date, as the Senior Notes offered by this prospectus supplement. Any such additional Senior Notes, together with the Senior Notes offered by this prospectus supplement, are intended to constitute a single series under the Indenture and will be part of the same issue as the Senior Notes offered by this prospectus supplement for U.S. federal income tax purposes if such additional issuance is fungible with this issuance for U.S. federal income tax purposes. See “Supplemental Description of Senior Notes — Reopening of Series” for more information.</w:t>
      </w:r>
    </w:p>
    <w:p>
      <w:pPr>
        <w:spacing w:after="0" w:line="300"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expect to receive net proceeds from the offer and sale of the</w:t>
      </w:r>
    </w:p>
    <w:p>
      <w:pPr>
        <w:spacing w:after="0" w:line="27" w:lineRule="exact"/>
        <w:rPr>
          <w:sz w:val="20"/>
          <w:szCs w:val="20"/>
          <w:color w:val="auto"/>
        </w:rPr>
      </w:pPr>
    </w:p>
    <w:p>
      <w:pPr>
        <w:ind w:left="4300" w:right="479"/>
        <w:spacing w:after="0" w:line="251" w:lineRule="auto"/>
        <w:rPr>
          <w:sz w:val="20"/>
          <w:szCs w:val="20"/>
          <w:color w:val="auto"/>
        </w:rPr>
      </w:pPr>
      <w:r>
        <w:rPr>
          <w:rFonts w:ascii="Times New Roman" w:cs="Times New Roman" w:eastAsia="Times New Roman" w:hAnsi="Times New Roman"/>
          <w:sz w:val="18"/>
          <w:szCs w:val="18"/>
          <w:color w:val="auto"/>
        </w:rPr>
        <w:t>Senior Notes, after deducting the underwriting discount and our estimated offering expenses, of approximately $            million. We currently intend to add the net proceeds from the sale of the Senior Notes to our general funds and use them for general corporate purposes, including repayment of short-term debt, repayment of borrowings under our revolving credit facility, and the funding of our capital investment program and working capital needs. Pending such uses, the funds will be temporarily invested. See “Use of Proceeds.”</w:t>
      </w:r>
    </w:p>
    <w:p>
      <w:pPr>
        <w:spacing w:after="0" w:line="302"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Conflicts of Interest</w:t>
      </w:r>
      <w:r>
        <w:rPr>
          <w:sz w:val="20"/>
          <w:szCs w:val="20"/>
          <w:color w:val="auto"/>
        </w:rPr>
        <w:tab/>
      </w:r>
      <w:r>
        <w:rPr>
          <w:rFonts w:ascii="Times New Roman" w:cs="Times New Roman" w:eastAsia="Times New Roman" w:hAnsi="Times New Roman"/>
          <w:sz w:val="18"/>
          <w:szCs w:val="18"/>
          <w:color w:val="auto"/>
        </w:rPr>
        <w:t>Certain of the underwriters or their affiliates may hold a portion of</w:t>
      </w:r>
    </w:p>
    <w:p>
      <w:pPr>
        <w:spacing w:after="0" w:line="27" w:lineRule="exact"/>
        <w:rPr>
          <w:sz w:val="20"/>
          <w:szCs w:val="20"/>
          <w:color w:val="auto"/>
        </w:rPr>
      </w:pPr>
    </w:p>
    <w:p>
      <w:pPr>
        <w:ind w:left="4300" w:right="439"/>
        <w:spacing w:after="0" w:line="251" w:lineRule="auto"/>
        <w:rPr>
          <w:sz w:val="20"/>
          <w:szCs w:val="20"/>
          <w:color w:val="auto"/>
        </w:rPr>
      </w:pPr>
      <w:r>
        <w:rPr>
          <w:rFonts w:ascii="Times New Roman" w:cs="Times New Roman" w:eastAsia="Times New Roman" w:hAnsi="Times New Roman"/>
          <w:sz w:val="18"/>
          <w:szCs w:val="18"/>
          <w:color w:val="auto"/>
        </w:rPr>
        <w:t>our outstanding commercial paper that we may repay, in part, using the net proceeds of this offering. In such event, it is possible that one or more of the underwriters or their affiliates could receive at least 5% of the net proceeds of the offering, and in that case such underwriter would be deemed to have a conflict of interest under FINRA Rule 5121 (Public Offerings of Securities with Conflicts of Interest). In the event of any such conflict of interest, such underwriter would be required to conduct the distribution of the Senior Notes in accordance with FINRA Rule 5121. If FINRA Rule 5121 is applicable, such underwriter would not be permitted to confirm a sale to an account over which it exercises discretionary authority without first receiving specific written approval from the account holder.</w:t>
      </w:r>
    </w:p>
    <w:p>
      <w:pPr>
        <w:spacing w:after="0" w:line="300"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Trustee</w:t>
      </w:r>
      <w:r>
        <w:rPr>
          <w:sz w:val="20"/>
          <w:szCs w:val="20"/>
          <w:color w:val="auto"/>
        </w:rPr>
        <w:tab/>
      </w:r>
      <w:r>
        <w:rPr>
          <w:rFonts w:ascii="Times New Roman" w:cs="Times New Roman" w:eastAsia="Times New Roman" w:hAnsi="Times New Roman"/>
          <w:sz w:val="18"/>
          <w:szCs w:val="18"/>
          <w:color w:val="auto"/>
        </w:rPr>
        <w:t>BOKF, NA</w:t>
      </w:r>
    </w:p>
    <w:p>
      <w:pPr>
        <w:spacing w:after="0" w:line="158" w:lineRule="exact"/>
        <w:rPr>
          <w:sz w:val="20"/>
          <w:szCs w:val="20"/>
          <w:color w:val="auto"/>
        </w:rPr>
      </w:pPr>
    </w:p>
    <w:p>
      <w:pPr>
        <w:jc w:val="both"/>
        <w:ind w:left="1280" w:right="859" w:firstLine="360"/>
        <w:spacing w:after="0" w:line="266" w:lineRule="auto"/>
        <w:rPr>
          <w:sz w:val="20"/>
          <w:szCs w:val="20"/>
          <w:color w:val="auto"/>
        </w:rPr>
      </w:pPr>
      <w:r>
        <w:rPr>
          <w:rFonts w:ascii="Times New Roman" w:cs="Times New Roman" w:eastAsia="Times New Roman" w:hAnsi="Times New Roman"/>
          <w:sz w:val="18"/>
          <w:szCs w:val="18"/>
          <w:color w:val="auto"/>
        </w:rPr>
        <w:t>Set forth below is summary financial data for our company. We derived the financial information presented below as of December 31, 2025 and 2024 and for each of the three years in the period ended December 31, 2025 from our audited financial statements.</w:t>
      </w:r>
    </w:p>
    <w:p>
      <w:pPr>
        <w:spacing w:after="0" w:line="108" w:lineRule="exact"/>
        <w:rPr>
          <w:sz w:val="20"/>
          <w:szCs w:val="20"/>
          <w:color w:val="auto"/>
        </w:rPr>
      </w:pPr>
    </w:p>
    <w:p>
      <w:pPr>
        <w:ind w:left="1280" w:right="519" w:firstLine="360"/>
        <w:spacing w:after="0" w:line="261" w:lineRule="auto"/>
        <w:rPr>
          <w:sz w:val="20"/>
          <w:szCs w:val="20"/>
          <w:color w:val="auto"/>
        </w:rPr>
      </w:pPr>
      <w:r>
        <w:rPr>
          <w:rFonts w:ascii="Times New Roman" w:cs="Times New Roman" w:eastAsia="Times New Roman" w:hAnsi="Times New Roman"/>
          <w:sz w:val="18"/>
          <w:szCs w:val="18"/>
          <w:color w:val="auto"/>
        </w:rPr>
        <w:t>The financial information below should be read in conjunction with the historical financial statements and related notes and “Management’s Discussion and Analysis of Financial Condition and Results of Operations” contained in the current, quarterly and annual reports filed by us with the SEC, which we have incorporated by reference into this prospectus supplement.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182"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tcPr>
          <w:p>
            <w:pPr>
              <w:ind w:left="28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Borders>
              <w:bottom w:val="single" w:sz="8" w:color="auto"/>
            </w:tcBorders>
          </w:tcPr>
          <w:p>
            <w:pPr>
              <w:ind w:left="1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2024</w:t>
            </w:r>
          </w:p>
        </w:tc>
        <w:tc>
          <w:tcPr>
            <w:tcW w:w="820" w:type="dxa"/>
            <w:vAlign w:val="bottom"/>
            <w:tcBorders>
              <w:bottom w:val="single" w:sz="8" w:color="auto"/>
            </w:tcBorders>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9"/>
              </w:rPr>
              <w:t>(audited)</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7"/>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tcPr>
          <w:p>
            <w:pPr>
              <w:ind w:left="28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8"/>
                <w:szCs w:val="18"/>
                <w:color w:val="auto"/>
              </w:rPr>
            </w:pPr>
          </w:p>
        </w:tc>
        <w:tc>
          <w:tcPr>
            <w:tcW w:w="96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8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5" w:lineRule="exact"/>
        <w:rPr>
          <w:sz w:val="20"/>
          <w:szCs w:val="20"/>
          <w:color w:val="auto"/>
        </w:rPr>
      </w:pPr>
    </w:p>
    <w:p>
      <w:pPr>
        <w:sectPr>
          <w:pgSz w:w="11900" w:h="16838" w:orient="portrait"/>
          <w:cols w:equalWidth="0" w:num="1">
            <w:col w:w="9879"/>
          </w:cols>
          <w:pgMar w:left="580" w:top="97" w:right="1440" w:bottom="1440" w:gutter="0" w:footer="0" w:header="0"/>
        </w:sectPr>
      </w:pPr>
    </w:p>
    <w:p>
      <w:pPr>
        <w:ind w:left="1280"/>
        <w:spacing w:after="0"/>
        <w:rPr>
          <w:sz w:val="20"/>
          <w:szCs w:val="20"/>
          <w:color w:val="auto"/>
        </w:rPr>
      </w:pPr>
      <w:r>
        <w:rPr>
          <w:rFonts w:ascii="Times New Roman" w:cs="Times New Roman" w:eastAsia="Times New Roman" w:hAnsi="Times New Roman"/>
          <w:sz w:val="18"/>
          <w:szCs w:val="18"/>
          <w:b w:val="1"/>
          <w:bCs w:val="1"/>
          <w:color w:val="auto"/>
        </w:rPr>
        <w:t>Results of Operations Data:</w:t>
      </w:r>
    </w:p>
    <w:p>
      <w:pPr>
        <w:spacing w:after="0" w:line="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Operating revenues</w:t>
      </w:r>
    </w:p>
    <w:p>
      <w:pPr>
        <w:spacing w:after="0" w:line="50" w:lineRule="exact"/>
        <w:rPr>
          <w:sz w:val="20"/>
          <w:szCs w:val="20"/>
          <w:color w:val="auto"/>
        </w:rPr>
      </w:pPr>
    </w:p>
    <w:p>
      <w:pPr>
        <w:ind w:left="1280" w:right="720"/>
        <w:spacing w:after="0" w:line="313" w:lineRule="auto"/>
        <w:rPr>
          <w:sz w:val="20"/>
          <w:szCs w:val="20"/>
          <w:color w:val="auto"/>
        </w:rPr>
      </w:pPr>
      <w:r>
        <w:rPr>
          <w:rFonts w:ascii="Times New Roman" w:cs="Times New Roman" w:eastAsia="Times New Roman" w:hAnsi="Times New Roman"/>
          <w:sz w:val="18"/>
          <w:szCs w:val="18"/>
          <w:color w:val="auto"/>
        </w:rPr>
        <w:t>Fuel, purchased power and direct transmission expense Operating expenses</w:t>
      </w:r>
    </w:p>
    <w:p>
      <w:pPr>
        <w:ind w:left="128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Allowance for equity funds used during construction</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Other net periodic benefit income (expense)</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Other income</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Other expense</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0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​​$3,260.1​​</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​​$2,985.3​​</w:t>
            </w:r>
          </w:p>
        </w:tc>
        <w:tc>
          <w:tcPr>
            <w:tcW w:w="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​​$2,674.3​</w:t>
            </w:r>
          </w:p>
        </w:tc>
        <w:tc>
          <w:tcPr>
            <w:tcW w:w="0" w:type="dxa"/>
            <w:vAlign w:val="bottom"/>
          </w:tcPr>
          <w:p>
            <w:pPr>
              <w:spacing w:after="0"/>
              <w:rPr>
                <w:sz w:val="1"/>
                <w:szCs w:val="1"/>
                <w:color w:val="auto"/>
              </w:rPr>
            </w:pPr>
          </w:p>
        </w:tc>
      </w:tr>
      <w:tr>
        <w:trPr>
          <w:trHeight w:val="257"/>
        </w:trPr>
        <w:tc>
          <w:tcPr>
            <w:tcW w:w="10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​1,259.9​​</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​1,076.4​​</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48"/>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5"/>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​1,200.2</w:t>
            </w:r>
            <w:r>
              <w:rPr>
                <w:rFonts w:ascii="Times New Roman" w:cs="Times New Roman" w:eastAsia="Times New Roman" w:hAnsi="Times New Roman"/>
                <w:sz w:val="28"/>
                <w:szCs w:val="28"/>
                <w:color w:val="auto"/>
                <w:vertAlign w:val="subscript"/>
              </w:rPr>
              <w:t>​​</w:t>
            </w:r>
          </w:p>
        </w:tc>
        <w:tc>
          <w:tcPr>
            <w:tcW w:w="880" w:type="dxa"/>
            <w:vAlign w:val="bottom"/>
            <w:gridSpan w:val="5"/>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​1,163.3</w:t>
            </w:r>
            <w:r>
              <w:rPr>
                <w:rFonts w:ascii="Times New Roman" w:cs="Times New Roman" w:eastAsia="Times New Roman" w:hAnsi="Times New Roman"/>
                <w:sz w:val="28"/>
                <w:szCs w:val="28"/>
                <w:color w:val="auto"/>
                <w:vertAlign w:val="subscript"/>
              </w:rPr>
              <w:t>​​</w:t>
            </w:r>
          </w:p>
        </w:tc>
        <w:tc>
          <w:tcPr>
            <w:tcW w:w="780" w:type="dxa"/>
            <w:vAlign w:val="bottom"/>
            <w:gridSpan w:val="6"/>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​1,111.0</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0" w:type="dxa"/>
            <w:vAlign w:val="bottom"/>
          </w:tcPr>
          <w:p>
            <w:pPr>
              <w:spacing w:after="0"/>
              <w:rPr>
                <w:sz w:val="1"/>
                <w:szCs w:val="1"/>
                <w:color w:val="auto"/>
              </w:rPr>
            </w:pPr>
          </w:p>
        </w:tc>
      </w:tr>
      <w:tr>
        <w:trPr>
          <w:trHeight w:val="257"/>
        </w:trPr>
        <w:tc>
          <w:tcPr>
            <w:tcW w:w="4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180"/>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2"/>
              <w:spacing w:after="0" w:line="181" w:lineRule="exact"/>
              <w:rPr>
                <w:sz w:val="20"/>
                <w:szCs w:val="20"/>
                <w:color w:val="auto"/>
              </w:rPr>
            </w:pPr>
            <w:r>
              <w:rPr>
                <w:rFonts w:ascii="Times New Roman" w:cs="Times New Roman" w:eastAsia="Times New Roman" w:hAnsi="Times New Roman"/>
                <w:sz w:val="18"/>
                <w:szCs w:val="18"/>
                <w:color w:val="auto"/>
              </w:rPr>
              <w:t>(10.3)</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32"/>
              <w:spacing w:after="0" w:line="181" w:lineRule="exact"/>
              <w:rPr>
                <w:sz w:val="20"/>
                <w:szCs w:val="20"/>
                <w:color w:val="auto"/>
              </w:rPr>
            </w:pPr>
            <w:r>
              <w:rPr>
                <w:rFonts w:ascii="Times New Roman" w:cs="Times New Roman" w:eastAsia="Times New Roman" w:hAnsi="Times New Roman"/>
                <w:sz w:val="18"/>
                <w:szCs w:val="18"/>
                <w:color w:val="auto"/>
              </w:rPr>
              <w:t>(1.6)</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rPr>
              <w:t>6.5</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40" w:type="dxa"/>
            <w:vAlign w:val="bottom"/>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180"/>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2"/>
              <w:spacing w:after="0" w:line="181" w:lineRule="exact"/>
              <w:rPr>
                <w:sz w:val="20"/>
                <w:szCs w:val="20"/>
                <w:color w:val="auto"/>
              </w:rPr>
            </w:pPr>
            <w:r>
              <w:rPr>
                <w:rFonts w:ascii="Times New Roman" w:cs="Times New Roman" w:eastAsia="Times New Roman" w:hAnsi="Times New Roman"/>
                <w:sz w:val="18"/>
                <w:szCs w:val="18"/>
                <w:color w:val="auto"/>
              </w:rPr>
              <w:t>(2.6)</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32"/>
              <w:spacing w:after="0" w:line="181" w:lineRule="exact"/>
              <w:rPr>
                <w:sz w:val="20"/>
                <w:szCs w:val="20"/>
                <w:color w:val="auto"/>
              </w:rPr>
            </w:pPr>
            <w:r>
              <w:rPr>
                <w:rFonts w:ascii="Times New Roman" w:cs="Times New Roman" w:eastAsia="Times New Roman" w:hAnsi="Times New Roman"/>
                <w:sz w:val="18"/>
                <w:szCs w:val="18"/>
                <w:color w:val="auto"/>
              </w:rPr>
              <w:t>(4.5)</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76"/>
        </w:trPr>
        <w:tc>
          <w:tcPr>
            <w:tcW w:w="140" w:type="dxa"/>
            <w:vAlign w:val="bottom"/>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12"/>
              <w:spacing w:after="0" w:line="181" w:lineRule="exact"/>
              <w:rPr>
                <w:sz w:val="20"/>
                <w:szCs w:val="20"/>
                <w:color w:val="auto"/>
              </w:rPr>
            </w:pPr>
            <w:r>
              <w:rPr>
                <w:rFonts w:ascii="Times New Roman" w:cs="Times New Roman" w:eastAsia="Times New Roman" w:hAnsi="Times New Roman"/>
                <w:sz w:val="18"/>
                <w:szCs w:val="18"/>
                <w:color w:val="auto"/>
              </w:rPr>
              <w:t>​ (225.5)</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32"/>
              <w:spacing w:after="0" w:line="181" w:lineRule="exact"/>
              <w:rPr>
                <w:sz w:val="20"/>
                <w:szCs w:val="20"/>
                <w:color w:val="auto"/>
              </w:rPr>
            </w:pPr>
            <w:r>
              <w:rPr>
                <w:rFonts w:ascii="Times New Roman" w:cs="Times New Roman" w:eastAsia="Times New Roman" w:hAnsi="Times New Roman"/>
                <w:sz w:val="18"/>
                <w:szCs w:val="18"/>
                <w:color w:val="auto"/>
              </w:rPr>
              <w:t>​ (214.4)</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 (199.9)</w:t>
            </w:r>
          </w:p>
        </w:tc>
        <w:tc>
          <w:tcPr>
            <w:tcW w:w="0" w:type="dxa"/>
            <w:vAlign w:val="bottom"/>
          </w:tcPr>
          <w:p>
            <w:pPr>
              <w:spacing w:after="0"/>
              <w:rPr>
                <w:sz w:val="1"/>
                <w:szCs w:val="1"/>
                <w:color w:val="auto"/>
              </w:rPr>
            </w:pPr>
          </w:p>
        </w:tc>
      </w:tr>
      <w:tr>
        <w:trPr>
          <w:trHeight w:val="76"/>
        </w:trPr>
        <w:tc>
          <w:tcPr>
            <w:tcW w:w="140" w:type="dxa"/>
            <w:vAlign w:val="bottom"/>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12"/>
              <w:spacing w:after="0" w:line="181" w:lineRule="exact"/>
              <w:rPr>
                <w:sz w:val="20"/>
                <w:szCs w:val="20"/>
                <w:color w:val="auto"/>
              </w:rPr>
            </w:pPr>
            <w:r>
              <w:rPr>
                <w:rFonts w:ascii="Times New Roman" w:cs="Times New Roman" w:eastAsia="Times New Roman" w:hAnsi="Times New Roman"/>
                <w:sz w:val="18"/>
                <w:szCs w:val="18"/>
                <w:color w:val="auto"/>
              </w:rPr>
              <w:t>​ (105.1)</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32"/>
              <w:spacing w:after="0" w:line="181" w:lineRule="exact"/>
              <w:rPr>
                <w:sz w:val="20"/>
                <w:szCs w:val="20"/>
                <w:color w:val="auto"/>
              </w:rPr>
            </w:pPr>
            <w:r>
              <w:rPr>
                <w:rFonts w:ascii="Times New Roman" w:cs="Times New Roman" w:eastAsia="Times New Roman" w:hAnsi="Times New Roman"/>
                <w:sz w:val="18"/>
                <w:szCs w:val="18"/>
                <w:color w:val="auto"/>
              </w:rPr>
              <w:t>(93.2)</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80" w:type="dxa"/>
            <w:vAlign w:val="bottom"/>
          </w:tcPr>
          <w:p>
            <w:pPr>
              <w:spacing w:after="0"/>
              <w:rPr>
                <w:sz w:val="22"/>
                <w:szCs w:val="22"/>
                <w:color w:val="auto"/>
              </w:rPr>
            </w:pPr>
          </w:p>
        </w:tc>
        <w:tc>
          <w:tcPr>
            <w:tcW w:w="58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499.8</w:t>
            </w:r>
            <w:r>
              <w:rPr>
                <w:rFonts w:ascii="Times New Roman" w:cs="Times New Roman" w:eastAsia="Times New Roman" w:hAnsi="Times New Roman"/>
                <w:sz w:val="28"/>
                <w:szCs w:val="28"/>
                <w:color w:val="auto"/>
                <w:vertAlign w:val="subscript"/>
              </w:rPr>
              <w:t>​​</w:t>
            </w:r>
          </w:p>
        </w:tc>
        <w:tc>
          <w:tcPr>
            <w:tcW w:w="20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00" w:type="dxa"/>
            <w:vAlign w:val="bottom"/>
          </w:tcPr>
          <w:p>
            <w:pPr>
              <w:spacing w:after="0"/>
              <w:rPr>
                <w:sz w:val="22"/>
                <w:szCs w:val="22"/>
                <w:color w:val="auto"/>
              </w:rPr>
            </w:pPr>
          </w:p>
        </w:tc>
        <w:tc>
          <w:tcPr>
            <w:tcW w:w="58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469.9</w:t>
            </w:r>
            <w:r>
              <w:rPr>
                <w:rFonts w:ascii="Times New Roman" w:cs="Times New Roman" w:eastAsia="Times New Roman" w:hAnsi="Times New Roman"/>
                <w:sz w:val="28"/>
                <w:szCs w:val="28"/>
                <w:color w:val="auto"/>
                <w:vertAlign w:val="subscript"/>
              </w:rPr>
              <w:t>​​</w:t>
            </w:r>
          </w:p>
        </w:tc>
        <w:tc>
          <w:tcPr>
            <w:tcW w:w="18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00" w:type="dxa"/>
            <w:vAlign w:val="bottom"/>
          </w:tcPr>
          <w:p>
            <w:pPr>
              <w:spacing w:after="0"/>
              <w:rPr>
                <w:sz w:val="22"/>
                <w:szCs w:val="22"/>
                <w:color w:val="auto"/>
              </w:rPr>
            </w:pPr>
          </w:p>
        </w:tc>
        <w:tc>
          <w:tcPr>
            <w:tcW w:w="50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15"/>
                <w:szCs w:val="15"/>
                <w:color w:val="auto"/>
              </w:rPr>
              <w:t>426.4</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160" w:space="720"/>
            <w:col w:w="2999"/>
          </w:cols>
          <w:pgMar w:left="580" w:top="97" w:right="1440" w:bottom="1440" w:gutter="0" w:footer="0" w:header="0"/>
          <w:type w:val="continuous"/>
        </w:sectPr>
      </w:pPr>
    </w:p>
    <w:p>
      <w:pPr>
        <w:spacing w:after="0" w:line="32"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6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6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6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5"/>
          </w:tcPr>
          <w:p>
            <w:pPr>
              <w:jc w:val="center"/>
              <w:ind w:right="488"/>
              <w:spacing w:after="0"/>
              <w:rPr>
                <w:sz w:val="20"/>
                <w:szCs w:val="20"/>
                <w:color w:val="auto"/>
              </w:rPr>
            </w:pPr>
            <w:r>
              <w:rPr>
                <w:rFonts w:ascii="Times New Roman" w:cs="Times New Roman" w:eastAsia="Times New Roman" w:hAnsi="Times New Roman"/>
                <w:sz w:val="14"/>
                <w:szCs w:val="14"/>
                <w:b w:val="1"/>
                <w:bCs w:val="1"/>
                <w:color w:val="auto"/>
                <w:w w:val="95"/>
              </w:rPr>
              <w:t>(audited)</w:t>
            </w:r>
          </w:p>
        </w:tc>
        <w:tc>
          <w:tcPr>
            <w:tcW w:w="40" w:type="dxa"/>
            <w:vAlign w:val="bottom"/>
          </w:tcPr>
          <w:p>
            <w:pPr>
              <w:spacing w:after="0"/>
              <w:rPr>
                <w:sz w:val="14"/>
                <w:szCs w:val="14"/>
                <w:color w:val="auto"/>
              </w:rPr>
            </w:pPr>
          </w:p>
        </w:tc>
      </w:tr>
      <w:tr>
        <w:trPr>
          <w:trHeight w:val="217"/>
        </w:trPr>
        <w:tc>
          <w:tcPr>
            <w:tcW w:w="6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9"/>
        </w:trPr>
        <w:tc>
          <w:tcPr>
            <w:tcW w:w="6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6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assets</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Long-term debt (including long-term debt due within one year)</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stockholder’s equity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​​$12,724.3​​ ​​$12,080.5​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​​$14,277.5​​ ​​$13,581.3​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​​$ 4,961.7​​ ​​$ 4,646.7​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​​$ 5,740.2​​ ​​$ 5,326.4​</w:t>
      </w:r>
    </w:p>
    <w:p>
      <w:pPr>
        <w:spacing w:after="0" w:line="200" w:lineRule="exact"/>
        <w:rPr>
          <w:sz w:val="20"/>
          <w:szCs w:val="20"/>
          <w:color w:val="auto"/>
        </w:rPr>
      </w:pPr>
    </w:p>
    <w:p>
      <w:pPr>
        <w:sectPr>
          <w:pgSz w:w="11900" w:h="16838" w:orient="portrait"/>
          <w:cols w:equalWidth="0" w:num="2">
            <w:col w:w="6900" w:space="720"/>
            <w:col w:w="22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An investment in our Senior Notes involves risk. Prior to making a decision about investing in our Senior Notes, you should carefully consider the risks and uncertainties described below as well as any cautionary language or other information contained in or incorporated by reference in this prospectus supplement and the accompanying prospectus, including the risk factors set forth in our most recently filed Annual Report on Form 10-K under the heading “Risk Factors” and other filings we may make from time to time with the SEC. Such factors could affect actual results and cause results to differ materially from those expressed in any forward-looking statements made by or on our behalf.</w:t>
      </w:r>
    </w:p>
    <w:p>
      <w:pPr>
        <w:spacing w:after="0" w:line="121"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Additional risks and uncertainties not currently known to us or that we currently view as immaterial may also affect our business operations.</w:t>
      </w:r>
    </w:p>
    <w:p>
      <w:pPr>
        <w:spacing w:after="0" w:line="158" w:lineRule="exact"/>
        <w:rPr>
          <w:sz w:val="20"/>
          <w:szCs w:val="20"/>
          <w:color w:val="auto"/>
        </w:rPr>
      </w:pPr>
    </w:p>
    <w:p>
      <w:pPr>
        <w:ind w:left="12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Senior Notes would have a claim that is junior with respect to the assets securing any secured debt that we may issue.</w:t>
      </w:r>
    </w:p>
    <w:p>
      <w:pPr>
        <w:spacing w:after="0" w:line="7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Senior Notes will be senior unsecured obligations and rank equally with all of our other senior unsecured indebtedness. At December 31, 2025, we had 17 series of senior notes outstanding in the aggregate principal amount of $4.885 billion. An aggregate of $225 million of these senior notes have provisions that limit (subject to certain exceptions) our ability to issue secured debt unless, at the time the secured debt is issued, we also equally secure such outstanding senior notes. The Senior Notes offered hereby will not contain this provision. As a result, if in the future we were to issue secured debt, an additional $225 million of our outstanding senior notes would also become secured. In such case, the Senior Notes offered hereby would be effectively subordinated to such secured debt. There is no limit on the amount of debt that we may issue and, in the future, we may issue debt that includes provisions similar to those applicable to our other outstanding senior notes. See “Description of Debt Securities — No Limitations on Liens or Sale and Leaseback Transactions” in the accompanying prospectus.</w:t>
      </w:r>
    </w:p>
    <w:p>
      <w:pPr>
        <w:spacing w:after="0" w:line="188" w:lineRule="exact"/>
        <w:rPr>
          <w:sz w:val="20"/>
          <w:szCs w:val="20"/>
          <w:color w:val="auto"/>
        </w:rPr>
      </w:pPr>
    </w:p>
    <w:p>
      <w:pPr>
        <w:jc w:val="both"/>
        <w:ind w:left="12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reductions in our credit ratings or changes in benchmark interest rates could increase our financing costs and the cost of maintaining certain contractual relationships or limit our ability to obtain financing on favorable terms and could cause the value of the Senior Notes to decline.</w:t>
      </w:r>
    </w:p>
    <w:p>
      <w:pPr>
        <w:spacing w:after="0" w:line="10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cannot assure you that any of our current credit ratings will remain in effect for any given period of time or that a rating will not be lowered or withdrawn entirely by a rating agency if, in its judgment, circumstances so warrant. Our ability to access the commercial paper market could be adversely impacted by a credit ratings downgrade or major market disruptions. Pricing grids associated with our credit facility could cause annual fees and borrowing rates to increase if an adverse rating impact occurs. The impact of any future downgrade could include an increase in the costs of our short-term borrowings, but a reduction in our credit ratings would not result in any defaults or accelerations. Any future downgrade could also lead to higher long-term borrowing costs and, if below investment grade, would require us to post collateral or letters of credit. Any lowering of the ratings of the Senior Notes would likely reduce the value of the Senior Notes.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We may be able to incur substantially more indebtedness, which may increase the risks created by our indebtedness.</w:t>
      </w:r>
    </w:p>
    <w:p>
      <w:pPr>
        <w:spacing w:after="0" w:line="173"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terms of the indenture governing our senior notes, including the Senior Notes offered hereby, and the agreements governing our other indebtedness, do not fully prohibit us from incurring additional indebtedness and, therefore, we may be able to incur substantial additional indebtedness. If we incur additional indebtedness, the related risks that we now face may intensify.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choose to redeem the Senior Notes prior to maturity.</w:t>
      </w:r>
    </w:p>
    <w:p>
      <w:pPr>
        <w:spacing w:after="0" w:line="14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may redeem all or a portion of the Senior Notes at any time at the applicable redemption price described in this prospectus supplement. See “Supplemental Description of Senior Notes — Optional Redemption.” We may also redeem the Senior Notes under certain circumstances as described below under the caption “Supplemental Description of Senior Notes — Tax Credit Redemption.” If prevailing interest</w:t>
      </w:r>
    </w:p>
    <w:p>
      <w:pPr>
        <w:spacing w:after="0" w:line="36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59"/>
        <w:spacing w:after="0" w:line="266" w:lineRule="auto"/>
        <w:rPr>
          <w:sz w:val="20"/>
          <w:szCs w:val="20"/>
          <w:color w:val="auto"/>
        </w:rPr>
      </w:pPr>
      <w:r>
        <w:rPr>
          <w:rFonts w:ascii="Times New Roman" w:cs="Times New Roman" w:eastAsia="Times New Roman" w:hAnsi="Times New Roman"/>
          <w:sz w:val="18"/>
          <w:szCs w:val="18"/>
          <w:color w:val="auto"/>
        </w:rPr>
        <w:t>rates are lower at the time of redemption, holders of the Senior Notes to be redeemed may not be able to reinvest the redemption proceeds in a comparable security at an interest rate as high as the interest rate of the Senior Notes being redeemed.</w:t>
      </w:r>
    </w:p>
    <w:p>
      <w:pPr>
        <w:spacing w:after="0" w:line="172" w:lineRule="exact"/>
        <w:rPr>
          <w:sz w:val="20"/>
          <w:szCs w:val="20"/>
          <w:color w:val="auto"/>
        </w:rPr>
      </w:pPr>
    </w:p>
    <w:p>
      <w:pPr>
        <w:ind w:left="12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existing market for the Senior Notes, and we cannot assure you that an active trading market will develop.</w:t>
      </w:r>
    </w:p>
    <w:p>
      <w:pPr>
        <w:spacing w:after="0" w:line="9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Senior Notes are a new issue of securities with no established trading market, and we cannot assure you that an active trading market will develop. If a market for the Senior Notes were to develop, future trading prices would depend on many factors, including prevailing interest rates, our operating results and the market for similar securities. We do not intend to apply to list the Senior Notes on any securities exchange or to include the Senior Notes in any automated quotation system. As a result, it may be difficult for you to find a buyer for your Senior Notes at the time you want to sell them, and even if you find a buyer, you might not get the price you want.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redeem the Senior Notes if a Tax Credit Event Occurs.</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We may redeem the Senior Notes, at our option, in whole but not in part, if a Tax Credit Event occurs. A “Tax Credit Event” occurs with respect to the Senior Notes if, in our reasonable determination, there exists a material risk, due to the Senior Notes (considered together with other debt) having been issued, as part of an original issuance, to one or more “specified foreign entities,” as defined in Section 7701(a)(51)</w:t>
      </w:r>
    </w:p>
    <w:p>
      <w:pPr>
        <w:spacing w:after="0" w:line="3" w:lineRule="exact"/>
        <w:rPr>
          <w:sz w:val="20"/>
          <w:szCs w:val="20"/>
          <w:color w:val="auto"/>
        </w:rPr>
      </w:pPr>
    </w:p>
    <w:p>
      <w:pPr>
        <w:ind w:left="1260" w:right="519"/>
        <w:spacing w:after="0" w:line="250" w:lineRule="auto"/>
        <w:tabs>
          <w:tab w:leader="none" w:pos="15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Internal Revenue Code of 1986, as amended (the Code), that we or any of our affiliates would be unable to utilize or otherwise ineligible to claim any tax credits otherwise allowed under Section 38 of the Code. “Specified foreign entities,” as further defined in Section 7701(a)(51)(B) of the Code, generally include, among other entities: (i) the governments of China, Iran, North Korea or Russia and their agencies and instrumentalities, (ii) certain citizens or nationals of such countries, (iii) entities organized under the laws of, or having their principal place of business in, such countries, (iv) entities controlled by any of the above, including subsidiaries, measured by more than 50% ownership of stock (by vote or value) in a corporation, profits interests or capital interests in a partnership, or beneficial interest in another entity,</w:t>
      </w:r>
    </w:p>
    <w:p>
      <w:pPr>
        <w:spacing w:after="0" w:line="3" w:lineRule="exact"/>
        <w:rPr>
          <w:rFonts w:ascii="Times New Roman" w:cs="Times New Roman" w:eastAsia="Times New Roman" w:hAnsi="Times New Roman"/>
          <w:sz w:val="18"/>
          <w:szCs w:val="18"/>
          <w:color w:val="auto"/>
        </w:rPr>
      </w:pPr>
    </w:p>
    <w:p>
      <w:pPr>
        <w:ind w:left="1260" w:right="4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certain Chinese military companies described under Section 1260H of the William M. (Mac) Thornberry National Defense Authorization Act for Fiscal Year 2021, (vi) Contemporary Amperex Technology Company (CATL), BYD Company, Envision Energy, EVE Energy Company, Gotion High- tech Company, Hithium Energy Storage Technology Company, or any successor company to the foregoing, (vii) certain companies that violate the Uyghur Forced Labor Prevention Act of 2021, and (viii) entities that the Office of Foreign Assets Control of the Department of the Treasury (“OFAC”) have included on the list of specially designated nationals and blocked persons maintained by OFAC. A redemption of the Senior Notes in connection with a Tax Credit Event would be at a redemption price equal to 101% of the principal amount of the Senior Notes being redeemed, plus unpaid interest accrued up to but excluding the redemption date.</w:t>
      </w:r>
    </w:p>
    <w:p>
      <w:pPr>
        <w:spacing w:after="0" w:line="32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a Tax Credit Event occurs, and we redeem the Senior Notes, such redemption may adversely affect your anticipated return. We may exercise such redemption rights when prevailing interest rates are relatively low. As a result, you may not be able to reinvest the redemption proceeds in a comparable security at an interest rate as high as that of the Senior Notes that are redeemed.</w:t>
      </w:r>
    </w:p>
    <w:p>
      <w:pPr>
        <w:spacing w:after="0" w:line="112" w:lineRule="exact"/>
        <w:rPr>
          <w:sz w:val="20"/>
          <w:szCs w:val="20"/>
          <w:color w:val="auto"/>
        </w:rPr>
      </w:pPr>
    </w:p>
    <w:p>
      <w:pPr>
        <w:ind w:left="1260" w:right="1379" w:firstLine="360"/>
        <w:spacing w:after="0" w:line="282" w:lineRule="auto"/>
        <w:rPr>
          <w:sz w:val="20"/>
          <w:szCs w:val="20"/>
          <w:color w:val="auto"/>
        </w:rPr>
      </w:pPr>
      <w:r>
        <w:rPr>
          <w:rFonts w:ascii="Times New Roman" w:cs="Times New Roman" w:eastAsia="Times New Roman" w:hAnsi="Times New Roman"/>
          <w:sz w:val="18"/>
          <w:szCs w:val="18"/>
          <w:color w:val="auto"/>
        </w:rPr>
        <w:t>See “Supplemental Description of Senior Notes — Tax Credit Event Redemption”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expect to receive net proceeds from the offer and sale of the Senior Notes, after deducting the underwriting discount and our estimated offering expenses, of approximately $            million. We currently intend to add the net proceeds from the sale of the Senior Notes to our general funds and use them for general corporate purposes including repayment of short-term debt, repayment of borrowings under our revolving credit facility, and the funding of our capital investment program and working capital needs. Pending such uses, the funds will be temporarily invested.</w:t>
      </w:r>
    </w:p>
    <w:p>
      <w:pPr>
        <w:spacing w:after="0" w:line="18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capitalization as of December 31, 2025. You should read this table in conjunction with the historical financial statements and related notes and “Management’s Discussion and Analysis of Financial Condition and Results of Operations” contained in the annual, quarterly and other reports filed by us with the SEC, which we have incorporated by reference into this prospectus supplement.</w:t>
      </w:r>
    </w:p>
    <w:p>
      <w:pPr>
        <w:sectPr>
          <w:pgSz w:w="11900" w:h="16838" w:orient="portrait"/>
          <w:cols w:equalWidth="0" w:num="1">
            <w:col w:w="9879"/>
          </w:cols>
          <w:pgMar w:left="580" w:top="97" w:right="1440" w:bottom="1440" w:gutter="0" w:footer="0" w:header="0"/>
        </w:sectPr>
      </w:pP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1" w:lineRule="exact"/>
        <w:rPr>
          <w:sz w:val="20"/>
          <w:szCs w:val="20"/>
          <w:color w:val="auto"/>
        </w:rPr>
      </w:pPr>
    </w:p>
    <w:p>
      <w:pPr>
        <w:ind w:left="1620" w:right="780"/>
        <w:spacing w:after="0" w:line="320" w:lineRule="auto"/>
        <w:rPr>
          <w:sz w:val="20"/>
          <w:szCs w:val="20"/>
          <w:color w:val="auto"/>
        </w:rPr>
      </w:pPr>
      <w:r>
        <w:rPr>
          <w:rFonts w:ascii="Times New Roman" w:cs="Times New Roman" w:eastAsia="Times New Roman" w:hAnsi="Times New Roman"/>
          <w:sz w:val="18"/>
          <w:szCs w:val="18"/>
          <w:color w:val="auto"/>
        </w:rPr>
        <w:t>Long-term debt (including current maturities) Common stockholder’s equity and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-29845</wp:posOffset>
            </wp:positionV>
            <wp:extent cx="4749165" cy="197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4749165" cy="19748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Total capitalization</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w w:val="95"/>
              </w:rPr>
              <w:t>(audited)</w:t>
            </w: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w:t>
            </w:r>
          </w:p>
        </w:tc>
        <w:tc>
          <w:tcPr>
            <w:tcW w:w="100" w:type="dxa"/>
            <w:vAlign w:val="bottom"/>
          </w:tcPr>
          <w:p>
            <w:pPr>
              <w:spacing w:after="0"/>
              <w:rPr>
                <w:sz w:val="14"/>
                <w:szCs w:val="14"/>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tcPr>
          <w:p>
            <w:pPr>
              <w:spacing w:after="0"/>
              <w:rPr>
                <w:sz w:val="18"/>
                <w:szCs w:val="18"/>
                <w:color w:val="auto"/>
              </w:rPr>
            </w:pPr>
          </w:p>
        </w:tc>
        <w:tc>
          <w:tcPr>
            <w:tcW w:w="74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Dollars   </w:t>
            </w:r>
            <w:r>
              <w:rPr>
                <w:rFonts w:ascii="Times New Roman" w:cs="Times New Roman" w:eastAsia="Times New Roman" w:hAnsi="Times New Roman"/>
                <w:sz w:val="24"/>
                <w:szCs w:val="24"/>
                <w:b w:val="1"/>
                <w:bCs w:val="1"/>
                <w:color w:val="auto"/>
                <w:vertAlign w:val="subscript"/>
              </w:rPr>
              <w:t>​</w:t>
            </w:r>
          </w:p>
        </w:tc>
        <w:tc>
          <w:tcPr>
            <w:tcW w:w="1000" w:type="dxa"/>
            <w:vAlign w:val="bottom"/>
            <w:gridSpan w:val="6"/>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Capitalization</w:t>
            </w:r>
            <w:r>
              <w:rPr>
                <w:rFonts w:ascii="Times New Roman" w:cs="Times New Roman" w:eastAsia="Times New Roman" w:hAnsi="Times New Roman"/>
                <w:sz w:val="24"/>
                <w:szCs w:val="24"/>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4,961.7​​</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46.4% </w:t>
            </w:r>
            <w:r>
              <w:rPr>
                <w:rFonts w:ascii="Times New Roman" w:cs="Times New Roman" w:eastAsia="Times New Roman" w:hAnsi="Times New Roman"/>
                <w:sz w:val="18"/>
                <w:szCs w:val="18"/>
                <w:b w:val="1"/>
                <w:bCs w:val="1"/>
                <w:color w:val="auto"/>
              </w:rPr>
              <w:t>​</w:t>
            </w:r>
          </w:p>
        </w:tc>
      </w:tr>
      <w:tr>
        <w:trPr>
          <w:trHeight w:val="248"/>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5"/>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5,740.2</w:t>
            </w:r>
            <w:r>
              <w:rPr>
                <w:rFonts w:ascii="Times New Roman" w:cs="Times New Roman" w:eastAsia="Times New Roman" w:hAnsi="Times New Roman"/>
                <w:sz w:val="28"/>
                <w:szCs w:val="28"/>
                <w:color w:val="auto"/>
                <w:vertAlign w:val="subscript"/>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53.6%</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5"/>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10,701.9</w:t>
            </w:r>
            <w:r>
              <w:rPr>
                <w:rFonts w:ascii="Times New Roman" w:cs="Times New Roman" w:eastAsia="Times New Roman" w:hAnsi="Times New Roman"/>
                <w:sz w:val="28"/>
                <w:szCs w:val="28"/>
                <w:color w:val="auto"/>
                <w:vertAlign w:val="subscript"/>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​100.0%</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40" w:space="720"/>
            <w:col w:w="28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SUPPLEMENTAL DESCRIPTION OF SENIOR NOTES</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Senior Notes will be a series of Debt Securities (as defined in the accompanying prospectus). Please read the following information concerning the Senior Notes in conjunction with the statements under “Description of Debt Securities” in the accompanying prospectus, which the following information supplements and, if there are any inconsistencies, supersedes. The following description is not complete. The Senior Notes will be issued under the Indenture dated as of October 1, 1995, as supplemented (the “Indenture”), between us and BOKF, NA, as successor trustee (the “Trustee”). The Indenture is described in the accompanying prospectus and is filed as an exhibit to the registration statement under which the Senior Notes are being offered and sold.</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will offer $            of        % Senior Notes, Series due                      , 20    as a series of notes under the Indenture. The entire principal amount of such series of Senior Notes will mature and become due and payable, together with any accrued and unpaid interest, on                      , 20    .</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Ranking; No Limitations on Liens or Sale and Lease-Back Transactions</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Senior Notes will be our senior unsecured obligations and will rank equally with all of our other senior unsecured indebtedness. However, the Senior Notes will be subordinated to any secured indebtedness that we may issue, as to the assets securing such indebtedness. We currently have no secured indebtedness and no subordinated indebtedness. The Senior Notes offered hereby will not contain any provisions limiting our ability to issue secured debt or enter into sale and lease-back transactions. See “Description of Debt Securities — No Limitations on Liens or Sale and Leaseback Transactions” in the accompanying prospectus for more information. As a result, if in the future we were to issue secured debt, the Senior Notes offered hereby would be effectively subordinated to the secured debt. There is no limit on the amount of debt that we may issue and, in the future, we may issue debt which includes provisions different than those applicable to the Senior Notes offered hereby.</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 Payments</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The Senior Notes will bear interest at the annual rate set forth on the cover page of this prospectus supplement beginning on the day the Senior Notes are issued. The interest will be payable semi-annually on                      and             of each year, commencing                      , 20    . If such interest payment date is not a business day, the payment of interest will be made on the next succeeding business day without adjustment. Interest will be paid to the person in whose name the Senior Note is registered at the close of business on the             or                               immediately preceding such             or                               .We will compute the amount of interest payable on the basis of a 360-day year of twelve 30-day months.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Reopening of Series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may, from time to time, without the consent of the holders of the Senior Notes offered by this prospectus supplement, reopen the Senior Notes and issue additional Senior Notes with the same terms (including maturity and interest payment terms), except for the date of issue, the price to public, and, if applicable, the first date from which interest will accrue and the initial interest payment date, as the Senior Notes offered by this prospectus supplement. Any such additional Senior Notes, together with the Senior Notes offered by this prospectus supplement, are intended to constitute a single series under the Indenture and will be part of the same issue as the Senior Notes offered by this prospectus supplement for U.S. federal income tax purposes if such additional issuance is fungible with this issuance for U.S. federal income tax purposes.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4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At any time prior to                     , 20    (the date that is            months prior to the maturity date of the Senior Notes (the “Par Call Date”)), we may redeem the Senior Notes, in whole or from time to time in part, at our option, at a “make-whole” redemption price equal to the greater of:</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Senior Notes being redeemed; or</w:t>
      </w:r>
    </w:p>
    <w:p>
      <w:pPr>
        <w:spacing w:after="0" w:line="103"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Senior Notes being redeemed discounted to the redemption date (assuming the Senior Notes matured on the Par Call Date) on a semi-annual basis (assuming a 360-day year consisting of twelve 30- day months) at the treasury rate (as defined below) plus      basis points less (b) interest accrued to the date fixed for redemption;</w:t>
      </w:r>
    </w:p>
    <w:p>
      <w:pPr>
        <w:spacing w:after="0" w:line="116" w:lineRule="exact"/>
        <w:rPr>
          <w:sz w:val="20"/>
          <w:szCs w:val="20"/>
          <w:color w:val="auto"/>
        </w:rPr>
      </w:pPr>
    </w:p>
    <w:p>
      <w:pPr>
        <w:ind w:left="1260" w:right="639"/>
        <w:spacing w:after="0" w:line="250" w:lineRule="auto"/>
        <w:rPr>
          <w:sz w:val="20"/>
          <w:szCs w:val="20"/>
          <w:color w:val="auto"/>
        </w:rPr>
      </w:pPr>
      <w:r>
        <w:rPr>
          <w:rFonts w:ascii="Times New Roman" w:cs="Times New Roman" w:eastAsia="Times New Roman" w:hAnsi="Times New Roman"/>
          <w:sz w:val="18"/>
          <w:szCs w:val="18"/>
          <w:color w:val="auto"/>
        </w:rPr>
        <w:t>plus, in each case, accrued and unpaid interest thereon to the date fixed for redemption. At any time on or after the Par Call Date, we may redeem the Senior Notes, in whole or from time to time in part, at our option, at a redemption price equal to 100% of the principal amount of the Senior Notes being redeemed, plus accrued and unpaid interest thereon to the date fixed for redemption.</w:t>
      </w:r>
    </w:p>
    <w:p>
      <w:pPr>
        <w:spacing w:after="0" w:line="11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w:t>
      </w:r>
    </w:p>
    <w:p>
      <w:pPr>
        <w:spacing w:after="0" w:line="9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 Treasury constant maturities-Nominal” (or​ any successor caption or heading) (“H.15 TCM”). In determining the treasury rate, we shall select, as applicable:</w:t>
      </w:r>
    </w:p>
    <w:p>
      <w:pPr>
        <w:spacing w:after="0" w:line="112" w:lineRule="exact"/>
        <w:rPr>
          <w:sz w:val="20"/>
          <w:szCs w:val="20"/>
          <w:color w:val="auto"/>
        </w:rPr>
      </w:pPr>
    </w:p>
    <w:p>
      <w:pPr>
        <w:ind w:left="1620" w:right="859" w:firstLine="360"/>
        <w:spacing w:after="0" w:line="266" w:lineRule="auto"/>
        <w:tabs>
          <w:tab w:leader="none" w:pos="23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for the Treasury constant maturity on H.15 exactly equal to the period from the redemption date to the Par Call Date (the “Remaining Life”); or</w:t>
      </w:r>
    </w:p>
    <w:p>
      <w:pPr>
        <w:spacing w:after="0" w:line="94" w:lineRule="exact"/>
        <w:rPr>
          <w:rFonts w:ascii="Times New Roman" w:cs="Times New Roman" w:eastAsia="Times New Roman" w:hAnsi="Times New Roman"/>
          <w:sz w:val="18"/>
          <w:szCs w:val="18"/>
          <w:color w:val="auto"/>
        </w:rPr>
      </w:pPr>
    </w:p>
    <w:p>
      <w:pPr>
        <w:ind w:left="1620" w:right="559" w:firstLine="360"/>
        <w:spacing w:after="0" w:line="246" w:lineRule="auto"/>
        <w:tabs>
          <w:tab w:leader="none" w:pos="23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 and shall interpolate to the Par Call Date on a straight-line basis (using the actual number of days) using such yields and rounding the result to three decimal places; or</w:t>
      </w:r>
    </w:p>
    <w:p>
      <w:pPr>
        <w:spacing w:after="0" w:line="113" w:lineRule="exact"/>
        <w:rPr>
          <w:rFonts w:ascii="Times New Roman" w:cs="Times New Roman" w:eastAsia="Times New Roman" w:hAnsi="Times New Roman"/>
          <w:sz w:val="18"/>
          <w:szCs w:val="18"/>
          <w:color w:val="auto"/>
        </w:rPr>
      </w:pPr>
    </w:p>
    <w:p>
      <w:pPr>
        <w:ind w:left="1620" w:right="479" w:firstLine="360"/>
        <w:spacing w:after="0" w:line="250" w:lineRule="auto"/>
        <w:tabs>
          <w:tab w:leader="none" w:pos="23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1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 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17"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 The Trustee shall have no responsibility to calculate the redemption price.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will mail a notice of redemption to each holder of the Senior Notes by first-class mail at least 30 and not more than 60 days prior to the date fixed for redemption. Unless we default on payment of the redemption price, interest will cease to accrue on the Senior Notes or portions thereof called for redemption. If fewer than all of the Senior Notes are to be redeemed, the Trustee will select, not more than 60 days prior to the date fixed for redemption, the particular Senior Notes or portions thereof for redemption from the outstanding Senior Notes not previously called by such method as the Trustee deems fair and appropriate.</w:t>
      </w:r>
    </w:p>
    <w:p>
      <w:pPr>
        <w:spacing w:after="0" w:line="11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If at the time of mailing the notice of redemption, we have not irrevocably directed the Trustee to redeem the Senior Notes called for redemption, the notice may state that the redemption is subject to the receipt of the redemption moneys by the Trustee on or prior to the date fixed for redemption and that the notice will be of no effect unless such moneys are received on or prior to such date fixed for redemption.</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Senior Notes do not provide for any sinking fund.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Credit Event Redemption</w:t>
      </w:r>
    </w:p>
    <w:p>
      <w:pPr>
        <w:spacing w:after="0" w:line="16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If a Tax Credit Event (as defined below) occurs, we may redeem, upon a notice of redemption, the Senior Notes, in whole but not in part at a redemption price equal to 101% of the principal amount of the Senior Notes being redeemed, plus unpaid interest accrued up to but excluding the redemption date. A notice of redemption of the Senior Notes upon the occurrence of a Tax Credit Event (i) may only be sent by the later of (a) the end of the calendar year in which the Senior Notes were issued and (b) six months from the date of issuance of the Senior Notes and (ii) shall be accompanied by a certificate from an officer of the Company stating that a Tax Credit Event has occurred.</w:t>
      </w:r>
    </w:p>
    <w:p>
      <w:pPr>
        <w:spacing w:after="0" w:line="11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consummation of a redemption upon a Tax Credit Event may be subject to the paying agent’s receipt of the required redemption moneys on or before the redemption date (and in such case no such redemption shall occur unless such moneys have been received by the paying agent on or before such date).</w:t>
      </w:r>
    </w:p>
    <w:p>
      <w:pPr>
        <w:spacing w:after="0" w:line="109" w:lineRule="exact"/>
        <w:rPr>
          <w:sz w:val="20"/>
          <w:szCs w:val="20"/>
          <w:color w:val="auto"/>
        </w:rPr>
      </w:pPr>
    </w:p>
    <w:p>
      <w:pPr>
        <w:jc w:val="both"/>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A “Tax Credit Event” occurs with respect to the Senior Notes if, in our reasonable determination, there exists a material risk, due to Senior Notes (considered together with other debt) having been issued, as part of an original issuance, to one or more “specified foreign entities,” as defined in Section 7701(a)(51)(B) of the Code, that we or any of our affiliates would be unable to utilize or otherwise ineligible to claim any tax credits otherwise allowed under Section 38 of the Code.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Forms and Denomination</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Global Notes and Denominations</w:t>
      </w:r>
    </w:p>
    <w:p>
      <w:pPr>
        <w:spacing w:after="0" w:line="148"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The Senior Notes will be issued as one or more global notes in the name of a nominee of DTC and will be available only in book-entry form. See “Book-Entry System” in the accompanying prospectus. The Senior Notes will be available for purchase in a minimum denomination of $ 2,000 and multiples of $1,000 in excess thereof. We will make all payments of principal and interest on the Senior Notes to DTC in immediately available funds.</w:t>
      </w:r>
    </w:p>
    <w:p>
      <w:pPr>
        <w:spacing w:after="0" w:line="3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DTC, Clearstream and Euroclear</w:t>
      </w:r>
    </w:p>
    <w:p>
      <w:pPr>
        <w:spacing w:after="0" w:line="162"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Beneficial interests in a global note will be represented through book-entry accounts of financial institutions acting on behalf of beneficial owners as direct and indirect participants in DTC. Investors may elect to hold interests in a global note through either DTC (in the United States) or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Luxembourg (“Clearstream”), or Euroclear Bank S.A./N.V. (“Euroclear”), 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“Euroclear Operator”), either directly if they are participants in such systems or indirectly through organizations that are participants in such systems. Clearstream and Euroclear will hold interests on behalf of their participants through customers’ securities accounts in Clearstream’s and Euroclear’s names on the books of their U.S. depositaries, which in turn will hold such interests in customers’ securities accounts in the U.S. depositaries’ names on the books of DTC.</w:t>
      </w:r>
    </w:p>
    <w:p>
      <w:pPr>
        <w:spacing w:after="0" w:line="120"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For information regarding DTC and DTC’s procedures, see “Book-Entry System” in the accompanying prospectus. Clearstream has advised us that it is incorporated under the laws of Luxembourg as a professional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depositary. Clearstream holds securities for its customers and facilitates the clearance and settlement of securities transactions between its customers through electronic book-entry changes in accounts of its customers, thereby eliminating the need for physical movement of certificates. Clearstream provides to its customers,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Section. Clearstream customers are recognized financial institutions around the world, including underwriters, securities brokers and dealers, banks, trust companies, clearing corporations and other organizations and may include the underwriters. Indirect access to Clearstream is also available to others, such as banks, brokers, dealers and trust companies that clear through or maintain a custodial relationship with a Clearstream customer either directly or indirectly.</w:t>
      </w:r>
    </w:p>
    <w:p>
      <w:pPr>
        <w:spacing w:after="0" w:line="327"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Euroclear has advised us that it was created in 1968 to hold securities for participants of Euroclear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Euroclear is operated by the Euroclear Operator,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330" w:lineRule="exact"/>
        <w:rPr>
          <w:sz w:val="20"/>
          <w:szCs w:val="20"/>
          <w:color w:val="auto"/>
        </w:rPr>
      </w:pPr>
    </w:p>
    <w:p>
      <w:pPr>
        <w:jc w:val="both"/>
        <w:ind w:left="1260" w:right="1119" w:firstLine="360"/>
        <w:spacing w:after="0" w:line="250" w:lineRule="auto"/>
        <w:rPr>
          <w:sz w:val="20"/>
          <w:szCs w:val="20"/>
          <w:color w:val="auto"/>
        </w:rPr>
      </w:pPr>
      <w:r>
        <w:rPr>
          <w:rFonts w:ascii="Times New Roman" w:cs="Times New Roman" w:eastAsia="Times New Roman" w:hAnsi="Times New Roman"/>
          <w:sz w:val="18"/>
          <w:szCs w:val="18"/>
          <w:color w:val="auto"/>
        </w:rPr>
        <w:t>The Euroclear Operator has advised us that it is licensed by the Belgian Banking and Finance Commission to carry out banking activities on a global basis. As a Belgian bank, it is regulated and examined by the Belgian Banking and Finance Commission.</w:t>
      </w:r>
    </w:p>
    <w:p>
      <w:pPr>
        <w:spacing w:after="0" w:line="109"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have provided the descriptions of the operations and procedures of DTC, Clearstream and Euroclear in this prospectus supplement and the accompanying prospectus solely as a matter of convenience. These operations and procedures are solely within the control of those organizations and are subject to change by them from time to time. None of us, the underwriters or the trustee takes any responsibility for these operations or procedures, and you are urged to contact DTC, Clearstream and Euroclear or their participants directly to discuss these matters.</w:t>
      </w:r>
    </w:p>
    <w:p>
      <w:pPr>
        <w:spacing w:after="0" w:line="120"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Although DTC, Clearstream and Euroclear have agreed to the procedures provided below in order to facilitate transfers, they are under no obligation to perform these procedures, and these procedures may be modified or discontinued at any time.</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Payments on the Senior Notes represented by the global notes will be made to DTC or its nominee, as the case may be, as the registered owner thereof. We expect that DTC or its nominee, upon receipt of any payment on the Senior Notes represented by a global note, will credit participants’ accounts with payments in amounts proportionate to their respective beneficial interests in the global note as shown in the records of DTC or its nominee. We also expect that payments by participants to owners of beneficial interests in the global note held through such participants will be governed by standing instructions and customary practice as is now the case with securities held for the accounts of customers registered in the names of nominees for such customers. The participants will be responsible for those payments.</w:t>
      </w:r>
    </w:p>
    <w:p>
      <w:pPr>
        <w:spacing w:after="0" w:line="111"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Distributions on the Senior Notes held beneficially through Clearstream will be credited to cash accounts of its customers in accordance with its rules and procedures, to the extent received by the U.S. depositary for Clearstream.</w:t>
      </w:r>
    </w:p>
    <w:p>
      <w:pPr>
        <w:spacing w:after="0" w:line="10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(collectively, the “Terms and Conditions”). The Terms and Conditions</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16"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Distributions on the Senior Notes held beneficially through Euroclear will be credited to the cash accounts of its participants in accordance with the Terms and Conditions, to the extent received by the U.S. depositary for Euroclear.</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Clearance and Settlement Procedures</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Initial settlement for the Senior Notes will be made in immediately available funds. Secondary market trading between DTC participants will occur in the ordinary way in accordance with DTC rules and will be settled in immediately available funds. Secondary market trading between Clearstream customers and/or Euroclear participants will occur in the ordinary way in accordance with the applicable rules and operating procedures of Clearstream and Euroclear, as applicable, and will be settled using the procedures applicable to conventional eurobonds in immediately available funds.</w:t>
      </w:r>
    </w:p>
    <w:p>
      <w:pPr>
        <w:spacing w:after="0" w:line="10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customers or Euroclear participants, on the other hand, will be effected through DTC in accordance with DTC rules on behalf of the relevant European international clearing system by the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the U.S. depositary to take action to effect final settlement on its behalf by delivering or receiving the Senior Notes in DTC, and making or receiving payment in accordance with normal procedures for same-day funds settlement applicable to DTC. Clearstream customers and Euroclear participants may not deliver instructions directly to their U.S. depositaries.</w:t>
      </w:r>
    </w:p>
    <w:p>
      <w:pPr>
        <w:spacing w:after="0" w:line="12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Because of time-zone differences, credits of the Senior Notes received in Clearstream or Euroclear as a result of a transaction with a DTC participant will be made during subsequent securities settlement processing and dated the business day following the DTC settlement date. Such credits or any transactions in the Senior Notes settled during such processing will be reported to the relevant Clearstream customers or Euroclear participants on such business day. Cash received in Clearstream or Euroclear as a result of sales of the Senior Notes by or through a Clearstream customer or a Euroclear participant to a DTC participant will be received with value on the DTC settlement date but will be available in the relevant Clearstream or Euroclear cash account only as of the business day following settlement in DTC.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following discussion is a summary of certain U.S. federal income tax consequences relevant to the purchase, beneficial ownership and disposition of the Senior Notes offered by this prospectus supplement. This summary is based on the U.S. Internal Revenue Code of 1986, as amended, or the “Code”, Treasury regulations promulgated thereunder, or “Treasury Regulations”, administrative pronouncements of the U.S. Internal Revenue Service, or “IRS”, and judicial decisions, all as currently in effect and all of which are subject to change and to different interpretations. Changes to any of the foregoing authorities could apply on a retroactive basis, and could affect the U.S. federal income tax consequences described below. We will not seek a ruling from the IRS with respect to the matters discussed in this section, and we cannot assure you that the IRS will not challenge one or more of the tax consequences described below.</w:t>
      </w:r>
    </w:p>
    <w:p>
      <w:pPr>
        <w:spacing w:after="0" w:line="11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This summary does not address all of the U.S. federal income tax considerations that may be relevant to a particular investor’s circumstances (including the effects of Section 451 of the Code with respect to conforming the timing of income accruals to financial statements) and does not discuss any aspect of U.S. federal tax law other than income tax law or any state, local or non-U.S. tax consequences of the purchase, beneficial ownership and disposition of the Senior Notes. This summary addresses only Senior Notes purchased for cash pursuant to this offering at the offer price set forth on the front cover hereof and held as a capital asset and does not address U.S. federal income tax considerations applicable to investors that may be subject to special tax rules, such as:</w:t>
      </w:r>
    </w:p>
    <w:p>
      <w:pPr>
        <w:spacing w:after="0" w:line="78" w:lineRule="exact"/>
        <w:rPr>
          <w:sz w:val="20"/>
          <w:szCs w:val="20"/>
          <w:color w:val="auto"/>
        </w:rPr>
      </w:pPr>
    </w:p>
    <w:p>
      <w:pPr>
        <w:ind w:left="1800" w:right="11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electing mark-to-market treatment or dealers or brokers in securities or currencies;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thrifts or other financial institutions;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plans;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75"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Senior Notes as part of a “straddle,” “hedge,” “synthetic security” or “conversion transaction” for U.S. federal income tax purposes, or as part of some other integrated investment;</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and investors therein;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pay the alternative minimum tax;</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former residents of the United States;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Senior Notes under the constructive sale provisions of the Code;</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or “controlled foreign corporations”, each within the meaning of the Code; or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5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As used herein, a “U.S. Holder” is a beneficial owner of Senior Notes that is, for U.S. federal income tax purposes, (i) an individual citizen or resident of the United States, (ii) a corporation created or organized in or under the laws of the United States, any state thereof or the District of Columbia, (iii) an estate whose income is subject to U.S. federal income tax regardless of its source, or (iv) a trust if (A) a United States court has the authority to exercise primary supervision over the administration of the trust and one or more U.S. persons (as defined in the Code) are authorized to control all substantial decisions of the trust or (B) it has a valid election in place to be treated as a U.S. person.</w:t>
      </w:r>
    </w:p>
    <w:p>
      <w:pPr>
        <w:spacing w:after="0" w:line="114"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A “Non-U.S. Holder” is any beneficial owner of the Senior Notes that is neither a U.S. Holder nor a partnership (including an entity or arrangement treated as a partnership for U.S. federal income tax purposes).</w:t>
      </w:r>
    </w:p>
    <w:p>
      <w:pPr>
        <w:spacing w:after="0" w:line="102"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Senior Notes, the U.S. federal income tax treatment of a partner will generally depend on the status of the partner and the activities of the partnership. A partnership holding Senior Notes, and</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partners in such a partnership, should consult their own tax advisors with regard to the U.S. federal income tax consequences of the purchase, ownership and disposition of the Senior Notes by the partnership.</w:t>
      </w:r>
    </w:p>
    <w:p>
      <w:pPr>
        <w:spacing w:after="0" w:line="94"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DISCUSSION OF CERTAIN U.S. FEDERAL INCOME TAX CONSEQUENCES OF THE PURCHASE, OWNERSHIP AND DISPOSITION OF THE SENIOR NOTES IS NOT INTENDED TO BE, NOR SHOULD IT BE CONSTRUED TO BE, LEGAL OR TAX ADVICE TO ANY PARTICULAR PERSON. ACCORDINGLY, ALL PROSPECTIVE INVESTORS ARE URGED TO CONSULT THEIR TAX ADVISORS WITH RESPECT TO THE U.S. FEDERAL, STATE AND LOCAL AND NON-U.S. TAX CONSEQUENCES RELATING TO THE PURCHASE, OWNERSHIP AND DISPOSITION OF THE SENIOR NOTES BASED ON THEIR PARTICULAR CIRCUMSTANCES.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Federal Income Taxation of U.S. Holders</w:t>
      </w:r>
    </w:p>
    <w:p>
      <w:pPr>
        <w:spacing w:after="0" w:line="158" w:lineRule="exact"/>
        <w:rPr>
          <w:sz w:val="20"/>
          <w:szCs w:val="20"/>
          <w:color w:val="auto"/>
        </w:rPr>
      </w:pPr>
    </w:p>
    <w:p>
      <w:pPr>
        <w:ind w:left="1260" w:right="7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Payments of Interest. </w:t>
      </w:r>
      <w:r>
        <w:rPr>
          <w:rFonts w:ascii="Times New Roman" w:cs="Times New Roman" w:eastAsia="Times New Roman" w:hAnsi="Times New Roman"/>
          <w:sz w:val="18"/>
          <w:szCs w:val="18"/>
          <w:color w:val="auto"/>
        </w:rPr>
        <w:t>Interest on Senior Notes generally will be taxable to a U.S. Holder as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from U.S. sources at the time that such interest is paid or accrued, in accordance with the U.S. Holder’s regular method of accounting for U.S. federal income tax purposes.</w:t>
      </w:r>
    </w:p>
    <w:p>
      <w:pPr>
        <w:spacing w:after="0" w:line="94"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It is expected, and this discussion assumes, that the Senior Notes will be issued with no more than de minimis original issue discount for U.S. federal income tax purposes.</w:t>
      </w:r>
    </w:p>
    <w:p>
      <w:pPr>
        <w:spacing w:after="0" w:line="9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Retirement or Other Taxable Disposition of Senior Notes. </w:t>
      </w:r>
      <w:r>
        <w:rPr>
          <w:rFonts w:ascii="Times New Roman" w:cs="Times New Roman" w:eastAsia="Times New Roman" w:hAnsi="Times New Roman"/>
          <w:sz w:val="18"/>
          <w:szCs w:val="18"/>
          <w:color w:val="auto"/>
        </w:rPr>
        <w:t>Upon the sale, retirement or other taxable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disposition of Senior Notes, a U.S. Holder generally will recognize U.S.-source gain or loss equal to the difference between the amount realized upon the sale, retirement or other taxable disposition (other than amounts representing accrued and unpaid qualified stated interest, which will be taxable as ordinary interest income to the extent not previously included in gross income) and the U.S. Holder’s adjusted tax basis in the Senior Notes. In general, the U.S. Holder’s adjusted tax basis in the Senior Notes will equal the U.S. Holder’s initial investment in Senior Notes, reduced by any cash payments previously received in respect of the Senior Notes (other than qualified stated interest payments) and by any amortizable bond premium previously amortized. Such gain or loss generally will be capital gain or loss and will be long-term capital gain or loss if at the time of sale, retirement or other taxable disposition the Senior Notes have been held for more than one year. Under current U.S. federal income tax law, certain non-corporate U.S. Holders, including individuals, are eligible for preferential rates of U.S. federal income taxation in respect of long-term capital gains. The deductibility of capital losses is subject to limitations.</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Investment Income Tax. </w:t>
      </w:r>
      <w:r>
        <w:rPr>
          <w:rFonts w:ascii="Times New Roman" w:cs="Times New Roman" w:eastAsia="Times New Roman" w:hAnsi="Times New Roman"/>
          <w:sz w:val="18"/>
          <w:szCs w:val="18"/>
          <w:color w:val="auto"/>
        </w:rPr>
        <w:t>A U.S. Holder that is an individual or estate, or a trust that does not fall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a special class of trusts that is exempt from such tax, is subject to a 3.8% tax on the lesser of (1) the U.S. Holder’s “net investment income” (in​ the case of individuals) or “undistributed net investment income” (in the case of estates and trusts) for the relevant taxable year and (2) the excess of the U.S. Holder’s “modified adjusted gross income” (in​ the case of individuals) or “adjusted gross income” (in​ the case of estates and trusts) for the taxable year over a certain threshold (which, in the case of individuals, will be between $125,000 and $250,000, depending on the individual’s circumstances). A U.S. Holder’s net investment income will generally include its interest income from the Senior Notes and net gain from the disposition of the Senior Notes, unless such interest income and net gain is derived in the ordinary course of the conduct of a trade or business (other than a trade or business that consists of certain passive or trading activities). Net investment income may, however, be reduced by properly allocable deductions to such income. U.S. Holders that are individuals, estates or trusts are urged to consult their tax advisors regarding the applicability of the net investment income tax to their income and gains from the Senior Notes.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Federal Income Taxation of Non-U.S. Holders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Subject to the discussion below concerning backup withholding and FATCA:</w:t>
      </w:r>
    </w:p>
    <w:p>
      <w:pPr>
        <w:spacing w:after="0" w:line="158" w:lineRule="exact"/>
        <w:rPr>
          <w:sz w:val="20"/>
          <w:szCs w:val="20"/>
          <w:color w:val="auto"/>
        </w:rPr>
      </w:pPr>
    </w:p>
    <w:p>
      <w:pPr>
        <w:jc w:val="both"/>
        <w:ind w:left="1620" w:right="639" w:firstLine="360"/>
        <w:spacing w:after="0" w:line="266" w:lineRule="auto"/>
        <w:tabs>
          <w:tab w:leader="none" w:pos="23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on the Senior Notes by us or our paying agent to any Non-U.S. Holder generally will be exempt from the 30% U.S. federal withholding tax (or lower applicable treaty rate) and federal income tax, provided that:</w:t>
      </w:r>
    </w:p>
    <w:p>
      <w:pPr>
        <w:spacing w:after="0" w:line="68" w:lineRule="exact"/>
        <w:rPr>
          <w:sz w:val="20"/>
          <w:szCs w:val="20"/>
          <w:color w:val="auto"/>
        </w:rPr>
      </w:pPr>
    </w:p>
    <w:p>
      <w:pPr>
        <w:ind w:left="2160" w:right="1139" w:hanging="180"/>
        <w:spacing w:after="0" w:line="282" w:lineRule="auto"/>
        <w:tabs>
          <w:tab w:leader="none" w:pos="2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own, actually or constructively, 10% or more of the total combined voting power of all classes of our stock entitled to vote;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160" w:right="619" w:hanging="180"/>
        <w:spacing w:after="0" w:line="266" w:lineRule="auto"/>
        <w:tabs>
          <w:tab w:leader="none" w:pos="2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is not effectively connected with the conduct by the Non-U.S. Holder of a trade or business within the United States (or, if a tax treaty applies, is not attributable to a permanent establishment or fixed base maintained by the Non-U.S. Holder in the United States); and</w:t>
      </w:r>
    </w:p>
    <w:p>
      <w:pPr>
        <w:spacing w:after="0" w:line="67" w:lineRule="exact"/>
        <w:rPr>
          <w:rFonts w:ascii="Times New Roman" w:cs="Times New Roman" w:eastAsia="Times New Roman" w:hAnsi="Times New Roman"/>
          <w:sz w:val="18"/>
          <w:szCs w:val="18"/>
          <w:color w:val="auto"/>
        </w:rPr>
      </w:pPr>
    </w:p>
    <w:p>
      <w:pPr>
        <w:ind w:left="2160" w:right="439" w:hanging="180"/>
        <w:spacing w:after="0" w:line="282" w:lineRule="auto"/>
        <w:tabs>
          <w:tab w:leader="none" w:pos="2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requirement has been fulfilled with respect to the beneficial owner, as discussed below.</w:t>
      </w:r>
    </w:p>
    <w:p>
      <w:pPr>
        <w:spacing w:after="0" w:line="94" w:lineRule="exact"/>
        <w:rPr>
          <w:sz w:val="20"/>
          <w:szCs w:val="20"/>
          <w:color w:val="auto"/>
        </w:rPr>
      </w:pPr>
    </w:p>
    <w:p>
      <w:pPr>
        <w:ind w:left="1620" w:right="479" w:firstLine="360"/>
        <w:spacing w:after="0" w:line="243" w:lineRule="auto"/>
        <w:rPr>
          <w:sz w:val="20"/>
          <w:szCs w:val="20"/>
          <w:color w:val="auto"/>
        </w:rPr>
      </w:pPr>
      <w:r>
        <w:rPr>
          <w:rFonts w:ascii="Times New Roman" w:cs="Times New Roman" w:eastAsia="Times New Roman" w:hAnsi="Times New Roman"/>
          <w:sz w:val="18"/>
          <w:szCs w:val="18"/>
          <w:color w:val="auto"/>
        </w:rPr>
        <w:t>The certification requirement referred to above will be fulfilled if (i) the beneficial owner of the Senior Notes certifies on a properly executed IRS Form W-8BEN or W-8BEN-E, as applicable, or applicable successor form, under penalties of perjury, that such beneficial owner is not a U.S. person, provides its name and address and certifies the other relevant factual information supporting its exemption, and (ii) the beneficial owner provides the IRS Form W-8BEN or W-8BEN- E, as applicable, or applicable successor form with the paying agent, or in the case of Senior Notes held on behalf of the beneficial owner by a securities clearing organization, bank, or other financial institution holding customers’ securities in the ordinary course of its trade or business, such financial institution provides the paying agent a statement that it has received the IRS Form W-8BEN or W-8BEN-E, as applicable, or applicable successor form, from the beneficial owner and furnishes the paying agent with a copy.</w:t>
      </w:r>
    </w:p>
    <w:p>
      <w:pPr>
        <w:spacing w:after="0" w:line="118" w:lineRule="exact"/>
        <w:rPr>
          <w:sz w:val="20"/>
          <w:szCs w:val="20"/>
          <w:color w:val="auto"/>
        </w:rPr>
      </w:pPr>
    </w:p>
    <w:p>
      <w:pPr>
        <w:ind w:left="1620" w:right="819" w:firstLine="360"/>
        <w:spacing w:after="0" w:line="266"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possible additional reporting requirements.</w:t>
      </w:r>
    </w:p>
    <w:p>
      <w:pPr>
        <w:spacing w:after="0" w:line="95" w:lineRule="exact"/>
        <w:rPr>
          <w:sz w:val="20"/>
          <w:szCs w:val="20"/>
          <w:color w:val="auto"/>
        </w:rPr>
      </w:pPr>
    </w:p>
    <w:p>
      <w:pPr>
        <w:ind w:left="1620" w:right="599" w:firstLine="360"/>
        <w:spacing w:after="0" w:line="266" w:lineRule="auto"/>
        <w:tabs>
          <w:tab w:leader="none" w:pos="23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generally will not be subject to U.S. federal income tax on gain realized on the sale, redemption, retirement or other taxable disposition of the Senior Notes, unless:</w:t>
      </w:r>
    </w:p>
    <w:p>
      <w:pPr>
        <w:spacing w:after="0" w:line="54" w:lineRule="exact"/>
        <w:rPr>
          <w:sz w:val="20"/>
          <w:szCs w:val="20"/>
          <w:color w:val="auto"/>
        </w:rPr>
      </w:pPr>
    </w:p>
    <w:p>
      <w:pPr>
        <w:ind w:left="2160" w:right="839" w:hanging="180"/>
        <w:spacing w:after="0" w:line="282" w:lineRule="auto"/>
        <w:tabs>
          <w:tab w:leader="none" w:pos="2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U.S. for 183 days or more in the taxable year of the disposition and certain other conditions are met; or</w:t>
      </w:r>
    </w:p>
    <w:p>
      <w:pPr>
        <w:spacing w:after="0" w:line="53" w:lineRule="exact"/>
        <w:rPr>
          <w:rFonts w:ascii="Times New Roman" w:cs="Times New Roman" w:eastAsia="Times New Roman" w:hAnsi="Times New Roman"/>
          <w:sz w:val="18"/>
          <w:szCs w:val="18"/>
          <w:color w:val="auto"/>
        </w:rPr>
      </w:pPr>
    </w:p>
    <w:p>
      <w:pPr>
        <w:ind w:left="2160" w:right="659" w:hanging="180"/>
        <w:spacing w:after="0" w:line="266" w:lineRule="auto"/>
        <w:tabs>
          <w:tab w:leader="none" w:pos="2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tax treaty, is attributable to a permanent establishment or fixed base maintained by the Non-U.S. Holder in the United States).</w:t>
      </w:r>
    </w:p>
    <w:p>
      <w:pPr>
        <w:spacing w:after="0" w:line="10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If a Non- U.S. Holder is described in the first bullet in paragraph (b) above, such Non-U.S. Holder generally will be subject to U.S. federal income tax at a rate of 30% on the amount by which such Non -U.S. Holder’s capital gains allocable to United States sources, including gain from such disposition, exceed any capital losses allocable to United States sources, except as otherwise required by an applicable income tax treaty.</w:t>
      </w:r>
    </w:p>
    <w:p>
      <w:pPr>
        <w:spacing w:after="0" w:line="32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To the extent the amount realized on a sale, redemption, retirement or other taxable disposition of the Senior Notes is attributable to accrued but unpaid interest on the Senior Notes, this amount generally will be treated in the same manner as described in paragraph (a) above.</w:t>
      </w:r>
    </w:p>
    <w:p>
      <w:pPr>
        <w:spacing w:after="0" w:line="10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With regard to paragraphs (a) and (b) above, if a Non-U.S. Holder of Senior Notes is engaged in the conduct of a trade or business in the United States, and interest on the Senior Notes, or gain realized on its sale, retirement or other taxable disposition of the Senior Notes is effectively connected with the conduct of such trade or business (and, if required by an applicable tax treaty, is attributable to a permanent establishment or fixed base maintained by the Non-U.S. Holder in the United States), the Non-U.S. Holder, although exempt from the withholding tax discussed in the preceding paragraphs, will be subject to U.S. federal income tax on its effectively connected income, generally in the same manner as a U.S. Holder (but without regard to the net investment income tax described above). See “Certain U.S. Federal Income Tax Considerations — U.S. Federal Income Taxation of U.S. Holders” above. In addition, a Non-U.S. Holder that is a corporation for U.S. federal income tax purposes may be subject to a 30% branch profits tax (unless reduced or eliminated by an applicable tax treaty) on its effectively connected earnings and profits, subject to certain adjustments. In lieu of the IRS forms described above, such a Non-U.S. Holder will be required to provide to the paying agent a properly completed and executed IRS Form W-8ECI or applicable successor form to claim an exemption from withholding.</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58" w:lineRule="exact"/>
        <w:rPr>
          <w:sz w:val="20"/>
          <w:szCs w:val="20"/>
          <w:color w:val="auto"/>
        </w:rPr>
      </w:pPr>
    </w:p>
    <w:p>
      <w:pPr>
        <w:ind w:left="1260" w:right="519" w:firstLine="3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Holders. </w:t>
      </w:r>
      <w:r>
        <w:rPr>
          <w:rFonts w:ascii="Times New Roman" w:cs="Times New Roman" w:eastAsia="Times New Roman" w:hAnsi="Times New Roman"/>
          <w:sz w:val="18"/>
          <w:szCs w:val="18"/>
          <w:color w:val="auto"/>
        </w:rPr>
        <w:t>In general, a U.S. Holder (other than an exempt recipient) will be subject to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reporting requirements with respect to payments of principal and interest in respect of, and the proceeds from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0" w:lineRule="auto"/>
        <w:rPr>
          <w:sz w:val="20"/>
          <w:szCs w:val="20"/>
          <w:color w:val="auto"/>
        </w:rPr>
      </w:pPr>
      <w:r>
        <w:rPr>
          <w:rFonts w:ascii="Times New Roman" w:cs="Times New Roman" w:eastAsia="Times New Roman" w:hAnsi="Times New Roman"/>
          <w:sz w:val="18"/>
          <w:szCs w:val="18"/>
          <w:color w:val="auto"/>
        </w:rPr>
        <w:t>a sale, redemption or other disposition before maturity of the Senior Notes. In addition, a U.S. Holder may be subject to backup withholding on such payments if the U.S. Holder (i) fails to provide an accurate taxpayer identification number to the payor; (ii) has been notified by the IRS of a failure to report all interest or dividends required to be shown on its U.S. federal income tax returns; or (iii) otherwise fails to comply with applicable certification requirements.</w:t>
      </w:r>
    </w:p>
    <w:p>
      <w:pPr>
        <w:spacing w:after="0" w:line="110"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Any amounts withheld under the backup withholding rules will be allowed as a refund or a credit against a U.S. Holder’s U.S. federal income tax liability, provided the required information is furnished to the IRS on a timely basis. U.S. Holders should consult their tax advisors regarding the application of information reporting and backup withholding rules in their particular situations, the availability of an exemption therefrom and the procedure for obtaining such an exemption, if applicable.</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Non-U.S. Holders. </w:t>
      </w:r>
      <w:r>
        <w:rPr>
          <w:rFonts w:ascii="Times New Roman" w:cs="Times New Roman" w:eastAsia="Times New Roman" w:hAnsi="Times New Roman"/>
          <w:sz w:val="18"/>
          <w:szCs w:val="18"/>
          <w:color w:val="auto"/>
        </w:rPr>
        <w:t>In general, we or our paying agent must report to the IRS and to a Non-U.S. 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amount of interest on the Senior Notes paid to the Non-U.S. Holder and the amount of U.S. federal withholding tax, if any, deducted from those payments. Copies of the information returns reporting such interest payments and any associated U.S. federal withholding tax also may be made available to the tax authorities in the country in which the Non-U.S. Holder resides under the provisions of an applicable tax treaty. A Non-U.S. Holder generally will not be subject to backup withholding with respect to payments that we make on the Senior Notes provided that we or our paying agent does not have actual knowledge or reason to know that the Non-U.S. Holder is a U.S. person, and we or our paying agent has received from the Non-U.S. Holder an appropriate certification establishing non-U.S. status or other exemption from backup withholding (i.e., IRS Form W-8BEN or W-8BEN-E, as applicable, W-8ECI or other applicable IRS Form W-8 or applicable successor form). Information reporting and, depending on the circumstances, backup withholding will apply to the payment of the proceeds of a sale of Senior Notes that is effected within the United States or effected outside the United States through certain U.S.-related financial intermediaries, unless the Non-U.S. Holder certifies under penalty of perjury as to its non-U.S. status, and the payor does not have actual knowledge or reason to know that the beneficial owner is a U.S. person, or the Non-U.S. Holder otherwise establishes an exemption.</w:t>
      </w:r>
    </w:p>
    <w:p>
      <w:pPr>
        <w:spacing w:after="0" w:line="329"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Any amounts withheld under the backup withholding rules will be allowed as a refund or a credit against a Non -U.S. Holder’s U.S. federal income tax liability, provided the required information is furnished to the IRS on a timely basis. Non-U.S. Holders of Senior Notes should consult their tax advisors regarding the application of information reporting and backup withholding in their particular situations, the availability of an exemption therefrom, and the procedure for obtaining an exemption, if applicable.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Pursuant to the Foreign Account Tax Compliance Act, or “FATCA,” foreign financial institutions (which term includes most foreign banks, hedge funds, private equity funds, mutual funds, securitization vehicles and other investment vehicles) and certain other foreign entities generally must comply with certain information reporting rules with respect to their U.S. account holders and investors or confront a withholding tax on U.S.- source payments made to them (whether received as a beneficial owner or as an intermediary for another party). A foreign financial institution or such other foreign entity that does not comply with the FATCA reporting requirements will generally be subject to a 30% withholding tax with respect to any “withholdable payments.” For this purpose, withholdable payments generally include U.S.-source payments otherwise subject to nonresident withholding tax (e.g., U.S.- source interest) and also include the entire gross proceeds from the sale or other disposition of any debt instruments of U.S. issuers, even if the payment would otherwise not be subject to U.S. nonresident withholding tax (e.g., because it is capital gain). Withholding under FATCA, if required, generally will apply to payments of U.S.-source interest on the Senior Notes and gross proceeds (including principal payments) from dispositions (including redemptions) of the Senior Notes. The IRS has issued proposed Treasury Regulations that would eliminate the application of this regime with respect to payments of gross proceeds (but not interest). Pursuant to these proposed Treasury Regulations, we and any other applicable withholding agent may (but are not required to) rely on this proposed change to FATCA withholding until final regulations are issued or until such proposed regulations are rescinded. Foreign financial institutions located in jurisdictions that have an intergovernmental agreement with the United States pursuant to FATCA may be subject to different rules with respect to information reporting and related requirements.</w:t>
      </w:r>
    </w:p>
    <w:p>
      <w:pPr>
        <w:spacing w:after="0" w:line="200" w:lineRule="exact"/>
        <w:rPr>
          <w:sz w:val="20"/>
          <w:szCs w:val="20"/>
          <w:color w:val="auto"/>
        </w:rPr>
      </w:pP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will not pay any additional amounts to Non-U.S. Holders in respect of any amounts withheld, including pursuant to FATCA. Under certain circumstances, a Non-U.S. Holder might be eligible for refunds or credits of such taxes. Non-U.S. Holders are urged to consult with their own tax advisors regarding the effect, if any, of the FATCA provisions to them based on their particular circumstances.</w:t>
      </w:r>
    </w:p>
    <w:p>
      <w:pPr>
        <w:spacing w:after="0" w:line="10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The preceding discussion of certain U.S. federal income tax consequences is general information only and is not tax advice. Accordingly, you should consult your own tax advisor as to the particular tax consequences to you of purchasing, holding or disposing of Senior Notes, including the applicability and effect of any U.S. federal non-income, state, local or non-U.S. tax laws, and of any changes or proposed changes in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 the date of this prospectus supplement, we have agreed to sell to each of the underwriters named below, for which Barclays Capital Inc., BofA Securities, Inc., PNC Capital Markets LLC, and Scotia Capital (USA) Inc. are acting as Representatives, and each of the underwriters has severally, and not jointly, agreed to purchase from us, the respective amount of Senior Notes set forth opposite its name below:</w:t>
      </w:r>
    </w:p>
    <w:p>
      <w:pPr>
        <w:spacing w:after="0" w:line="13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4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40" w:type="dxa"/>
            <w:vAlign w:val="bottom"/>
          </w:tcPr>
          <w:p>
            <w:pPr>
              <w:spacing w:after="0"/>
              <w:rPr>
                <w:sz w:val="14"/>
                <w:szCs w:val="14"/>
                <w:color w:val="auto"/>
              </w:rPr>
            </w:pPr>
          </w:p>
        </w:tc>
      </w:tr>
      <w:tr>
        <w:trPr>
          <w:trHeight w:val="214"/>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12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Senior Notes </w:t>
            </w:r>
            <w:r>
              <w:rPr>
                <w:rFonts w:ascii="Times New Roman" w:cs="Times New Roman" w:eastAsia="Times New Roman" w:hAnsi="Times New Roman"/>
                <w:sz w:val="24"/>
                <w:szCs w:val="24"/>
                <w:b w:val="1"/>
                <w:bCs w:val="1"/>
                <w:color w:val="auto"/>
                <w:vertAlign w:val="subscript"/>
              </w:rPr>
              <w:t>​</w:t>
            </w:r>
          </w:p>
        </w:tc>
      </w:tr>
      <w:tr>
        <w:trPr>
          <w:trHeight w:val="20"/>
        </w:trPr>
        <w:tc>
          <w:tcPr>
            <w:tcW w:w="440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0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040" w:type="dxa"/>
            <w:vAlign w:val="bottom"/>
          </w:tcPr>
          <w:p>
            <w:pPr>
              <w:spacing w:after="0"/>
              <w:rPr>
                <w:sz w:val="22"/>
                <w:szCs w:val="22"/>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204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2040" w:type="dxa"/>
            <w:vAlign w:val="bottom"/>
          </w:tcPr>
          <w:p>
            <w:pPr>
              <w:spacing w:after="0"/>
              <w:rPr>
                <w:sz w:val="22"/>
                <w:szCs w:val="22"/>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204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80" w:type="dxa"/>
            <w:vAlign w:val="bottom"/>
            <w:gridSpan w:val="4"/>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4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r>
      <w:tr>
        <w:trPr>
          <w:trHeight w:val="20"/>
        </w:trPr>
        <w:tc>
          <w:tcPr>
            <w:tcW w:w="4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-1028065</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If any of the Senior Notes are purchased by the underwriters under the underwriting agreement, then all of the Senior Notes must be purchased.</w:t>
      </w:r>
    </w:p>
    <w:p>
      <w:pPr>
        <w:spacing w:after="0" w:line="9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Senior Notes to the public at the public offering price set forth on the cover page of this prospectus supplement. They also may offer the Senior Notes to dealers at the public offering price less a concession not in excess of         % of the principal amount of the Senior Notes. The underwriters may allow, and the dealers may reallow, a concession not in excess of         % of the principal amount of the Senior Notes on sales to other dealers. After the initial offering of the Senior Notes to the public is completed, the underwriters may change the offering price.</w:t>
      </w:r>
    </w:p>
    <w:p>
      <w:pPr>
        <w:spacing w:after="0" w:line="10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shows the underwriting discount that we will pay to the underwriters in connection with this offering of the Senior Notes.</w:t>
      </w:r>
    </w:p>
    <w:tbl>
      <w:tblPr>
        <w:tblLayout w:type="fixed"/>
        <w:tblInd w:w="1260" w:type="dxa"/>
        <w:tblCellMar>
          <w:top w:w="0" w:type="dxa"/>
          <w:left w:w="0" w:type="dxa"/>
          <w:bottom w:w="0" w:type="dxa"/>
          <w:right w:w="0" w:type="dxa"/>
        </w:tblCellMar>
      </w:tblPr>
      <w:tr>
        <w:trPr>
          <w:trHeight w:val="378"/>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Per Senior Note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Total</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 Senior Notes, Series due                      , 20   </w:t>
            </w:r>
          </w:p>
        </w:tc>
        <w:tc>
          <w:tcPr>
            <w:tcW w:w="1280" w:type="dxa"/>
            <w:vAlign w:val="bottom"/>
            <w:tcBorders>
              <w:top w:val="single" w:sz="8" w:color="CCEEFF"/>
            </w:tcBorders>
            <w:vMerge w:val="restart"/>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08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060" w:type="dxa"/>
            <w:vAlign w:val="bottom"/>
            <w:gridSpan w:val="2"/>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140" w:type="dxa"/>
            <w:vAlign w:val="bottom"/>
            <w:vMerge w:val="continue"/>
            <w:shd w:val="clear" w:color="auto" w:fill="CCEEFF"/>
          </w:tcPr>
          <w:p>
            <w:pPr>
              <w:spacing w:after="0"/>
              <w:rPr>
                <w:sz w:val="5"/>
                <w:szCs w:val="5"/>
                <w:color w:val="auto"/>
              </w:rPr>
            </w:pPr>
          </w:p>
        </w:tc>
        <w:tc>
          <w:tcPr>
            <w:tcW w:w="64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48520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124"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We estimate that our total expenses for this offering, not including the underwriting discount, will be approximately $1,100,000.</w:t>
      </w:r>
    </w:p>
    <w:p>
      <w:pPr>
        <w:spacing w:after="0" w:line="81"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the Senior Notes. We do not intend to apply to list the Senior Notes on any securities exchange or to include the Senior Notes in any automated quotation system. The underwriters have informed us that they may make a market in the Senior Notes from time to time. The underwriters are under no obligation to make a market in the Senior Notes and any such market may be discontinued without notice.</w:t>
      </w:r>
    </w:p>
    <w:p>
      <w:pPr>
        <w:spacing w:after="0" w:line="11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offering of the Senior Notes, the rules of the SEC permit the underwriters to engage in transactions that stabilize the price of the Senior Notes. These transactions may consist of bids or purchases for the purpose of pegging, fixing or maintaining the price of the Senior Notes. If the underwriters create a short position in the Senior Notes (that is, if they sell a larger principal amount of the Senior Notes than is set forth on the cover page of this prospectus supplement), the underwriters may reduce that short position by purchasing Senior Notes in the open market.</w:t>
      </w:r>
    </w:p>
    <w:p>
      <w:pPr>
        <w:spacing w:after="0" w:line="120"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In general, purchases of a security for the purpose of stabilization or to reduce a short position could cause the price of the security to be higher than it might otherwise be in the absence of those purchases. Neither we nor any of the underwriters can predict the direction or magnitude of any effect that the transactions described above may have on the price of the Senior Notes. In addition, neither we nor any of the underwriters can assure you that the underwriters will in fact engage in these transactions, or that these transactions, once begun, will not be discontinued without notice by the underwriters.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Alternatively, we may be required to contribute to payments that the underwriters may be required to make as a result of these liabilities.</w:t>
      </w:r>
    </w:p>
    <w:p>
      <w:pPr>
        <w:spacing w:after="0" w:line="108" w:lineRule="exact"/>
        <w:rPr>
          <w:sz w:val="20"/>
          <w:szCs w:val="20"/>
          <w:color w:val="auto"/>
        </w:rPr>
      </w:pPr>
    </w:p>
    <w:p>
      <w:pPr>
        <w:jc w:val="both"/>
        <w:ind w:left="1260" w:right="619" w:firstLine="360"/>
        <w:spacing w:after="0" w:line="257" w:lineRule="auto"/>
        <w:rPr>
          <w:sz w:val="20"/>
          <w:szCs w:val="20"/>
          <w:color w:val="auto"/>
        </w:rPr>
      </w:pPr>
      <w:r>
        <w:rPr>
          <w:rFonts w:ascii="Times New Roman" w:cs="Times New Roman" w:eastAsia="Times New Roman" w:hAnsi="Times New Roman"/>
          <w:sz w:val="18"/>
          <w:szCs w:val="18"/>
          <w:color w:val="auto"/>
        </w:rPr>
        <w:t>It is expected that delivery of the Senior Notes will be made against payment therefor on or about the date specified on the cover page of this prospectus supplement, which is the         business day following the date of this prospectus supplement (such settlement cycle being referred to as “T+     ”). Under</w:t>
      </w:r>
    </w:p>
    <w:p>
      <w:pPr>
        <w:spacing w:after="0" w:line="1"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Rule 15c6-1 under the Securities Exchange Act of 1934, trades in the secondary market generally are required to settle in one business day unless the parties to any such trade expressly agree otherwise. Accordingly, purchasers who wish to trade the Senior Notes on the date of this prospectus supplement or the next                     succeeding business days will be required, by virtue of the fact that the Senior Notes initially will settle in T+            , to specify an alternative settlement cycle at the time of any such trade to prevent failed settlement. Purchasers of the Senior Notes who wish to trade the Senior Notes on the date of this prospectus supplement should consult their own advisors.</w:t>
      </w:r>
    </w:p>
    <w:p>
      <w:pPr>
        <w:spacing w:after="0" w:line="12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respective businesses, the underwriters and their affiliates have provided, and may in the future provide, investment banking, advisory or commercial banking services to us and our affiliates for which they have received, or may receive, customary fees and expenses. Affiliates of certain of the underwriters are participants in our credit facility and some of OGE Energy’s credit facilities.</w:t>
      </w:r>
    </w:p>
    <w:p>
      <w:pPr>
        <w:spacing w:after="0" w:line="10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Underwriters or their affiliates that have a lending relationship with us, if any, may hedge their credit exposure to us consistent with their customary risk management policies. Typically, such underwriters and their respective affiliates would hedge such exposure by entering into transactions which consist of either the purchase of credit default swaps or the creation of short positions in our securities, including potentially the Senior Notes offered hereby. Any such credit default swaps or short positions could adversely affect future trading prices of the Senior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00" w:lineRule="exact"/>
        <w:rPr>
          <w:sz w:val="20"/>
          <w:szCs w:val="20"/>
          <w:color w:val="auto"/>
        </w:rPr>
      </w:pPr>
    </w:p>
    <w:p>
      <w:pPr>
        <w:spacing w:after="0" w:line="202" w:lineRule="exact"/>
        <w:rPr>
          <w:sz w:val="20"/>
          <w:szCs w:val="20"/>
          <w:color w:val="auto"/>
        </w:rPr>
      </w:pPr>
    </w:p>
    <w:p>
      <w:pPr>
        <w:jc w:val="center"/>
        <w:ind w:right="5939"/>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62"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This prospectus supplement, the accompanying prospectus or any other disclosure document (as defined in the Corporations Act 2001 (Cth) of Australia (the “Corporations Act”)) in relation to the Senior Notes has not been or will not be lodged with the Australian Securities &amp; Investments Commission (“ASIC”). This prospectus supplement and the accompanying prospectus have not been lodged with ASIC and is only directed to certain categories of exempt persons. Accordingly, if you receive this document in Australia:</w:t>
      </w:r>
    </w:p>
    <w:p>
      <w:pPr>
        <w:spacing w:after="0" w:line="336" w:lineRule="exact"/>
        <w:rPr>
          <w:sz w:val="20"/>
          <w:szCs w:val="20"/>
          <w:color w:val="auto"/>
        </w:rPr>
      </w:pPr>
    </w:p>
    <w:p>
      <w:pPr>
        <w:ind w:left="1980"/>
        <w:spacing w:after="0"/>
        <w:tabs>
          <w:tab w:leader="none" w:pos="2320" w:val="left"/>
        </w:tabs>
        <w:rPr>
          <w:sz w:val="20"/>
          <w:szCs w:val="20"/>
          <w:color w:val="auto"/>
        </w:rPr>
      </w:pPr>
      <w:r>
        <w:rPr>
          <w:rFonts w:ascii="Times New Roman" w:cs="Times New Roman" w:eastAsia="Times New Roman" w:hAnsi="Times New Roman"/>
          <w:sz w:val="18"/>
          <w:szCs w:val="18"/>
          <w:color w:val="auto"/>
        </w:rPr>
        <w:t>(a)</w:t>
        <w:tab/>
        <w:t>you confirm and warrant that you are either: (i) a “sophisticated investor” under</w:t>
      </w:r>
    </w:p>
    <w:p>
      <w:pPr>
        <w:spacing w:after="0" w:line="27" w:lineRule="exact"/>
        <w:rPr>
          <w:sz w:val="20"/>
          <w:szCs w:val="20"/>
          <w:color w:val="auto"/>
        </w:rPr>
      </w:pPr>
    </w:p>
    <w:p>
      <w:pPr>
        <w:ind w:left="1620" w:right="519"/>
        <w:spacing w:after="0" w:line="251" w:lineRule="auto"/>
        <w:rPr>
          <w:sz w:val="20"/>
          <w:szCs w:val="20"/>
          <w:color w:val="auto"/>
        </w:rPr>
      </w:pPr>
      <w:r>
        <w:rPr>
          <w:rFonts w:ascii="Times New Roman" w:cs="Times New Roman" w:eastAsia="Times New Roman" w:hAnsi="Times New Roman"/>
          <w:sz w:val="18"/>
          <w:szCs w:val="18"/>
          <w:color w:val="auto"/>
        </w:rPr>
        <w:t>section 708(8)(a) or (b) of the Corporations Act; (ii) a “sophisticated investor” under section 708(8)(c) or (d) of the Corporations Act and that you have provided an accountant’s certificate to us which complies with the requirements of section 708(8)(c)(i) or (ii) of the Corporations Act and related regulations before the offer has been made; (iii) a person associated with the company under section 708(12) of the Corporations Act; or (iv) 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19" w:firstLine="360"/>
        <w:spacing w:after="0" w:line="258" w:lineRule="auto"/>
        <w:tabs>
          <w:tab w:leader="none" w:pos="23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warrant and agree that you will not offer any of the Senior Notes for resale in Australia within 12 months of the Senior Notes being issued unless any such resale offer is exempt from the requirement to issue a disclosure document under section 708 of the Corporations Act.</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Senior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2016/97/EU, where that customer would not qualify as a professional client as defined in point (10) of Article 4(1) of MiFID II; or (iii) not a qualified investor as defined in Regulation 2017/​ 1129/EU (as amended, the “Prospectus Regulation”). No key information document required by Regulation (EU) No 1286/2014 (as amended, the “PRIIPs Regulation”) for offering or selling the Senior Notes or otherwise making them available to retail investors in the EEA has been prepared. Offering or selling the Senior Notes or otherwise making them available to any retail investor in the EEA may be unlawful under the PRIIPs Regulation. This prospectus supplement and the accompanying prospectus have been prepared on the basis that any offer of the Senior Notes in any Member State of the EEA will be made pursuant to an exemption under the Prospectus Regulation from the requirement to publish a prospectus. This prospectus supplement and the accompanying prospectus are not prospectuses for the purposes of the Prospectus Regulation.</w:t>
      </w:r>
    </w:p>
    <w:p>
      <w:pPr>
        <w:spacing w:after="0" w:line="332"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Senior Notes in any Member State of the EEA means the communication in any form and by any means of sufficient information on the terms of the offer and any Senior Notes to be offered so as to enable an investor to decide to purchase any Senior Notes.</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Senior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the Conduct of Business Sourcebook of the handbook of rules and guidance adopted by the UK’s Financial Conduct Authority (the “FCA Handbook”) rule 3.4.1;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European Union (Withdrawal) Act of 2018 (the “EUWA”); (iii) not a qualified investor as defined in Article 2 of Regulation (EU) 2017/1129 as it forms part of domestic law by virtue of the EUWA (the “UK Prospectus Regulation”); or (iv) not a qualified investor as defined in paragraph 15 of Schedule 1 to The Public Offers and Admissions to Trading Regulations 2024 (the “POAT Regulations”). For purposes of this provision, the expression “offer” includes the communication in any form and by any means of sufficient information on the terms of the offer and the Senior Notes to be offered so as to enable an investor to decide to purchase the Senior Notes.</w:t>
      </w:r>
    </w:p>
    <w:p>
      <w:pPr>
        <w:spacing w:after="0" w:line="12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Consequently, no key information document required by Regulation (EU) No 1286/2014 as it forms part of domestic law by virtue of the EUWA (the “UK PRIIPs Regulation”) for offering or selling the Senior Notes or otherwise making them available to retail investors in the UK has been prepared and therefore offering or selling the Senior Notes or otherwise making them available to any retail investor in the UK may be unlawful under the UK PRIIPs Regulation. This prospectus supplement and the accompanying prospectus are not a prospectus for the purposes of the POAT Regulations or the Admission to Trading on a Regulated Market Sourcebook of the FCA Handbook, has not been approved by the UK’s Financial Conduct Authority and should not be relied on and should not be construed as an offer (or any other form of marketing). This prospectus supplement and the accompanying prospectus have been prepared on the basis that any offer of Senior Notes in the United Kingdom will be made pursuant to an exemption under the UK Prospectus Regulation from the requirement to publish a prospectus. This prospectus supplement and the accompanying prospectus are not prospectuses for the purposes of the UK Prospectus Regulation.</w:t>
      </w: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In the UK, this prospectus supplement and the accompanying prospectus are being distributed only to, and are directed only at, and any offer subsequently made may only be directed at persons who are “qualified investors” (as​ defined in the paragraph 15 of Schedule 1 to the POAT Regulations): (i) who have professional experience in matters relating to investments falling within Article 19(5) of the Financial Services and Markets Act 2000 (Financial Promotion) Order 2005, as amended (the “Order”) and/or</w:t>
      </w:r>
    </w:p>
    <w:p>
      <w:pPr>
        <w:spacing w:after="0" w:line="3" w:lineRule="exact"/>
        <w:rPr>
          <w:sz w:val="20"/>
          <w:szCs w:val="20"/>
          <w:color w:val="auto"/>
        </w:rPr>
      </w:pPr>
    </w:p>
    <w:p>
      <w:pPr>
        <w:ind w:left="1260" w:right="439"/>
        <w:spacing w:after="0" w:line="241" w:lineRule="auto"/>
        <w:tabs>
          <w:tab w:leader="none" w:pos="15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are high net worth companies (or persons to whom it may otherwise be lawfully communicated) falling within Article 49(2)(a) to (e) of the Order (all such persons together being referred to as “relevant persons”). The Senior Notes are only available to, and any invitation, offer or agreement to subscribe, purchase or otherwise acquire such Senior Notes will be engaged in only with, relevant persons. Any person who is not a relevant person should not act or rely on this prospectus supplement and the accompanying prospectus or any of their contents. This prospectus supplement has been prepared on the basis that any offer of Senior Notes in the UK will be made pursuant to an exemption under the POAT Regulations. This prospectus supplement and the accompanying prospectus are not a prospectus for the purposes of the POAT Regulations.</w:t>
      </w:r>
    </w:p>
    <w:p>
      <w:pPr>
        <w:spacing w:after="0" w:line="32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FSMA) received by it in connection with the issue or sale of any Senior Notes which are the subject of the offering contemplated by the prospectus supplement and the accompanying prospectus in circumstances in which Section 21(1) of the FSMA does not apply to the Company; and it has complied and will comply with all applicable provisions of the FSMA with respect to anything done by it in relation to the Senior Notes in, from or otherwise involving the United Kingdom.</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Senior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31 -103 Registration Requirements, Exemptions and Ongoing Registrant Obligations. Any resale of the Senior Notes must be made in accordance with an exemption from, or in a transaction not subject to, the prospectus requirements of applicable securities laws.</w:t>
      </w:r>
    </w:p>
    <w:p>
      <w:pPr>
        <w:spacing w:after="0" w:line="114"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or the accompanying prospectus (including any amendment hereto or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25" w:lineRule="exact"/>
        <w:rPr>
          <w:sz w:val="20"/>
          <w:szCs w:val="20"/>
          <w:color w:val="auto"/>
        </w:rPr>
      </w:pPr>
    </w:p>
    <w:p>
      <w:pPr>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Republic of Korea</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Senior Notes have not been and will not be registered under the Financial Investment Services and Capital Markets Act and the decrees and regulations thereunder (the “FSCMA”) and the Senior Notes have been and will be offered in Korea as a private placement under the FSCMA. None of the Senior Notes may be offered, sold and delivered, directly or indirectly, or offered or sold to any person for re-offering or resale, directly or indirectly, in Korea or to any resident of Korea except as otherwise permitted under the applicable laws and regulations of Korea, including the FSCMA and the Foreign Exchange Transaction Law of Korea and the decrees and regulations thereunder (the “FETL”). For a period of one year from the issue date of the Senior Notes, any acquirer of the Senior Notes who was solicited to buy the Senior Notes in Korea is prohibited from transferring any of the Senior Notes to another person in any way other than as a whole to one transferee. Furthermore, the purchaser of the Senior Notes shall comply with all applicable regulatory requirements (including but not limited to requirements under the FETL) in connection with the purchase of the Senior Notes.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Senior Notes. The Senior Notes may not be publicly offered, directly or indirectly, in Switzerland within the meaning of the Swiss Financial Services Act (“FinSA”) and no application has or will be made to admit the Senior Notes to trading on any trading venue (exchange or multilateral trading facility) in Switzerland. Neither this prospectus supplement, the accompanying prospectus nor any other offering or marketing material relating to the Senior Notes constitutes a prospectus pursuant to the FinSA, and neither this prospectus supplement, the accompanying prospectus nor any other offering or marketing material relating to the Senior Notes may be publicly distributed or otherwise made publicly available in Switzerland.</w:t>
      </w: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This offering of the Senior Notes has not been and will not be registered under the Financial Instruments and Exchange Act of Japan (Act No. 25 of 1948, as amended; the “FIEA”). Accordingly, the Senior Notes may not be offered or sold, directly or indirectly, in Japan or to, or for the account or benefit of, any resident of Japan (which term as used herein means any person resident in Japan, including any corporation or other entity organized under the laws of Japan), or to, or for the account or benefit of, others for re-offering or resale, directly or indirectly, in Japan, or to, or for the account or benefit of, any resident of Japan, except pursuant to an exemption from the registration requirements of, and otherwise in compliance with, the FIEA and any other applicable laws, regulations and ministerial guidelines of Japan in effect at the relevant time.</w:t>
      </w: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this prospectus and any other document or material in connection with the offer or sale, or invitation for subscription or purchase, of the Senior Notes may not be circulated or distributed, nor may the Senior Notes be offered or sold, or be made the subject of an invitation for subscription or purchase, whether directly or indirectly, to persons in Singapore other than</w:t>
      </w:r>
    </w:p>
    <w:p>
      <w:pPr>
        <w:spacing w:after="0" w:line="3" w:lineRule="exact"/>
        <w:rPr>
          <w:sz w:val="20"/>
          <w:szCs w:val="20"/>
          <w:color w:val="auto"/>
        </w:rPr>
      </w:pPr>
    </w:p>
    <w:p>
      <w:pPr>
        <w:ind w:left="1260" w:right="739"/>
        <w:spacing w:after="0" w:line="250" w:lineRule="auto"/>
        <w:tabs>
          <w:tab w:leader="none" w:pos="14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ind w:left="1260" w:right="519"/>
        <w:spacing w:after="0" w:line="252" w:lineRule="auto"/>
        <w:tabs>
          <w:tab w:leader="none" w:pos="15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of Singapore, where each such person is (1) an expert investor (as defined in Section 4A of the SFA) or (2) not an individual, or (iii) otherwise pursuant to, and in accordance with the conditions of, any other applicable provision of the SFA.</w:t>
      </w:r>
    </w:p>
    <w:p>
      <w:pPr>
        <w:spacing w:after="0" w:line="12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Where the Senior Notes are subscribed or purchased under Section 275 of the SFA by a relevant person which is:</w:t>
      </w:r>
    </w:p>
    <w:p>
      <w:pPr>
        <w:spacing w:after="0" w:line="94" w:lineRule="exact"/>
        <w:rPr>
          <w:sz w:val="20"/>
          <w:szCs w:val="20"/>
          <w:color w:val="auto"/>
        </w:rPr>
      </w:pPr>
    </w:p>
    <w:p>
      <w:pPr>
        <w:jc w:val="both"/>
        <w:ind w:left="1620" w:right="579" w:firstLine="360"/>
        <w:spacing w:after="0" w:line="266" w:lineRule="auto"/>
        <w:tabs>
          <w:tab w:leader="none" w:pos="23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4" w:lineRule="exact"/>
        <w:rPr>
          <w:rFonts w:ascii="Times New Roman" w:cs="Times New Roman" w:eastAsia="Times New Roman" w:hAnsi="Times New Roman"/>
          <w:sz w:val="18"/>
          <w:szCs w:val="18"/>
          <w:color w:val="auto"/>
        </w:rPr>
      </w:pPr>
    </w:p>
    <w:p>
      <w:pPr>
        <w:ind w:left="1620" w:right="1159" w:firstLine="360"/>
        <w:spacing w:after="0" w:line="282" w:lineRule="auto"/>
        <w:tabs>
          <w:tab w:leader="none" w:pos="23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94" w:lineRule="exact"/>
        <w:rPr>
          <w:sz w:val="20"/>
          <w:szCs w:val="20"/>
          <w:color w:val="auto"/>
        </w:rPr>
      </w:pPr>
    </w:p>
    <w:p>
      <w:pPr>
        <w:ind w:left="1260" w:right="619"/>
        <w:spacing w:after="0" w:line="261" w:lineRule="auto"/>
        <w:rPr>
          <w:sz w:val="20"/>
          <w:szCs w:val="20"/>
          <w:color w:val="auto"/>
        </w:rPr>
      </w:pPr>
      <w:r>
        <w:rPr>
          <w:rFonts w:ascii="Times New Roman" w:cs="Times New Roman" w:eastAsia="Times New Roman" w:hAnsi="Times New Roman"/>
          <w:sz w:val="18"/>
          <w:szCs w:val="18"/>
          <w:color w:val="auto"/>
        </w:rPr>
        <w:t>securities or securities based derivative contracts (each term as defined in Section 2(1) of the SFA) of that corporation or the beneficiaries’ rights and interest (howsoever described) in that trust shall not be transferred within six months after that corporation or that trust has acquired the Senior Notes pursuant to an offer made under Section 275 of the SFA except:</w:t>
      </w:r>
    </w:p>
    <w:p>
      <w:pPr>
        <w:spacing w:after="0" w:line="112" w:lineRule="exact"/>
        <w:rPr>
          <w:sz w:val="20"/>
          <w:szCs w:val="20"/>
          <w:color w:val="auto"/>
        </w:rPr>
      </w:pPr>
    </w:p>
    <w:p>
      <w:pPr>
        <w:jc w:val="both"/>
        <w:ind w:left="1980" w:right="539" w:hanging="360"/>
        <w:spacing w:after="0" w:line="266"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pursuant to Section 274 of the SFA or to a relevant person (as defined in Section 275(2) of the SFA) pursuant to Section 275(1) of the SFA, or to any person pursuant to Section 275(1A) and in accordance with the conditions specified in Section 275 of the SFA;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79" w:hanging="360"/>
        <w:spacing w:after="0" w:line="266"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where the transfer arises from an offer referred to in Section 276(3) (i)(B) of the SFA or (in the case of a trust) where the transfer arises from an offer referred to in Section 276(4)(i)(B) of the SFA;</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144" w:lineRule="exact"/>
        <w:rPr>
          <w:rFonts w:ascii="Times New Roman" w:cs="Times New Roman" w:eastAsia="Times New Roman" w:hAnsi="Times New Roman"/>
          <w:sz w:val="18"/>
          <w:szCs w:val="18"/>
          <w:color w:val="auto"/>
        </w:rPr>
      </w:pPr>
    </w:p>
    <w:p>
      <w:pPr>
        <w:ind w:left="1980" w:right="81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 of Investments) (Shares and Debentures) Regulations 2005 of Singapore; or</w:t>
      </w:r>
    </w:p>
    <w:p>
      <w:pPr>
        <w:spacing w:after="0" w:line="94"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 Contracts Regulations 2018 of Singapore.</w:t>
      </w:r>
    </w:p>
    <w:p>
      <w:pPr>
        <w:spacing w:after="0" w:line="9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Singapore SFA Product Classification — Solely for the purposes of our obligations pursuant to sections 309B of the SFA and the Securities and Futures (Capital Markets Products) Regulations 2018 of Singapore (the “CMP Regulations 2018”), we have determined, and hereby notify all relevant persons (as defined in Section 309A(1) of the SFA) that the Senior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325"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Any reference to the SFA is a reference to the Securities and Futures Act, Chapter 289 of Singapore and a reference to any term as defined in the SFA or any provision in the SFA is a reference to that term as modified or amended from time to time including by such of its subsidiary legislation as may be applicable at the relevant time.</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Senior Notes have not been and will not be registered or filed with, or approved by, the Financial Supervisory Commission of Taiwan, Republic of China and/or any other regulatory authority of Taiwan pursuant to relevant securities laws and regulations and may not be offered, issued or sold within Taiwan through a public offering or in any manner which would constitute an offer within the meaning of the Securities and Exchange Act of Taiwan or relevant laws and regulations that requires a registration, filing or approval of the Financial Supervisory Commission of Taiwan and/or other regulatory authority of Taiwan. No person or entity in Taiwan has been authorized to offer, sell, distribute or otherwise intermediate the offering of the Senior Notes in Taiwan.</w:t>
      </w:r>
    </w:p>
    <w:p>
      <w:pPr>
        <w:spacing w:after="0" w:line="3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The Senior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or the Dubai Financial Services Authority.</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Certain of the underwriters or their affiliates may hold a portion of our outstanding commercial paper that we may repay, in part, using the net proceeds of this offering. In such event, it is possible that one or more of the underwriters or their affiliates could receive at least 5% of the net proceeds of the offering, and in that case such underwriter would be deemed to have a conflict of interest under FINRA Rule 5121 (Public Offerings of Securities with Conflicts of Interest). In the event of any such conflict of interest, such underwriter would be required to conduct the distribution of the Senior Notes in accordance with FINRA</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6" w:lineRule="auto"/>
        <w:rPr>
          <w:sz w:val="20"/>
          <w:szCs w:val="20"/>
          <w:color w:val="auto"/>
        </w:rPr>
      </w:pPr>
      <w:r>
        <w:rPr>
          <w:rFonts w:ascii="Times New Roman" w:cs="Times New Roman" w:eastAsia="Times New Roman" w:hAnsi="Times New Roman"/>
          <w:sz w:val="18"/>
          <w:szCs w:val="18"/>
          <w:color w:val="auto"/>
        </w:rPr>
        <w:t>Rule 5121. If FINRA Rule 5121 is applicable, such underwriter would not be permitted to confirm a sale to an account over which it exercises discretionary authority without first receiving specific written approval from the account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OPINIONS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Legal opinions relating to the validity of the Senior Notes being offered by this prospectus supplement will be rendered by our counsel, GableGotwals, Tulsa, Oklahoma, and certain other legal matters will be passed upon for us by Husch Blackwell LLP, Chicago, Illinois. Certain legal matters will be passed upon for the underwriters by Chapman and Cutler LLP, Chicago, Illinois.</w:t>
      </w:r>
    </w:p>
    <w:p>
      <w:pPr>
        <w:spacing w:after="0" w:line="1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99" w:firstLine="3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statements of Oklahoma Gas and Electric Company appearing in Oklahoma Gas and Electric Company’s </w:t>
      </w:r>
      <w:hyperlink r:id="rId29">
        <w:r>
          <w:rPr>
            <w:rFonts w:ascii="Times New Roman" w:cs="Times New Roman" w:eastAsia="Times New Roman" w:hAnsi="Times New Roman"/>
            <w:sz w:val="18"/>
            <w:szCs w:val="18"/>
            <w:u w:val="single" w:color="auto"/>
            <w:color w:val="0000EE"/>
          </w:rPr>
          <w:t>Annual Report (Form 10-K) for the year ended December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(including the financial statement schedule appearing therein), and the effectiveness of Oklahoma Gas and Electric Company’s internal control over financial reporting as of December 31, 2025 have been audited by Ernst &amp; Young LLP, independent registered public accounting firm, as set forth in their reports thereon, included therein, and incorporated herein by reference. Such financial statements and financial statement schedule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 Our SEC filings are available to the public over the Internet at the SEC’s website at www.sec.gov.</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the information we file with it,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the information contained in or incorporated by reference in this prospectus supplement or the accompanying prospectus. We incorporate by reference the following documents or information filed with the SEC (other than, in each case, documents or information deemed to have been furnished and not filed in accordance with SEC rules):</w:t>
      </w:r>
    </w:p>
    <w:p>
      <w:pPr>
        <w:spacing w:after="0" w:line="81"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Our Annual Report on Form 10-K for the year ended December 31, 2025.</w:t>
        </w:r>
      </w:hyperlink>
    </w:p>
    <w:p>
      <w:pPr>
        <w:spacing w:after="0" w:line="14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all future filings we make with the SEC under Section 13(a), 13(c), 14 or 15(d) of the Securities Exchange Act of 1934, as amended, on or after the date of this prospectus supplement until we sell all of the Senior Notes referred to herein.</w:t>
      </w:r>
    </w:p>
    <w:p>
      <w:pPr>
        <w:spacing w:after="0" w:line="10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We are not required to, and do not expect to, provide annual reports to holders of our debt securities unless specifically requested by a holder.</w:t>
      </w:r>
    </w:p>
    <w:p>
      <w:pPr>
        <w:spacing w:after="0" w:line="94"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Oklahoma Gas and Electric Company</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321 N. Harvey, P.O. Box 321</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Oklahoma City, Oklahoma 73101-0321</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(405) 553-3000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OKLAHOMA GAS AND ELECTRIC COMPANY</w:t>
      </w:r>
    </w:p>
    <w:p>
      <w:pPr>
        <w:spacing w:after="0" w:line="22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321 N. Harvey, P.O. Box 321</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Oklahoma City, Oklahoma 73101-0321</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(405) 553-3000</w:t>
      </w:r>
    </w:p>
    <w:p>
      <w:pPr>
        <w:spacing w:after="0" w:line="20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208280</wp:posOffset>
            </wp:positionV>
            <wp:extent cx="12344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may offer for sale from time to time in one or more issuances one or more series of unsecured debt securities, which may be notes or debentures or other unsecured evidences of indebtedness. The debt securities are referred to in this prospectus as the “Debt Securities.” We will offer the Debt Securities in an amount and on terms to be determined by market conditions at the time of the offering.</w:t>
      </w:r>
    </w:p>
    <w:p>
      <w:pPr>
        <w:spacing w:after="0" w:line="112" w:lineRule="exact"/>
        <w:rPr>
          <w:sz w:val="20"/>
          <w:szCs w:val="20"/>
          <w:color w:val="auto"/>
        </w:rPr>
      </w:pPr>
    </w:p>
    <w:p>
      <w:pPr>
        <w:jc w:val="both"/>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We will provide the specific terms of these Debt Securities in supplements to this prospectus. You should read this prospectus and the applicable prospectus supplement carefully before you invest. This prospectus may not be used to sell Debt Securities unless accompanied by a prospectus supplement.</w:t>
      </w:r>
    </w:p>
    <w:p>
      <w:pPr>
        <w:spacing w:after="0" w:line="91" w:lineRule="exact"/>
        <w:rPr>
          <w:sz w:val="20"/>
          <w:szCs w:val="20"/>
          <w:color w:val="auto"/>
        </w:rPr>
      </w:pPr>
    </w:p>
    <w:p>
      <w:pPr>
        <w:ind w:left="1260" w:right="6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Prior to making a decision about investing in our Debt Securities, you should consider carefully any risk factors contained in a prospectus supplement, as well as the risk factors set forth in our most recently filed Annual Report on Form 10-K and other filings we may make from time to time with the Securities and Exchange Commission (“SEC”). See “Risk Factors” on page </w:t>
      </w:r>
      <w:r>
        <w:rPr>
          <w:rFonts w:ascii="Times New Roman" w:cs="Times New Roman" w:eastAsia="Times New Roman" w:hAnsi="Times New Roman"/>
          <w:sz w:val="18"/>
          <w:szCs w:val="18"/>
          <w:b w:val="1"/>
          <w:bCs w:val="1"/>
          <w:u w:val="single" w:color="auto"/>
          <w:color w:val="0000EE"/>
        </w:rPr>
        <w:t>3</w:t>
      </w:r>
      <w:r>
        <w:rPr>
          <w:rFonts w:ascii="Times New Roman" w:cs="Times New Roman" w:eastAsia="Times New Roman" w:hAnsi="Times New Roman"/>
          <w:sz w:val="18"/>
          <w:szCs w:val="18"/>
          <w:b w:val="1"/>
          <w:bCs w:val="1"/>
          <w:color w:val="auto"/>
        </w:rPr>
        <w:t>.</w:t>
      </w:r>
    </w:p>
    <w:p>
      <w:pPr>
        <w:spacing w:after="0" w:line="109"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Debt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199390</wp:posOffset>
            </wp:positionV>
            <wp:extent cx="12344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The date of this prospectus is May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and in any prospectus supplement or in any free writing prospectus that we may provide to you. We have not authorized any other person to provide you with different information. If anyone provides you with different or inconsistent information, you should not rely on it. We are not making an offer to sell these Debt Securities in any jurisdiction where the offer or sale is not permitted. You should assume that the information contained in or incorporated by reference into this prospectus and in any prospectus supplement or in any free writing prospectus that we may provide to you is accurate only as of the date on the front cover of those documents.</w:t>
      </w:r>
    </w:p>
    <w:p>
      <w:pPr>
        <w:spacing w:after="0" w:line="200" w:lineRule="exact"/>
        <w:rPr>
          <w:sz w:val="20"/>
          <w:szCs w:val="20"/>
          <w:color w:val="auto"/>
        </w:rPr>
      </w:pPr>
    </w:p>
    <w:p>
      <w:pPr>
        <w:spacing w:after="0" w:line="201"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6440" w:type="dxa"/>
            <w:vAlign w:val="bottom"/>
            <w:gridSpan w:val="1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EE"/>
              </w:rPr>
              <w:t>ABOUT THIS PROSPECTUS</w:t>
            </w:r>
          </w:p>
        </w:tc>
        <w:tc>
          <w:tcPr>
            <w:tcW w:w="1760" w:type="dxa"/>
            <w:vAlign w:val="bottom"/>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12"/>
          </w:tcPr>
          <w:p>
            <w:pPr>
              <w:spacing w:after="0" w:line="202" w:lineRule="exact"/>
              <w:rPr>
                <w:sz w:val="20"/>
                <w:szCs w:val="20"/>
                <w:color w:val="auto"/>
              </w:rPr>
            </w:pPr>
            <w:r>
              <w:rPr>
                <w:rFonts w:ascii="Times New Roman" w:cs="Times New Roman" w:eastAsia="Times New Roman" w:hAnsi="Times New Roman"/>
                <w:sz w:val="18"/>
                <w:szCs w:val="18"/>
                <w:color w:val="0000EE"/>
              </w:rPr>
              <w:t>FORWARD-LOOKING STATEMENTS</w:t>
            </w:r>
          </w:p>
        </w:tc>
        <w:tc>
          <w:tcPr>
            <w:tcW w:w="168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020" w:type="dxa"/>
            <w:vAlign w:val="bottom"/>
            <w:gridSpan w:val="8"/>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80" w:type="dxa"/>
            <w:vAlign w:val="bottom"/>
            <w:gridSpan w:val="3"/>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OKLAHOMA GAS AND ELECTRIC COMPANY</w:t>
            </w:r>
          </w:p>
        </w:tc>
        <w:tc>
          <w:tcPr>
            <w:tcW w:w="1680" w:type="dxa"/>
            <w:vAlign w:val="bottom"/>
            <w:gridSpan w:val="3"/>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840" w:type="dxa"/>
            <w:vAlign w:val="bottom"/>
            <w:tcBorders>
              <w:bottom w:val="single" w:sz="8" w:color="CCEEFF"/>
            </w:tcBorders>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Borders>
              <w:bottom w:val="single" w:sz="8" w:color="CCEEFF"/>
            </w:tcBorders>
            <w:shd w:val="clear" w:color="auto" w:fill="CCEEFF"/>
          </w:tcPr>
          <w:p>
            <w:pPr>
              <w:spacing w:after="0"/>
              <w:rPr>
                <w:sz w:val="2"/>
                <w:szCs w:val="2"/>
                <w:color w:val="auto"/>
              </w:rPr>
            </w:pPr>
          </w:p>
        </w:tc>
        <w:tc>
          <w:tcPr>
            <w:tcW w:w="2500" w:type="dxa"/>
            <w:vAlign w:val="bottom"/>
            <w:tcBorders>
              <w:bottom w:val="single" w:sz="8" w:color="CCEEFF"/>
            </w:tcBorders>
            <w:shd w:val="clear" w:color="auto" w:fill="CCEEFF"/>
          </w:tcPr>
          <w:p>
            <w:pPr>
              <w:spacing w:after="0"/>
              <w:rPr>
                <w:sz w:val="2"/>
                <w:szCs w:val="2"/>
                <w:color w:val="auto"/>
              </w:rPr>
            </w:pPr>
          </w:p>
        </w:tc>
        <w:tc>
          <w:tcPr>
            <w:tcW w:w="1680" w:type="dxa"/>
            <w:vAlign w:val="bottom"/>
            <w:tcBorders>
              <w:bottom w:val="single" w:sz="8" w:color="CCEEFF"/>
            </w:tcBorders>
            <w:gridSpan w:val="3"/>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68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00" w:type="dxa"/>
            <w:vAlign w:val="bottom"/>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80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1680" w:type="dxa"/>
            <w:vAlign w:val="bottom"/>
            <w:gridSpan w:val="3"/>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680" w:type="dxa"/>
            <w:vAlign w:val="bottom"/>
            <w:gridSpan w:val="3"/>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640" w:type="dxa"/>
            <w:vAlign w:val="bottom"/>
            <w:tcBorders>
              <w:bottom w:val="single" w:sz="8" w:color="CCEEFF"/>
            </w:tcBorders>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4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020" w:type="dxa"/>
            <w:vAlign w:val="bottom"/>
            <w:tcBorders>
              <w:bottom w:val="single" w:sz="8" w:color="CCEEFF"/>
            </w:tcBorders>
            <w:gridSpan w:val="3"/>
            <w:shd w:val="clear" w:color="auto" w:fill="CCEEFF"/>
          </w:tcPr>
          <w:p>
            <w:pPr>
              <w:spacing w:after="0"/>
              <w:rPr>
                <w:sz w:val="2"/>
                <w:szCs w:val="2"/>
                <w:color w:val="auto"/>
              </w:rPr>
            </w:pPr>
          </w:p>
        </w:tc>
        <w:tc>
          <w:tcPr>
            <w:tcW w:w="800" w:type="dxa"/>
            <w:vAlign w:val="bottom"/>
            <w:tcBorders>
              <w:bottom w:val="single" w:sz="8" w:color="CCEEFF"/>
            </w:tcBorders>
            <w:gridSpan w:val="2"/>
            <w:shd w:val="clear" w:color="auto" w:fill="CCEEFF"/>
          </w:tcPr>
          <w:p>
            <w:pPr>
              <w:spacing w:after="0"/>
              <w:rPr>
                <w:sz w:val="2"/>
                <w:szCs w:val="2"/>
                <w:color w:val="auto"/>
              </w:rPr>
            </w:pPr>
          </w:p>
        </w:tc>
        <w:tc>
          <w:tcPr>
            <w:tcW w:w="2500" w:type="dxa"/>
            <w:vAlign w:val="bottom"/>
            <w:tcBorders>
              <w:bottom w:val="single" w:sz="8" w:color="CCEEFF"/>
            </w:tcBorders>
            <w:shd w:val="clear" w:color="auto" w:fill="CCEEFF"/>
          </w:tcPr>
          <w:p>
            <w:pPr>
              <w:spacing w:after="0"/>
              <w:rPr>
                <w:sz w:val="2"/>
                <w:szCs w:val="2"/>
                <w:color w:val="auto"/>
              </w:rPr>
            </w:pPr>
          </w:p>
        </w:tc>
        <w:tc>
          <w:tcPr>
            <w:tcW w:w="1680" w:type="dxa"/>
            <w:vAlign w:val="bottom"/>
            <w:tcBorders>
              <w:bottom w:val="single" w:sz="8" w:color="CCEEFF"/>
            </w:tcBorders>
            <w:gridSpan w:val="3"/>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DESCRIPTION OF DEBT SECURITIES</w:t>
            </w:r>
          </w:p>
        </w:tc>
        <w:tc>
          <w:tcPr>
            <w:tcW w:w="168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40" w:type="dxa"/>
            <w:vAlign w:val="bottom"/>
            <w:gridSpan w:val="9"/>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80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1680" w:type="dxa"/>
            <w:vAlign w:val="bottom"/>
            <w:gridSpan w:val="3"/>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BOOK-ENTRY SYSTEM</w:t>
            </w:r>
          </w:p>
        </w:tc>
        <w:tc>
          <w:tcPr>
            <w:tcW w:w="1680" w:type="dxa"/>
            <w:vAlign w:val="bottom"/>
            <w:gridSpan w:val="3"/>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980" w:type="dxa"/>
            <w:vAlign w:val="bottom"/>
            <w:tcBorders>
              <w:bottom w:val="single" w:sz="8" w:color="CCEEFF"/>
            </w:tcBorders>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40" w:type="dxa"/>
            <w:vAlign w:val="bottom"/>
            <w:tcBorders>
              <w:bottom w:val="single" w:sz="8" w:color="CCEEFF"/>
            </w:tcBorders>
            <w:shd w:val="clear" w:color="auto" w:fill="CCEEFF"/>
          </w:tcPr>
          <w:p>
            <w:pPr>
              <w:spacing w:after="0"/>
              <w:rPr>
                <w:sz w:val="2"/>
                <w:szCs w:val="2"/>
                <w:color w:val="auto"/>
              </w:rPr>
            </w:pPr>
          </w:p>
        </w:tc>
        <w:tc>
          <w:tcPr>
            <w:tcW w:w="1820" w:type="dxa"/>
            <w:vAlign w:val="bottom"/>
            <w:tcBorders>
              <w:bottom w:val="single" w:sz="8" w:color="CCEEFF"/>
            </w:tcBorders>
            <w:gridSpan w:val="5"/>
            <w:shd w:val="clear" w:color="auto" w:fill="CCEEFF"/>
          </w:tcPr>
          <w:p>
            <w:pPr>
              <w:spacing w:after="0"/>
              <w:rPr>
                <w:sz w:val="2"/>
                <w:szCs w:val="2"/>
                <w:color w:val="auto"/>
              </w:rPr>
            </w:pPr>
          </w:p>
        </w:tc>
        <w:tc>
          <w:tcPr>
            <w:tcW w:w="2500" w:type="dxa"/>
            <w:vAlign w:val="bottom"/>
            <w:tcBorders>
              <w:bottom w:val="single" w:sz="8" w:color="CCEEFF"/>
            </w:tcBorders>
            <w:shd w:val="clear" w:color="auto" w:fill="CCEEFF"/>
          </w:tcPr>
          <w:p>
            <w:pPr>
              <w:spacing w:after="0"/>
              <w:rPr>
                <w:sz w:val="2"/>
                <w:szCs w:val="2"/>
                <w:color w:val="auto"/>
              </w:rPr>
            </w:pPr>
          </w:p>
        </w:tc>
        <w:tc>
          <w:tcPr>
            <w:tcW w:w="1680" w:type="dxa"/>
            <w:vAlign w:val="bottom"/>
            <w:tcBorders>
              <w:bottom w:val="single" w:sz="8" w:color="CCEEFF"/>
            </w:tcBorders>
            <w:gridSpan w:val="3"/>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68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20" w:type="dxa"/>
            <w:vAlign w:val="bottom"/>
            <w:gridSpan w:val="6"/>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820" w:type="dxa"/>
            <w:vAlign w:val="bottom"/>
            <w:gridSpan w:val="5"/>
          </w:tcPr>
          <w:p>
            <w:pPr>
              <w:spacing w:after="0"/>
              <w:rPr>
                <w:sz w:val="2"/>
                <w:szCs w:val="2"/>
                <w:color w:val="auto"/>
              </w:rPr>
            </w:pPr>
          </w:p>
        </w:tc>
        <w:tc>
          <w:tcPr>
            <w:tcW w:w="2500" w:type="dxa"/>
            <w:vAlign w:val="bottom"/>
          </w:tcPr>
          <w:p>
            <w:pPr>
              <w:spacing w:after="0"/>
              <w:rPr>
                <w:sz w:val="2"/>
                <w:szCs w:val="2"/>
                <w:color w:val="auto"/>
              </w:rPr>
            </w:pPr>
          </w:p>
        </w:tc>
        <w:tc>
          <w:tcPr>
            <w:tcW w:w="1680" w:type="dxa"/>
            <w:vAlign w:val="bottom"/>
            <w:gridSpan w:val="3"/>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OPINIONS</w:t>
            </w:r>
          </w:p>
        </w:tc>
        <w:tc>
          <w:tcPr>
            <w:tcW w:w="1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520" w:type="dxa"/>
            <w:vAlign w:val="bottom"/>
            <w:tcBorders>
              <w:bottom w:val="single" w:sz="8" w:color="CCEEFF"/>
            </w:tcBorders>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420" w:type="dxa"/>
            <w:vAlign w:val="bottom"/>
            <w:tcBorders>
              <w:bottom w:val="single" w:sz="8" w:color="CCEEFF"/>
            </w:tcBorders>
            <w:gridSpan w:val="8"/>
            <w:shd w:val="clear" w:color="auto" w:fill="CCEEFF"/>
          </w:tcPr>
          <w:p>
            <w:pPr>
              <w:spacing w:after="0"/>
              <w:rPr>
                <w:sz w:val="2"/>
                <w:szCs w:val="2"/>
                <w:color w:val="auto"/>
              </w:rPr>
            </w:pPr>
          </w:p>
        </w:tc>
        <w:tc>
          <w:tcPr>
            <w:tcW w:w="250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gridSpan w:val="2"/>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EXPERTS</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140" w:type="dxa"/>
            <w:vAlign w:val="bottom"/>
            <w:gridSpan w:val="10"/>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gridSpan w:val="2"/>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940" w:type="dxa"/>
            <w:vAlign w:val="bottom"/>
            <w:tcBorders>
              <w:bottom w:val="single" w:sz="8" w:color="CCEEFF"/>
            </w:tcBorders>
            <w:gridSpan w:val="11"/>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500" w:type="dxa"/>
            <w:vAlign w:val="bottom"/>
            <w:tcBorders>
              <w:bottom w:val="single" w:sz="8" w:color="CCEEFF"/>
            </w:tcBorders>
            <w:shd w:val="clear" w:color="auto" w:fill="CCEEFF"/>
          </w:tcPr>
          <w:p>
            <w:pPr>
              <w:spacing w:after="0"/>
              <w:rPr>
                <w:sz w:val="2"/>
                <w:szCs w:val="2"/>
                <w:color w:val="auto"/>
              </w:rPr>
            </w:pPr>
          </w:p>
        </w:tc>
        <w:tc>
          <w:tcPr>
            <w:tcW w:w="1600" w:type="dxa"/>
            <w:vAlign w:val="bottom"/>
            <w:tcBorders>
              <w:bottom w:val="single" w:sz="8" w:color="CCEEFF"/>
            </w:tcBorders>
            <w:gridSpan w:val="2"/>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80" w:type="dxa"/>
            <w:vAlign w:val="bottom"/>
            <w:tcBorders>
              <w:bottom w:val="single" w:sz="8" w:color="CCEEFF"/>
            </w:tcBorders>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process, we are registering an unspecified amount of our Debt Securities, and may issue any of such Debt Securities in one or more offerings. This prospectus provides you with a general description of the Debt Securities we may offer. Each time we sell any of the Debt Securities, we will provide a prospectus supplement that will contain specific information about the terms of that offering. The prospectus supplement may also add, update or change information contained in this prospectus. You should read both this prospectus and the applicable prospectus supplement together with the additional information described under the heading “Where You Can Find More Information.” For more details, you should read the exhibits filed with the registration statement of which this prospectus is a part. In this prospectus, “we,” “us,” “our” and “our company” refer to Oklahoma Gas and Electric Company.</w:t>
      </w:r>
    </w:p>
    <w:p>
      <w:pPr>
        <w:spacing w:after="0" w:line="19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Except for the historical statements contained herein and therein, the matters discussed in this prospectus and the documents incorporated by reference are forward-looking statements that are not historical fact and constitute “forward-looking statements.” Such forward-looking statements are intended to be identified in this document by the words “anticipate,” “believe,” “estimate,” “expect,” “intend,” “objective,” “plan,” “possible,” “potential,” “project,” “target” and similar expressions. Forward-looking statements are not guarantees of performance. They involve risks, uncertainties and assumptions. Our future results may differ materially from those expressed in these forward-looking statements. These statements are necessarily based upon various assumptions involving judgments with respect to the future and other risks, including, among others:</w:t>
      </w:r>
    </w:p>
    <w:p>
      <w:pPr>
        <w:spacing w:after="0" w:line="300" w:lineRule="exact"/>
        <w:rPr>
          <w:sz w:val="20"/>
          <w:szCs w:val="20"/>
          <w:color w:val="auto"/>
        </w:rPr>
      </w:pPr>
    </w:p>
    <w:p>
      <w:pPr>
        <w:ind w:left="1800" w:right="67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the availability of credit, access to existing lines of credit, access to the commercial paper markets, actions of rating agencies and inflation rates, and their impact on capital expenditures;</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parent company, OGE Energy Corp., to access the capital markets and obtain financing on favorable terms, as well as inflation rates and monetary fluctuations;</w:t>
      </w:r>
    </w:p>
    <w:p>
      <w:pPr>
        <w:spacing w:after="0" w:line="53"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timely and sufficient rate relief to allow for recovery of items such as capital expenditures, fuel and purchased power costs, operating costs, transmission costs and deferred expenditures;</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and availability of electricity, coal and natural gas;</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including the extent and timing of the entry of additional competition in the markets we serve, potentially through deregulation;</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demand for our services resulting from cost-competitive advances in technology, such as distributed electricity generation and customer energy efficiency programs;</w:t>
      </w:r>
    </w:p>
    <w:p>
      <w:pPr>
        <w:spacing w:after="0" w:line="5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 changing markets and other factors that result in competitive disadvantages and create the potential for impairment of existing assets;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utility operations such as unusual weather conditions; catastrophic weather-related damage; unscheduled generation outages; unusual maintenance or repairs; unanticipated changes to fossil fuel, natural gas or coal supply costs or availability due to higher demand, shortages, transportation problems or other developments; environmental incidents; or electric transmission or gas pipeline system constraints;</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prices of raw materials and equipment for current and future construction projects;</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retroactive pricing of transactions in the Southwest Power Pool markets or adjustments in market pricing mechanisms by the Southwest Power Pool;</w:t>
      </w:r>
    </w:p>
    <w:p>
      <w:pPr>
        <w:spacing w:after="0" w:line="53"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or state legislation and regulatory decisions and initiatives that affect cost and investment recovery, have an impact on rate structures or affect the speed and degree to which competition enters our markets;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safety laws or other regulations that may impact the cost of operations, restrict or change the way our facilities are operated or result in stranded assets;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future capacity requirements mandated by the Southwest Power Pool, which could be impacted by future load growth, environmental regulations recently finalized by the Environmental Protection Agency, and the availability of resources;</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rules or guidelines;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discontinuance of accounting principles for certain types of rate-regulated activities;</w:t>
      </w:r>
    </w:p>
    <w:p>
      <w:pPr>
        <w:spacing w:after="0" w:line="10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protecting assets against, or damage due to, terrorism or cyberattacks, including losing control of our assets and potential ransoms, and other catastrophic events;</w:t>
      </w:r>
    </w:p>
    <w:p>
      <w:pPr>
        <w:spacing w:after="0" w:line="26"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use, perception or regulation of generative artificial intelligence technologies, which could limit our ability to utilize such technology, create risk of enhanced regulatory scrutiny, generate uncertainty around intellectual property ownership, licensing or use, or which could otherwise result in risk of damage to our business, reputation or financial results;</w:t>
      </w:r>
    </w:p>
    <w:p>
      <w:pPr>
        <w:spacing w:after="0" w:line="58"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suppliers, customers and other contractual parties, including large, new customers from emerging industries such as cryptocurrency;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attitudes regarding the electric utility and power industries;</w:t>
      </w:r>
    </w:p>
    <w:p>
      <w:pPr>
        <w:spacing w:after="0" w:line="10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suitable investment opportunities to enhance shareholder returns and achieve long-term financial objectives through business acquisitions and divestitures;</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pension and healthcare costs;</w:t>
      </w:r>
    </w:p>
    <w:p>
      <w:pPr>
        <w:spacing w:after="0" w:line="103"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global events that could adversely affect and/or exacerbate macroeconomic conditions, including inflationary pressures, rising interest rates, supply chain disruptions, economic recessions, pandemic health events and uncertainty surrounding continued hostilities or sustained military campaigns, and their collateral consequences;</w:t>
      </w:r>
    </w:p>
    <w:p>
      <w:pPr>
        <w:spacing w:after="0" w:line="58"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other effects of legal and administrative proceedings, settlements, investigations, claims and matters, including, but not limited to, those described in the reports we file with the Securities and Exchange Commission (“SEC”);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listed in the reports we file with the SEC.</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light of these risks and uncertainties, there can be no assurance that the results and events contemplated by the forward-looking statements contained in or incorporated by reference in this prospectus will in fact transpire. You are cautioned not to place undue reliance on these forward -looking statements, which speak only as of their dates. We undertake no obligation to publicly update or revise any forward-looking statements, whether as a result of new information, future events or otherwise. These risks and uncertainties are discussed in more detail under “Business,” “Risk Factors,” “Management’s Discussion and Analysis of Financial Condition and Results of Operations” and “Notes to Consolidated Financial Statements” in our most recent Annual Report on Form 10-K and in our Quarterly Reports on Form 10-Q and other documents on file with the SEC. You may obtain copies of these documents as described under “Where You Can Find More Information.” We may also describe additional risk factors in the applicable prospectus supplement.</w:t>
      </w:r>
    </w:p>
    <w:p>
      <w:pPr>
        <w:spacing w:after="0" w:line="200" w:lineRule="exact"/>
        <w:rPr>
          <w:sz w:val="20"/>
          <w:szCs w:val="20"/>
          <w:color w:val="auto"/>
        </w:rPr>
      </w:pPr>
    </w:p>
    <w:p>
      <w:pPr>
        <w:spacing w:after="0" w:line="2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OKLAHOMA GAS AND ELECTRIC COMPANY</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generate, transmit, distribute and sell electric energy in Oklahoma and western Arkansas. Our rates are subject to regulation by the Oklahoma Corporation Commission, the Arkansas Public Service Commission and the Federal Energy Regulatory Commission. We are a wholly-owned subsidiary of OGE Energy Corp. (“OGE Energy”), which is a holding company with us as their primary investment. We are the largest electric company in Oklahoma, and our franchised service territory includes Fort Smith, Arkansas and the surrounding communities. We sold our retail natural gas business in 1928 and are no longer engaged in the natural gas distribution business.</w:t>
      </w:r>
    </w:p>
    <w:p>
      <w:pPr>
        <w:spacing w:after="0" w:line="114"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We own and operate an interconnected electric generation, transmission and distribution system, located in Oklahoma and western Arkansas, which included 17 generating stations with an aggregate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7" w:lineRule="auto"/>
        <w:rPr>
          <w:sz w:val="20"/>
          <w:szCs w:val="20"/>
          <w:color w:val="auto"/>
        </w:rPr>
      </w:pPr>
      <w:r>
        <w:rPr>
          <w:rFonts w:ascii="Times New Roman" w:cs="Times New Roman" w:eastAsia="Times New Roman" w:hAnsi="Times New Roman"/>
          <w:sz w:val="18"/>
          <w:szCs w:val="18"/>
          <w:color w:val="auto"/>
        </w:rPr>
        <w:t>capability of approximately 7,116 megawatts at December 31, 2023. Our service area covers approximately 30,000 square miles in Oklahoma and western Arkansas, including Oklahoma City, the largest city in Oklahoma, and Fort Smith, Arkansas, the third largest city in that state. We derived approximately</w:t>
      </w:r>
    </w:p>
    <w:p>
      <w:pPr>
        <w:spacing w:after="0" w:line="2" w:lineRule="exact"/>
        <w:rPr>
          <w:sz w:val="20"/>
          <w:szCs w:val="20"/>
          <w:color w:val="auto"/>
        </w:rPr>
      </w:pPr>
    </w:p>
    <w:p>
      <w:pPr>
        <w:ind w:left="1260" w:right="899"/>
        <w:spacing w:after="0" w:line="258" w:lineRule="auto"/>
        <w:rPr>
          <w:sz w:val="20"/>
          <w:szCs w:val="20"/>
          <w:color w:val="auto"/>
        </w:rPr>
      </w:pPr>
      <w:r>
        <w:rPr>
          <w:rFonts w:ascii="Times New Roman" w:cs="Times New Roman" w:eastAsia="Times New Roman" w:hAnsi="Times New Roman"/>
          <w:sz w:val="18"/>
          <w:szCs w:val="18"/>
          <w:color w:val="auto"/>
        </w:rPr>
        <w:t>91 percent of our total electric operating revenues for the year ended December 31, 2023 from sales in Oklahoma and the remainder from sales in Arkansas.</w:t>
      </w:r>
    </w:p>
    <w:p>
      <w:pPr>
        <w:spacing w:after="0" w:line="10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We were incorporated in 1902 under the laws of the Oklahoma Territory and became a wholly-owned subsidiary of OGE Energy Corp. on December 31, 1996. Our principal executive offices are located at</w:t>
      </w:r>
    </w:p>
    <w:p>
      <w:pPr>
        <w:spacing w:after="0" w:line="1" w:lineRule="exact"/>
        <w:rPr>
          <w:sz w:val="20"/>
          <w:szCs w:val="20"/>
          <w:color w:val="auto"/>
        </w:rPr>
      </w:pPr>
    </w:p>
    <w:p>
      <w:pPr>
        <w:ind w:left="1260" w:right="419"/>
        <w:spacing w:after="0" w:line="242" w:lineRule="auto"/>
        <w:tabs>
          <w:tab w:leader="none" w:pos="15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Harvey, P.O. Box 321, Oklahoma City, Oklahoma 73101-0321; telephone (405) 553-3000. OGE Energy’s web site address is www.oge.com. OGE Energy’s web site address is provided for informational purposes only. No information contained in, or that can be accessed through, the web site is to be considered part of this prospectus.</w:t>
      </w:r>
    </w:p>
    <w:p>
      <w:pPr>
        <w:spacing w:after="0" w:line="19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An investment in our Debt Securities involves risk. Prior to making a decision about investing in our Debt Securities, you should carefully consider any risk factors contained in a prospectus supplement, as well as the risk factors set forth in our most recently filed Annual Report on Form 10-K under the heading “Risk Factors” and other filings we make from time to time with the SEC. Such factors could affect actual results and cause results to differ materially from those expressed or implied in any forward-looking statements made by us or on our behalf. Additional risks and uncertainties not currently known to us or that we currently view as immaterial may also affect our business operations.</w:t>
      </w:r>
    </w:p>
    <w:p>
      <w:pPr>
        <w:spacing w:after="0" w:line="19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Unless we indicate otherwise in any applicable prospectus supplement or other offering materials, we intend to add the net proceeds from the sale of the Debt Securities to our general funds and to use those proceeds for general corporate purposes, including to fund capital expenditures, to repay short-term debt and to refund long-term debt at maturity or otherwise. The specific use of the proceeds of a particular offering of Debt Securities will be described in the applicable prospectus supplement.</w:t>
      </w:r>
    </w:p>
    <w:p>
      <w:pPr>
        <w:spacing w:after="0" w:line="17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4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description below contains summaries of selected provisions of the indenture, including the supplemental indenture, under which our Debt Securities will be issued. These summaries are not complete. The indenture and the form of supplemental indenture applicable to our Debt Securities have been filed as exhibits to the registration statement of which this prospectus is a part. You should read the indenture and the supplemental indenture for provisions that may be important to you. In the summaries below, we have included references to section numbers of the indenture so that you can easily locate these provisions.</w:t>
      </w:r>
    </w:p>
    <w:p>
      <w:pPr>
        <w:spacing w:after="0" w:line="11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are not required to issue future issues of indebtedness under the indenture described in this prospectus. We are free to use other indentures or documentation, containing provisions different from those described in this prospectus, in connection with future issues of other indebtedness not under this registration statement. At March 31, 2024, there were 16 series of senior debt securities, aggregating $4.185 billion in principal amount, outstanding under the Indenture (as defined below).</w:t>
      </w:r>
    </w:p>
    <w:p>
      <w:pPr>
        <w:spacing w:after="0" w:line="116"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Our Debt Securities will be represented either by global securities registered in the name of The Depository Trust Company (“DTC”), as depository (“Depository”), or its nominee, or by securities in certificated form issued to the registered owners, as described in the applicable prospectus supplement. See “Book-Entry System” in this prospectus.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may issue our Debt Securities as notes or debentures or other unsecured evidences of indebtedness (collectively referred to as the “Debt Securities”) in one or more new series under an indenture dated as of October 1, 1995 between us and BOKF, NA, as successor trustee (the “Trustee”). This indenture, as previously supplemented by supplemental indentures and as to be supplemented by a new supplemental indenture for each series of Debt Securities, is referred to in this prospectus as the “Indenture.”</w:t>
      </w: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The Debt Securities will be unsecured obligations and will rank on a parity with our other existing and future unsecured and unsubordinated indebtedness, including other senior debt securities previously issued under the Indenture and senior debt securities that may be issued under the Indenture subsequent to the issuance of the Debt Securities. We sometimes refer in this prospectus to debt securities issued under the Indenture, whether previously issued or to be issued in the future, including the Debt Securities, as the “Notes.” The amount of Notes that we may issue under the Indenture is not limited.</w:t>
      </w:r>
    </w:p>
    <w:p>
      <w:pPr>
        <w:spacing w:after="0" w:line="112" w:lineRule="exact"/>
        <w:rPr>
          <w:sz w:val="20"/>
          <w:szCs w:val="20"/>
          <w:color w:val="auto"/>
        </w:rPr>
      </w:pPr>
    </w:p>
    <w:p>
      <w:pPr>
        <w:jc w:val="both"/>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Debt Securities may be issued in one or more series, may be issued at various times, may have differing maturity dates and may bear interest at differing rates. The prospectus supplement applicable to each issue of Debt Securities will specify:</w:t>
      </w:r>
    </w:p>
    <w:p>
      <w:pPr>
        <w:spacing w:after="0" w:line="61"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principal amount and offering price of that series of Debt Securities;</w:t>
      </w:r>
    </w:p>
    <w:p>
      <w:pPr>
        <w:spacing w:after="0" w:line="90"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or method of calculation of the rate or rates, on that series, and the date from which the interest will accrue;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be payable;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for payments of interest;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Debt Securities of that series will mature;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terms;</w:t>
      </w:r>
    </w:p>
    <w:p>
      <w:pPr>
        <w:spacing w:after="0" w:line="90"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the Debt Securities of that series may be repaid, in whole or in part, at the option of the holder thereof; and</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specific terms applicable to the Debt Securities of that series.</w:t>
      </w:r>
    </w:p>
    <w:p>
      <w:pPr>
        <w:spacing w:after="0" w:line="158"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Any special U.S. Federal income tax considerations applicable to Debt Securities sold at an original issue discount and any special U.S. Federal income tax or other considerations applicable to any Debt Securities that are denominated in a currency other than U.S. dollars will be described in the prospectus supplement relating to that series of Debt Securities.</w:t>
      </w:r>
    </w:p>
    <w:p>
      <w:pPr>
        <w:spacing w:after="0" w:line="110" w:lineRule="exact"/>
        <w:rPr>
          <w:sz w:val="20"/>
          <w:szCs w:val="20"/>
          <w:color w:val="auto"/>
        </w:rPr>
      </w:pPr>
    </w:p>
    <w:p>
      <w:pPr>
        <w:jc w:val="both"/>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Unless we indicate otherwise in the applicable prospectus supplement, the Debt Securities will be denominated in U.S. dollars in minimum denominations of $1,000 and integral multiples of $1,000 in excess thereof.</w:t>
      </w:r>
    </w:p>
    <w:p>
      <w:pPr>
        <w:spacing w:after="0" w:line="10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Unless we indicate otherwise in the applicable prospectus supplement, there will be no provisions in the Indenture or the Debt Securities that require us to redeem, or permit the holders to cause a redemption or repurchase of, the Debt Securities or that otherwise protect the holders in the event that we incur substantial additional indebtedness, whether or not in connection with a change in control of our company. However, any change in control transaction that involves the incurrence of substantial additional long-term indebtedness by us could require approval of state utility regulatory authorities and, possibly, of federal utility regulatory authorities.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Transfer And Exchange</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Debt Securities of any series may be exchanged for other Debt Securities of the same series of any authorized denominations and of a like aggregate principal amount, stated maturity and original issue date. (Section 2.06 of the Indenture.)</w:t>
      </w:r>
    </w:p>
    <w:p>
      <w:pPr>
        <w:spacing w:after="0" w:line="109"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Unless we indicate otherwise in the applicable prospectus supplement, Debt Securities may be presented for registration of transfer (duly endorsed or accompanied by a duly executed written instrument of transfer), at the office of the Trustee maintained for that purpose and referred to in the applicable prospectus supplement, without service charge and upon payment of any taxes and other governmental charges as described in the Indenture. Any transfer or exchange will be effected upon the Trustee’s satisfaction with the documents of title and indemnity of the person making the request. (Sections 2.06 and 2.07 of the Indenture.)</w:t>
      </w:r>
    </w:p>
    <w:p>
      <w:pPr>
        <w:spacing w:after="0" w:line="32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Trustee will not be required to exchange or register a transfer of any Debt Securities of a series that is selected, called or being called for redemption except, in the case of any Debt Security to be redeemed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in part, the portion thereof not to be so redeemed. (Section 2.06 of the Indenture.) See “Book-Entry System” in this prospectus.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Principal, interest and premium, if any, on Debt Securities issued in the form of global securities will be paid in the manner described below under the heading “Book-Entry System.” Unless we indicate otherwise in the applicable prospectus supplement, interest on Debt Securities that are in the form of certificated securities will be paid by check mailed to the holder at that holder’s address as it appears in the register for the Debt Securities maintained by the Trustee; however, a holder of $10,000,000 or more of Notes having the same interest payment dates will be entitled to receive payments of interest by wire transfer to a bank within the continental United States, if appropriate wire transfer instructions have been received by the Trustee on or prior to the applicable record date. (Section 2.12 of the Indenture.) Unless we indicate otherwise in the applicable prospectus supplement, the principal, interest at maturity and premium, if any, on Debt Securities in the form of certificated securities will be payable in immediately available funds at the office of the Trustee upon presentation of the Debt Securities. (Section 2.12 of the Indenture.)</w:t>
      </w:r>
    </w:p>
    <w:p>
      <w:pPr>
        <w:spacing w:after="0" w:line="121"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All monies paid by us to a paying agent for the payment of principal, interest or premium on any Debt Securities that remain unclaimed at the end of two years after that principal, interest or premium has become due and payable will be repaid to us, and the holders of those Debt Securities may thereafter look only to us for payment of that principal, interest or premium. (Section 5.04 of the Indenture.)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are events of default under the Indenture:</w:t>
      </w:r>
    </w:p>
    <w:p>
      <w:pPr>
        <w:spacing w:after="0" w:line="117" w:lineRule="exact"/>
        <w:rPr>
          <w:sz w:val="20"/>
          <w:szCs w:val="20"/>
          <w:color w:val="auto"/>
        </w:rPr>
      </w:pPr>
    </w:p>
    <w:p>
      <w:pPr>
        <w:ind w:left="1800" w:right="8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and premium, if any, on any Note issued under the Indenture when due and payable and continuance of that default for a period of five days;</w:t>
      </w:r>
    </w:p>
    <w:p>
      <w:pPr>
        <w:spacing w:after="0" w:line="40"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interest on any Note issued under the Indenture when due and continuance of that default for 30 days;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of our other covenants or warranties in the Indenture and the continuation of that default or breach for 90 days after written notice to us as provided in the Indenture; and</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of bankruptcy, insolvency or reorganization of our company. (Section 8.01 of the Indenture.)</w:t>
      </w:r>
    </w:p>
    <w:p>
      <w:pPr>
        <w:spacing w:after="0" w:line="77" w:lineRule="exact"/>
        <w:rPr>
          <w:sz w:val="20"/>
          <w:szCs w:val="20"/>
          <w:color w:val="auto"/>
        </w:rPr>
      </w:pPr>
    </w:p>
    <w:p>
      <w:pPr>
        <w:jc w:val="center"/>
        <w:ind w:right="-660"/>
        <w:spacing w:after="0"/>
        <w:tabs>
          <w:tab w:leader="none" w:pos="120" w:val="left"/>
        </w:tabs>
        <w:rPr>
          <w:sz w:val="20"/>
          <w:szCs w:val="20"/>
          <w:color w:val="auto"/>
        </w:rPr>
      </w:pPr>
      <w:r>
        <w:rPr>
          <w:rFonts w:ascii="Times New Roman" w:cs="Times New Roman" w:eastAsia="Times New Roman" w:hAnsi="Times New Roman"/>
          <w:sz w:val="18"/>
          <w:szCs w:val="18"/>
          <w:b w:val="1"/>
          <w:bCs w:val="1"/>
          <w:i w:val="1"/>
          <w:iCs w:val="1"/>
          <w:color w:val="auto"/>
        </w:rPr>
        <w:t>Acceleration of Maturity.</w:t>
      </w:r>
      <w:r>
        <w:rPr>
          <w:sz w:val="20"/>
          <w:szCs w:val="20"/>
          <w:color w:val="auto"/>
        </w:rPr>
        <w:tab/>
      </w:r>
      <w:r>
        <w:rPr>
          <w:rFonts w:ascii="Times New Roman" w:cs="Times New Roman" w:eastAsia="Times New Roman" w:hAnsi="Times New Roman"/>
          <w:sz w:val="18"/>
          <w:szCs w:val="18"/>
          <w:color w:val="auto"/>
        </w:rPr>
        <w:t>If an event of default occurs and is continuing, either the Trustee or the</w:t>
      </w:r>
    </w:p>
    <w:p>
      <w:pPr>
        <w:spacing w:after="0" w:line="31" w:lineRule="exact"/>
        <w:rPr>
          <w:sz w:val="20"/>
          <w:szCs w:val="20"/>
          <w:color w:val="auto"/>
        </w:rPr>
      </w:pPr>
    </w:p>
    <w:p>
      <w:pPr>
        <w:ind w:left="1260" w:right="539"/>
        <w:spacing w:after="0" w:line="241" w:lineRule="auto"/>
        <w:rPr>
          <w:sz w:val="20"/>
          <w:szCs w:val="20"/>
          <w:color w:val="auto"/>
        </w:rPr>
      </w:pPr>
      <w:r>
        <w:rPr>
          <w:rFonts w:ascii="Times New Roman" w:cs="Times New Roman" w:eastAsia="Times New Roman" w:hAnsi="Times New Roman"/>
          <w:sz w:val="18"/>
          <w:szCs w:val="18"/>
          <w:color w:val="auto"/>
        </w:rPr>
        <w:t>holders of a majority in principal amount of the outstanding Notes may declare the principal amount of all Notes to be due and payable immediately. At any time after an acceleration of the Notes has been declared, but before a judgment or decree of the immediate payment of the principal amount of the Notes has been obtained, if we pay or deposit with the Trustee a sum sufficient to pay all matured installments of interest and the principal and any premium which has become due otherwise than by acceleration and all defaults have been cured or waived, then that payment or deposit will cause an automatic rescission and annulment of the acceleration of the Notes. (Section 8.01 of the Indenture.)</w:t>
      </w:r>
    </w:p>
    <w:p>
      <w:pPr>
        <w:spacing w:after="0" w:line="116"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Trustee. </w:t>
      </w:r>
      <w:r>
        <w:rPr>
          <w:rFonts w:ascii="Times New Roman" w:cs="Times New Roman" w:eastAsia="Times New Roman" w:hAnsi="Times New Roman"/>
          <w:sz w:val="18"/>
          <w:szCs w:val="18"/>
          <w:color w:val="auto"/>
        </w:rPr>
        <w:t>The Trustee generally will be under no obligation to exercise any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or powers under the Indenture at the request or direction of any of the holders unless the holders have offered reasonable security to the Trustee. (Section 9.02 of the Indenture.)</w:t>
      </w:r>
    </w:p>
    <w:p>
      <w:pPr>
        <w:spacing w:after="0" w:line="10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 to Direct Proceedings. </w:t>
      </w:r>
      <w:r>
        <w:rPr>
          <w:rFonts w:ascii="Times New Roman" w:cs="Times New Roman" w:eastAsia="Times New Roman" w:hAnsi="Times New Roman"/>
          <w:sz w:val="18"/>
          <w:szCs w:val="18"/>
          <w:color w:val="auto"/>
        </w:rPr>
        <w:t>The holders of a majority in principal amount of the outstanding Notes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generally will have the right to direct the time, method and place of conducting any proceeding for any remedy available to the Trustee, or of exercising any trust or power conferred on the Trustee, relating to the Notes. The holders of a majority in principal amount of the outstanding Notes generally will be able to waive any past default or event of default except a default in the payment of principal, premium or interest on the Notes. (Section 8.07 of the Indenture.) Each holder has the right to institute a proceeding relating to the Indenture, but this right is subject to conditions precedent specified in the Indenture. (Section 8.04 of the Indenture.)</w:t>
      </w:r>
    </w:p>
    <w:p>
      <w:pPr>
        <w:spacing w:after="0" w:line="200" w:lineRule="exact"/>
        <w:rPr>
          <w:sz w:val="20"/>
          <w:szCs w:val="20"/>
          <w:color w:val="auto"/>
        </w:rPr>
      </w:pPr>
    </w:p>
    <w:p>
      <w:pPr>
        <w:spacing w:after="0" w:line="3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 of Default. </w:t>
      </w:r>
      <w:r>
        <w:rPr>
          <w:rFonts w:ascii="Times New Roman" w:cs="Times New Roman" w:eastAsia="Times New Roman" w:hAnsi="Times New Roman"/>
          <w:sz w:val="18"/>
          <w:szCs w:val="18"/>
          <w:color w:val="auto"/>
        </w:rPr>
        <w:t>The Trustee is required to give the holders notice of the occurrence of a default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90 days of the default, unless the default is cured or waived. Except in the case of a payment default on the Notes, however, the Trustee may withhold notice if it determines in good faith that it is in the interest of holders to do so. (Section 8.08 of the Indenture.) We are required to deliver to the Trustee each year a certificate as to whether or not we are in compliance with the conditions and covenants under the Indenture. (Section 6.06 of the Indenture.)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Unless we indicate otherwise in the applicable prospectus supplement, we and the Trustee may modify and amend the Indenture and the Debt Securities from time to time. Depending upon the type of amendment, we may not need the consent or approval of any of the holders of the Notes, or we may need either the consent or approval of the holders of a majority in principal amount of the outstanding Notes or the consent or approval of each holder affected by the proposed amendment.</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not need the consent of the holders for the following types of amendments:</w:t>
      </w:r>
    </w:p>
    <w:p>
      <w:pPr>
        <w:spacing w:after="0" w:line="117" w:lineRule="exact"/>
        <w:rPr>
          <w:sz w:val="20"/>
          <w:szCs w:val="20"/>
          <w:color w:val="auto"/>
        </w:rPr>
      </w:pPr>
    </w:p>
    <w:p>
      <w:pPr>
        <w:ind w:left="1800" w:right="95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to our covenants for the benefit of the holders or surrendering a right given to us in the Indenture;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security for the Notes; or</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various other modifications, generally of a ministerial or immaterial nature. (Section 13.01 of the Indenture.)</w:t>
      </w:r>
    </w:p>
    <w:p>
      <w:pPr>
        <w:spacing w:after="0" w:line="9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will need the consent of the holders of each outstanding Note affected by a proposed amendment if the amendment would cause any of the following to occur:</w:t>
      </w:r>
    </w:p>
    <w:p>
      <w:pPr>
        <w:spacing w:after="0" w:line="54"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maturity date or redemption date of any Note;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interest rate or extension of the time of payment of interest;</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principal amount of any Note, the interest or premium payable on any Note, or the amount of principal that could be declared due and payable prior to the stated maturity;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currency of any payment of principal, premium or interest on any Note;</w:t>
      </w:r>
    </w:p>
    <w:p>
      <w:pPr>
        <w:spacing w:after="0" w:line="130"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the right of a holder to institute suit for the enforcement of any payment relating to any Note;</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percentage of outstanding Notes necessary to consent to the modification or amendment of the Indenture; or</w:t>
      </w:r>
    </w:p>
    <w:p>
      <w:pPr>
        <w:spacing w:after="0" w:line="67"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modification of these requirements or a reduction to less than a majority of the percentage of outstanding Notes necessary to waive any past default. (Section 13.02 of the Indenture.)</w:t>
      </w:r>
    </w:p>
    <w:p>
      <w:pPr>
        <w:spacing w:after="0" w:line="94"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Amendments other than those described in the above two paragraphs will require the approval of a majority in principal amount of the outstanding Notes.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 and Discharge</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may be discharged from all obligations relating to the Notes and the Indenture (except for specified obligations such as obligations to register the transfer or exchange of Notes, replace stolen, lost or mutilated Notes and maintain paying agencies) if we irrevocably deposit with the Trustee, in trust for the benefit of holders of Notes, money or U.S. government obligations, or any combination thereof, sufficient to make all payments of principal, premium and interest on the Notes on the dates those payments are due. To discharge those obligations, we must deliver to the Trustee an opinion of counsel that the holders of the Notes will not recognize income, gain or loss for U.S. Federal income tax purposes as a result of the defeasance or discharge of the Indenture. If we discharge our obligations as described above, the holders of Notes must look only to the funds deposited with the Trustee, and not us, for payments on the Notes. (Section 5.01 of the Indenture.)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 No Financial Covenants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will not merge into any other corporation or sell or otherwise transfer all or substantially all our assets unless the successor or transferee corporation assumes by supplemental indenture our obligations to pay the principal, interest and any premium on all the Notes and our obligation to perform every covenant in the Indenture that we are supposed to perform or observe. Upon any merger, sale or transfer of all or substantially all of our assets, the successor or transferee corporation will succeed to, and be substituted for, and may exercise all of our rights and powers under the Indenture with the same effect as if the successor corporation had been named as us in the Indenture, and we will be released from all obligations under the Indenture. The Indenture defines all or substantially all of our assets as being 50 percent or more of our total assets as shown on our balance sheet at the end of the prior year and specifically permits any sale, transfer or conveyance during a calendar year of less than 50 percent of our total assets without the consent of the holders of the Notes. (Sections 12.01 and 12.02 of the Indenture.)</w:t>
      </w:r>
    </w:p>
    <w:p>
      <w:pPr>
        <w:spacing w:after="0" w:line="121"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Unless we indicate otherwise in the applicable prospectus supplement, the Indenture will not contain any financial or other similar restrictive covenants.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Limitations on Liens or Sale and Leaseback Transactions</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At March 31, 2024, we had 16 other series of our Notes issued under the Indenture outstanding in the aggregate principal amount of $4.185 billion. Although subject to earlier redemption at our option, the outstanding Notes mature between July 15, 2027 and April 1, 2053. Certain of these series of our Notes have provisions that limit (subject to certain exceptions) our ability to issue secured debt unless, at the time the secured debt is issued, we also equally secure such outstanding Notes. As a result, if in the future we were to issue secured debt, the outstanding series of Notes that contain this provision would also become secured. Unless otherwise specified in the applicable prospectus supplement, the Debt Securities offered hereby will not contain this provision. Therefore, the Debt Securities offered hereby would be effectively subordinated to the secured debt. There is no limit on the amount of debt that we may issue and, in the future, we may issue debt that includes provisions similar to those applicable to our other outstanding Notes.</w:t>
      </w:r>
    </w:p>
    <w:p>
      <w:pPr>
        <w:spacing w:after="0" w:line="329"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addition, although certain other series of our other Notes also have provisions that limit our ability to enter into sale and lease-back transactions, unless otherwise specified in the applicable prospectus supplement, the Debt Securities offered hereby will not contain this provision.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Resignation or Removal of Trustee</w:t>
      </w:r>
    </w:p>
    <w:p>
      <w:pPr>
        <w:spacing w:after="0" w:line="14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Trustee may resign at any time by notifying us in writing and specifying the day that the resignation is to take effect. The resignation will not take effect, however, until a successor trustee has been appointed. (Section 9.10 of the Indenture.)</w:t>
      </w:r>
    </w:p>
    <w:p>
      <w:pPr>
        <w:spacing w:after="0" w:line="102" w:lineRule="exact"/>
        <w:rPr>
          <w:sz w:val="20"/>
          <w:szCs w:val="20"/>
          <w:color w:val="auto"/>
        </w:rPr>
      </w:pPr>
    </w:p>
    <w:p>
      <w:pPr>
        <w:jc w:val="both"/>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Notes may remove the Trustee at any time. In addition, so long as no event of default or event which, with the giving of notice or lapse of time or both, would become an event of default has occurred and is continuing, we may remove the Trustee upon</w:t>
      </w:r>
    </w:p>
    <w:p>
      <w:pPr>
        <w:spacing w:after="0" w:line="2" w:lineRule="exact"/>
        <w:rPr>
          <w:sz w:val="20"/>
          <w:szCs w:val="20"/>
          <w:color w:val="auto"/>
        </w:rPr>
      </w:pPr>
    </w:p>
    <w:p>
      <w:pPr>
        <w:ind w:left="1260" w:right="439"/>
        <w:spacing w:after="0" w:line="243" w:lineRule="auto"/>
        <w:tabs>
          <w:tab w:leader="none" w:pos="15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the Trustee and the holder of each Note outstanding under the Indenture and (2) appointment of a successor Trustee. (Section 9.10 of the Indenture.)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48" w:lineRule="exact"/>
        <w:rPr>
          <w:sz w:val="20"/>
          <w:szCs w:val="20"/>
          <w:color w:val="auto"/>
        </w:rPr>
      </w:pPr>
    </w:p>
    <w:p>
      <w:pPr>
        <w:jc w:val="both"/>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BOKF, NA is the Trustee under the Indenture. We and our affiliates maintain banking relationships with the Trustee in the ordinary course of business. The Trustee also acts as trustee for some of our other securities and may act as the trustee for securities of our affiliates.</w:t>
      </w:r>
    </w:p>
    <w:p>
      <w:pPr>
        <w:spacing w:after="0" w:line="16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Unless we indicate otherwise in the applicable prospectus supplement, The Depository Trust Company (“DTC”), New York, New York, will act as securities depository for the Debt Securities. The Debt Securities will be issued as fully-registered securities registered in the name of Cede &amp; Co., DTC’s partnership nominee, or such other name as may be requested by an authorized representative of DTC. One fully-registered certificate will be issued for each issue of Debt Securities, each in the aggregate principal amount of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1" w:lineRule="auto"/>
        <w:rPr>
          <w:sz w:val="20"/>
          <w:szCs w:val="20"/>
          <w:color w:val="auto"/>
        </w:rPr>
      </w:pPr>
      <w:r>
        <w:rPr>
          <w:rFonts w:ascii="Times New Roman" w:cs="Times New Roman" w:eastAsia="Times New Roman" w:hAnsi="Times New Roman"/>
          <w:sz w:val="18"/>
          <w:szCs w:val="18"/>
          <w:color w:val="auto"/>
        </w:rPr>
        <w:t>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any such issue.</w:t>
      </w:r>
    </w:p>
    <w:p>
      <w:pPr>
        <w:spacing w:after="0" w:line="323"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holds and provides asset servicing for issues of U.S. and non-U.S. equity issues, corporate and municipal debt issues and money market instruments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The DTC Rules applicable to its Participants are on file with the SEC. More information about DTC can be found at www.dtcc.com.</w:t>
      </w:r>
    </w:p>
    <w:p>
      <w:pPr>
        <w:spacing w:after="0" w:line="336"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Purchases of Debt Securities under the DTC system must be made by or through Direct Participants, which will receive a credit for the Debt Securities on DTC’s records. The ownership interest of each actual purchaser of each Debt Security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329"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of Debt Securities may wish to take certain steps to augment the transmission to them of notices of significant events with respect to the Debt Securities, such as redemptions, tenders, defaults, and proposed amendments to the Debt Security documents. For example, Beneficial Owners of Debt Securities may wish to ascertain that the nominee holding the Debt Securities for their benefit has agreed to obtain and transmit notices to Beneficial Owners. In the alternative, Beneficial Owners may wish to provide their names and addresses to the registrar and request that copies of notices be provided directly to them.</w:t>
      </w:r>
    </w:p>
    <w:p>
      <w:pPr>
        <w:spacing w:after="0" w:line="32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Debt Securities are credited on the record date (identified in a listing attached to the Omnibus Proxy).</w:t>
      </w:r>
    </w:p>
    <w:p>
      <w:pPr>
        <w:spacing w:after="0" w:line="110" w:lineRule="exact"/>
        <w:rPr>
          <w:sz w:val="20"/>
          <w:szCs w:val="20"/>
          <w:color w:val="auto"/>
        </w:rPr>
      </w:pPr>
    </w:p>
    <w:p>
      <w:pPr>
        <w:ind w:left="1260" w:right="519" w:firstLine="360"/>
        <w:spacing w:after="0" w:line="241" w:lineRule="auto"/>
        <w:rPr>
          <w:sz w:val="20"/>
          <w:szCs w:val="20"/>
          <w:color w:val="auto"/>
        </w:rPr>
      </w:pPr>
      <w:r>
        <w:rPr>
          <w:rFonts w:ascii="Times New Roman" w:cs="Times New Roman" w:eastAsia="Times New Roman" w:hAnsi="Times New Roman"/>
          <w:sz w:val="18"/>
          <w:szCs w:val="18"/>
          <w:color w:val="auto"/>
        </w:rPr>
        <w:t>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our agent, on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our agent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our agent, disbursement of such payments to Direct Participants will be the responsibility of DTC, and disbursement of such payments to the Beneficial Owners will be the responsibility of Direct and Indirect Participants.</w:t>
      </w:r>
    </w:p>
    <w:p>
      <w:pPr>
        <w:spacing w:after="0" w:line="125"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DTC may discontinue providing its services as depository with respect to the Debt Securities at any time by giving reasonable notice to us or our agent. Under such circumstances, in the event that a successor depository is not obtained, Debt Security certificates are required to be printed and delivered.</w:t>
      </w:r>
    </w:p>
    <w:p>
      <w:pPr>
        <w:spacing w:after="0" w:line="102"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We may decide to discontinue use of the system of book -entry-only transfers through DTC (or a successor securities depository). In that event, Debt Security certificates will be printed and delivered to DTC.</w:t>
      </w:r>
    </w:p>
    <w:p>
      <w:pPr>
        <w:spacing w:after="0" w:line="8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neither we nor any underwriter takes any responsibility for the accuracy thereof.</w:t>
      </w:r>
    </w:p>
    <w:p>
      <w:pPr>
        <w:spacing w:after="0" w:line="16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may sell the Debt Securities offered by this prospectus through underwriters, through dealers, through agents, directly to other purchasers or through a combination of these methods, as described in the prospectus supplement relating to an offering of Debt Securities. The distribution of the Debt Securities may be effected from time to time in one or more transactions at a fixed price or prices, which may be changed, at market prices prevailing at the time of sale, at prices related to such prevailing market prices or at negotiated prices.</w:t>
      </w:r>
    </w:p>
    <w:p>
      <w:pPr>
        <w:spacing w:after="0" w:line="325"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contain specific information relating to the terms of the offering, including:</w:t>
      </w:r>
    </w:p>
    <w:p>
      <w:pPr>
        <w:spacing w:after="0" w:line="54" w:lineRule="exact"/>
        <w:rPr>
          <w:sz w:val="20"/>
          <w:szCs w:val="20"/>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or agents;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proceeds from the sale of the Debt Securities;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underwriters’ compensation;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and any discounts, concessions or commissions allowed or re-allowed or paid to dealers.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By Underwriters</w:t>
      </w:r>
    </w:p>
    <w:p>
      <w:pPr>
        <w:spacing w:after="0" w:line="16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If underwriters are used in the sale, the Debt Securities will be acquired by the underwriters for their own account. Underwriters may offer the Debt Securities directly or through underwriting syndicates represented by one or more managing underwriters. The underwriters may resell the Debt Securities in one or more transactions, including negotiated transactions, at a fixed public offering price, which may be changed, or at varying prices determined at the time of sale. The obligations of the underwriters to purchase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82" w:lineRule="auto"/>
        <w:rPr>
          <w:sz w:val="20"/>
          <w:szCs w:val="20"/>
          <w:color w:val="auto"/>
        </w:rPr>
      </w:pPr>
      <w:r>
        <w:rPr>
          <w:rFonts w:ascii="Times New Roman" w:cs="Times New Roman" w:eastAsia="Times New Roman" w:hAnsi="Times New Roman"/>
          <w:sz w:val="18"/>
          <w:szCs w:val="18"/>
          <w:color w:val="auto"/>
        </w:rPr>
        <w:t>Debt Securities will be subject to certain conditions. The initial public offering price and any discounts or concessions allowed or re-allowed or paid to dealers may be changed from time to time.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By Dealers</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If dealers are used in the sale, unless otherwise specified in the applicable prospectus supplement, we will sell the Debt Securities to the dealers as principals. The dealers may then resell the Debt Securities to the public at varying prices to be determined by the dealers at the time of resale. The applicable prospectus supplement will contain more information about the dealers, including the names of the dealers and the terms of our agreement with them.</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By Agents and Direct Sales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We may sell the Debt Securities directly to the public, without the use of underwriters, dealers or agents. We may also sell the Debt Securities through agents we designate from time to time. The applicable prospectus supplement will contain more information about the agents, including the names of the agents and any commission we agree to pay the agents.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4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Underwriters, dealers and agents that participate in the distribution of Debt Securities may be deemed to be underwriters, and any discounts or commissions received by them from us and any profit on the resale of Debt Securities by them may be deemed to be underwriting discounts and commissions under the Securities Act of 1933. Any person who may be deemed to be an underwriter will be identified, and any compensation received from us will be described, in the prospectus supplement.</w:t>
      </w:r>
    </w:p>
    <w:p>
      <w:pPr>
        <w:spacing w:after="0" w:line="116"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Under agreements into which we may enter in connection with the sale of Debt Securities, underwriters, dealers and agents who participate in the distribution of Debt Securities may be entitled to indemnification by us against specified liabilities, including liabilities under the Securities Act of 1933.</w:t>
      </w:r>
    </w:p>
    <w:p>
      <w:pPr>
        <w:spacing w:after="0" w:line="10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Agents, dealers and underwriters may be customers of, engage in transactions with, or perform services for us or our affiliates in the ordinary course of business.</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OPINIONS</w:t>
      </w:r>
    </w:p>
    <w:p>
      <w:pPr>
        <w:spacing w:after="0" w:line="148"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legal opinions relating to the Debt Securities and certain other matters will be rendered by our counsel, GableGotwals, Tulsa, Oklahoma, and Husch Blackwell, Chicago, Illinois. Unless otherwise indicated in the applicable prospectus supplement, GableGotwals will pass on matters pertaining to local laws and as to these matters other counsel will rely on their opinions.</w:t>
      </w:r>
    </w:p>
    <w:p>
      <w:pPr>
        <w:spacing w:after="0" w:line="335"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will be passed upon for any underwriters, dealers or agents named in a prospectus supplement by Chapman and Cutler LLP, Chicago, Illinois.</w:t>
      </w:r>
    </w:p>
    <w:p>
      <w:pPr>
        <w:spacing w:after="0" w:line="17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59" w:firstLine="3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statements of Oklahoma Gas and Electric Company appearing in Oklahoma Gas and Electric Company’s </w:t>
      </w:r>
      <w:hyperlink r:id="rId78">
        <w:r>
          <w:rPr>
            <w:rFonts w:ascii="Times New Roman" w:cs="Times New Roman" w:eastAsia="Times New Roman" w:hAnsi="Times New Roman"/>
            <w:sz w:val="18"/>
            <w:szCs w:val="18"/>
            <w:u w:val="single" w:color="auto"/>
            <w:color w:val="0000EE"/>
          </w:rPr>
          <w:t>Annual Report (Form 10-K) for the year ended 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(including the financial statement schedule appearing therein), and the effectiveness of Oklahoma Gas and Electric Company’s internal control over financial reporting as of December 31, 2023, have been audited by Ernst &amp; Young LLP, independent registered public accounting firm, as set forth in their reports thereon included therein, and incorporated herein by reference. Such financial statements and financial statement schedule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 Our SEC filings are available to the public over the Internet at the SEC’s web site at www.sec.gov.</w:t>
      </w:r>
    </w:p>
    <w:p>
      <w:pPr>
        <w:spacing w:after="0" w:line="94"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the information contained in or incorporated by reference in this prospectus. We incorporate by reference the following documents:</w:t>
      </w:r>
    </w:p>
    <w:p>
      <w:pPr>
        <w:spacing w:after="0" w:line="75" w:lineRule="exact"/>
        <w:rPr>
          <w:sz w:val="20"/>
          <w:szCs w:val="20"/>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78">
        <w:r>
          <w:rPr>
            <w:rFonts w:ascii="Times New Roman" w:cs="Times New Roman" w:eastAsia="Times New Roman" w:hAnsi="Times New Roman"/>
            <w:sz w:val="18"/>
            <w:szCs w:val="18"/>
            <w:u w:val="single" w:color="auto"/>
            <w:color w:val="0000EE"/>
          </w:rPr>
          <w:t>Annual Report on Form 10-K for the year ended December 31, 2023; and</w:t>
        </w:r>
      </w:hyperlink>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80">
        <w:r>
          <w:rPr>
            <w:rFonts w:ascii="Times New Roman" w:cs="Times New Roman" w:eastAsia="Times New Roman" w:hAnsi="Times New Roman"/>
            <w:sz w:val="18"/>
            <w:szCs w:val="18"/>
            <w:u w:val="single" w:color="auto"/>
            <w:color w:val="0000EE"/>
          </w:rPr>
          <w:t>Quarterly Report on Form 10-Q for the quarter ended March 31, 2024.</w:t>
        </w:r>
      </w:hyperlink>
    </w:p>
    <w:p>
      <w:pPr>
        <w:spacing w:after="0" w:line="144" w:lineRule="exact"/>
        <w:rPr>
          <w:rFonts w:ascii="Times New Roman" w:cs="Times New Roman" w:eastAsia="Times New Roman" w:hAnsi="Times New Roman"/>
          <w:sz w:val="18"/>
          <w:szCs w:val="18"/>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all future filings we make with the SEC under Section 13(a), 13(c), 14 or 15(d) of the Securities Exchange Act of 1934 on or after the date of this prospectus until we sell all of the Debt Securities referred to herein.</w:t>
      </w:r>
    </w:p>
    <w:p>
      <w:pPr>
        <w:spacing w:after="0" w:line="108" w:lineRule="exact"/>
        <w:rPr>
          <w:rFonts w:ascii="Times New Roman" w:cs="Times New Roman" w:eastAsia="Times New Roman" w:hAnsi="Times New Roman"/>
          <w:sz w:val="18"/>
          <w:szCs w:val="18"/>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We are not required to, and do not expect to, provide annual reports to holders of our debt securities unless specifically requested by a holder.</w:t>
      </w:r>
    </w:p>
    <w:p>
      <w:pPr>
        <w:spacing w:after="0" w:line="94" w:lineRule="exact"/>
        <w:rPr>
          <w:rFonts w:ascii="Times New Roman" w:cs="Times New Roman" w:eastAsia="Times New Roman" w:hAnsi="Times New Roman"/>
          <w:sz w:val="18"/>
          <w:szCs w:val="18"/>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81"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7"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Oklahoma Gas and Electric Company</w:t>
      </w:r>
    </w:p>
    <w:p>
      <w:pPr>
        <w:spacing w:after="0" w:line="9"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321 N. Harvey, P.O. Box 321</w:t>
      </w:r>
    </w:p>
    <w:p>
      <w:pPr>
        <w:spacing w:after="0" w:line="9"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Oklahoma City, Oklahoma 73101-0321</w:t>
      </w:r>
    </w:p>
    <w:p>
      <w:pPr>
        <w:spacing w:after="0" w:line="9"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(405) 553-3000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9" w:lineRule="exact"/>
        <w:rPr>
          <w:rFonts w:ascii="Times New Roman" w:cs="Times New Roman" w:eastAsia="Times New Roman" w:hAnsi="Times New Roman"/>
          <w:sz w:val="18"/>
          <w:szCs w:val="18"/>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748030</wp:posOffset>
            </wp:positionV>
            <wp:extent cx="2254250" cy="6000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25425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32"/>
          <w:szCs w:val="32"/>
          <w:b w:val="1"/>
          <w:bCs w:val="1"/>
          <w:color w:val="auto"/>
        </w:rPr>
        <w:t>OKLAHOMA GAS AND ELECTRIC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5"/>
          <w:szCs w:val="25"/>
          <w:b w:val="1"/>
          <w:bCs w:val="1"/>
          <w:color w:val="auto"/>
        </w:rPr>
        <w:t xml:space="preserve">        % Senior Notes, Series Due 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692785</wp:posOffset>
            </wp:positionV>
            <wp:extent cx="12344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236220</wp:posOffset>
            </wp:positionV>
            <wp:extent cx="12344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07" w:lineRule="exact"/>
        <w:rPr>
          <w:sz w:val="20"/>
          <w:szCs w:val="20"/>
          <w:color w:val="auto"/>
        </w:rPr>
      </w:pPr>
    </w:p>
    <w:p>
      <w:pPr>
        <w:jc w:val="center"/>
        <w:ind w:left="1840"/>
        <w:spacing w:after="0" w:line="423" w:lineRule="auto"/>
        <w:rPr>
          <w:sz w:val="20"/>
          <w:szCs w:val="20"/>
          <w:color w:val="auto"/>
        </w:rPr>
      </w:pPr>
      <w:r>
        <w:rPr>
          <w:rFonts w:ascii="Times New Roman" w:cs="Times New Roman" w:eastAsia="Times New Roman" w:hAnsi="Times New Roman"/>
          <w:sz w:val="29"/>
          <w:szCs w:val="29"/>
          <w:b w:val="1"/>
          <w:bCs w:val="1"/>
          <w:color w:val="auto"/>
        </w:rPr>
        <w:t>Barclays BofA Securities PNC Capital Markets LLC   Scotiabank US Bancorp</w:t>
      </w:r>
    </w:p>
    <w:p>
      <w:pPr>
        <w:spacing w:after="0" w:line="35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Co-Managers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541655</wp:posOffset>
            </wp:positionV>
            <wp:extent cx="12344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1261745</wp:posOffset>
            </wp:positionV>
            <wp:extent cx="52120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upperLetter"/>
      <w:start w:val="2"/>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lowerLetter"/>
      <w:start w:val="2"/>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lowerLetter"/>
      <w:start w:val="2"/>
    </w:lvl>
  </w:abstractNum>
  <w:abstractNum w:abstractNumId="13">
    <w:nsid w:val="333AB105"/>
    <w:multiLevelType w:val="hybridMultilevel"/>
    <w:lvl w:ilvl="0">
      <w:lvlJc w:val="left"/>
      <w:lvlText w:val="(%1)"/>
      <w:numFmt w:val="lowerRoman"/>
      <w:start w:val="2"/>
    </w:lvl>
  </w:abstractNum>
  <w:abstractNum w:abstractNumId="14">
    <w:nsid w:val="721DA317"/>
    <w:multiLevelType w:val="hybridMultilevel"/>
    <w:lvl w:ilvl="0">
      <w:lvlJc w:val="left"/>
      <w:lvlText w:val="(%1)"/>
      <w:numFmt w:val="lowerRoman"/>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2"/>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32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9"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jpe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29" Type="http://schemas.openxmlformats.org/officeDocument/2006/relationships/hyperlink" Target="https://www.sec.gov/ix?doc=/Archives/edgar/data/74145/000119312526055414/oge-20251231.htm" TargetMode="External"/><Relationship Id="rId78" Type="http://schemas.openxmlformats.org/officeDocument/2006/relationships/hyperlink" Target="https://www.sec.gov/ix?doc=/Archives/edgar/data/74145/000095017024017400/oge-20231231.htm" TargetMode="External"/><Relationship Id="rId80" Type="http://schemas.openxmlformats.org/officeDocument/2006/relationships/hyperlink" Target="https://www.sec.gov/ix?doc=/Archives/edgar/data/74145/000095017024050701/oge-2024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2026-03-23T08:11:46Z</dcterms:created>
  <dcterms:modified xsi:type="dcterms:W3CDTF">2026-03-23T08:11:46Z</dcterms:modified>
</cp:coreProperties>
</file>