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5-7-26_addnl_proxy_vote_.htm"/>
      <w:bookmarkStart w:id="1" w:name="ks5726_addnl_proxy_vote_"/>
      <w:bookmarkEnd w:id="0"/>
      <w:bookmarkEnd w:id="1"/>
      <w:r>
        <w:rPr/>
        <w:t> </w:t>
      </w:r>
    </w:p>
    <w:p>
      <w:pPr>
        <w:pStyle w:val="TextBody"/>
        <w:bidi w:val="0"/>
        <w:jc w:val="center"/>
        <w:rPr>
          <w:rFonts w:ascii="sans-serif" w:hAnsi="sans-serif"/>
          <w:color w:val="000000"/>
          <w:sz w:val="20"/>
        </w:rPr>
      </w:pPr>
      <w:r>
        <w:rPr>
          <w:rFonts w:ascii="sans-serif" w:hAnsi="sans-serif"/>
          <w:color w:val="000000"/>
          <w:sz w:val="20"/>
        </w:rPr>
        <w:t>SCHEDULE 14A</w:t>
      </w:r>
    </w:p>
    <w:p>
      <w:pPr>
        <w:pStyle w:val="TextBody"/>
        <w:bidi w:val="0"/>
        <w:jc w:val="center"/>
        <w:rPr>
          <w:rFonts w:ascii="sans-serif" w:hAnsi="sans-serif"/>
          <w:color w:val="000000"/>
          <w:sz w:val="20"/>
        </w:rPr>
      </w:pPr>
      <w:r>
        <w:rPr>
          <w:rFonts w:ascii="sans-serif" w:hAnsi="sans-serif"/>
          <w:color w:val="000000"/>
          <w:sz w:val="20"/>
        </w:rPr>
        <w:t>SCHEDULE 14A INFORMATION</w:t>
      </w:r>
    </w:p>
    <w:p>
      <w:pPr>
        <w:pStyle w:val="TextBody"/>
        <w:bidi w:val="0"/>
        <w:jc w:val="center"/>
        <w:rPr>
          <w:rFonts w:ascii="sans-serif" w:hAnsi="sans-serif"/>
          <w:color w:val="000000"/>
          <w:sz w:val="20"/>
        </w:rPr>
      </w:pPr>
      <w:r>
        <w:rPr>
          <w:rFonts w:ascii="sans-serif" w:hAnsi="sans-serif"/>
          <w:color w:val="000000"/>
          <w:sz w:val="20"/>
        </w:rPr>
        <w:t>PROXY STATEMENT PURSUANT TO SECTION 14(A) OF THE SECURITIES</w:t>
      </w:r>
    </w:p>
    <w:p>
      <w:pPr>
        <w:pStyle w:val="TextBody"/>
        <w:bidi w:val="0"/>
        <w:jc w:val="center"/>
        <w:rPr>
          <w:rFonts w:ascii="sans-serif" w:hAnsi="sans-serif"/>
          <w:color w:val="000000"/>
          <w:sz w:val="20"/>
        </w:rPr>
      </w:pPr>
      <w:r>
        <w:rPr>
          <w:rFonts w:ascii="sans-serif" w:hAnsi="sans-serif"/>
          <w:color w:val="000000"/>
          <w:sz w:val="20"/>
        </w:rPr>
        <w:t>EXCHANGE ACT OF 1934 (AMENDMENT NO.)</w:t>
      </w:r>
    </w:p>
    <w:p>
      <w:pPr>
        <w:pStyle w:val="TextBody"/>
        <w:bidi w:val="0"/>
        <w:jc w:val="left"/>
        <w:rPr>
          <w:rFonts w:ascii="sans-serif" w:hAnsi="sans-serif"/>
          <w:color w:val="000000"/>
          <w:sz w:val="20"/>
        </w:rPr>
      </w:pPr>
      <w:r>
        <w:rPr>
          <w:rFonts w:ascii="sans-serif" w:hAnsi="sans-serif"/>
          <w:color w:val="000000"/>
          <w:sz w:val="20"/>
        </w:rPr>
        <w:br/>
        <w:t>Filed by the Registrant [X]</w:t>
      </w:r>
    </w:p>
    <w:p>
      <w:pPr>
        <w:pStyle w:val="TextBody"/>
        <w:bidi w:val="0"/>
        <w:jc w:val="left"/>
        <w:rPr>
          <w:rFonts w:ascii="sans-serif" w:hAnsi="sans-serif"/>
          <w:color w:val="000000"/>
          <w:sz w:val="20"/>
        </w:rPr>
      </w:pPr>
      <w:r>
        <w:rPr>
          <w:rFonts w:ascii="sans-serif" w:hAnsi="sans-serif"/>
          <w:color w:val="000000"/>
          <w:sz w:val="20"/>
        </w:rPr>
        <w:t>Filed by a Party other than the Registrant [ ]</w:t>
      </w:r>
    </w:p>
    <w:p>
      <w:pPr>
        <w:pStyle w:val="TextBody"/>
        <w:bidi w:val="0"/>
        <w:jc w:val="left"/>
        <w:rPr>
          <w:rFonts w:ascii="sans-serif" w:hAnsi="sans-serif"/>
          <w:color w:val="000000"/>
          <w:sz w:val="20"/>
        </w:rPr>
      </w:pPr>
      <w:r>
        <w:rPr>
          <w:rFonts w:ascii="sans-serif" w:hAnsi="sans-serif"/>
          <w:color w:val="000000"/>
          <w:sz w:val="20"/>
        </w:rPr>
        <w:t>Check the appropriate box:</w:t>
      </w:r>
    </w:p>
    <w:p>
      <w:pPr>
        <w:pStyle w:val="TextBody"/>
        <w:bidi w:val="0"/>
        <w:jc w:val="left"/>
        <w:rPr>
          <w:rFonts w:ascii="sans-serif" w:hAnsi="sans-serif"/>
          <w:color w:val="000000"/>
          <w:sz w:val="20"/>
        </w:rPr>
      </w:pPr>
      <w:r>
        <w:rPr>
          <w:rFonts w:ascii="sans-serif" w:hAnsi="sans-serif"/>
          <w:color w:val="000000"/>
          <w:sz w:val="20"/>
        </w:rPr>
        <w:t>[ ] Preliminary Proxy Statement</w:t>
      </w:r>
    </w:p>
    <w:p>
      <w:pPr>
        <w:pStyle w:val="TextBody"/>
        <w:bidi w:val="0"/>
        <w:jc w:val="left"/>
        <w:rPr>
          <w:rFonts w:ascii="sans-serif" w:hAnsi="sans-serif"/>
          <w:color w:val="000000"/>
          <w:sz w:val="20"/>
        </w:rPr>
      </w:pPr>
      <w:r>
        <w:rPr>
          <w:rFonts w:ascii="sans-serif" w:hAnsi="sans-serif"/>
          <w:color w:val="000000"/>
          <w:sz w:val="20"/>
        </w:rPr>
        <w:t>[ ] Confidential, for Use of the Commission Only (as permitted by Rule 14a-6(e)(2))</w:t>
      </w:r>
    </w:p>
    <w:p>
      <w:pPr>
        <w:pStyle w:val="TextBody"/>
        <w:bidi w:val="0"/>
        <w:jc w:val="left"/>
        <w:rPr>
          <w:rFonts w:ascii="sans-serif" w:hAnsi="sans-serif"/>
          <w:color w:val="000000"/>
          <w:sz w:val="20"/>
        </w:rPr>
      </w:pPr>
      <w:r>
        <w:rPr>
          <w:rFonts w:ascii="sans-serif" w:hAnsi="sans-serif"/>
          <w:color w:val="000000"/>
          <w:sz w:val="20"/>
        </w:rPr>
        <w:t>[ ] Definitive Proxy Statement</w:t>
      </w:r>
    </w:p>
    <w:p>
      <w:pPr>
        <w:pStyle w:val="TextBody"/>
        <w:bidi w:val="0"/>
        <w:jc w:val="left"/>
        <w:rPr>
          <w:rFonts w:ascii="sans-serif" w:hAnsi="sans-serif"/>
          <w:color w:val="000000"/>
          <w:sz w:val="20"/>
        </w:rPr>
      </w:pPr>
      <w:r>
        <w:rPr>
          <w:rFonts w:ascii="sans-serif" w:hAnsi="sans-serif"/>
          <w:color w:val="000000"/>
          <w:sz w:val="20"/>
        </w:rPr>
        <w:t>[X] Definitive Additional Materials</w:t>
      </w:r>
    </w:p>
    <w:p>
      <w:pPr>
        <w:pStyle w:val="TextBody"/>
        <w:bidi w:val="0"/>
        <w:jc w:val="left"/>
        <w:rPr>
          <w:rFonts w:ascii="sans-serif" w:hAnsi="sans-serif"/>
          <w:color w:val="000000"/>
          <w:sz w:val="20"/>
        </w:rPr>
      </w:pPr>
      <w:r>
        <w:rPr>
          <w:rFonts w:ascii="sans-serif" w:hAnsi="sans-serif"/>
          <w:color w:val="000000"/>
          <w:sz w:val="20"/>
        </w:rPr>
        <w:t>[ ] Soliciting Material under Rule 14a-12</w:t>
      </w:r>
    </w:p>
    <w:tbl>
      <w:tblPr>
        <w:tblW w:w="7110" w:type="dxa"/>
        <w:jc w:val="left"/>
        <w:tblInd w:w="0" w:type="dxa"/>
        <w:tblLayout w:type="fixed"/>
        <w:tblCellMar>
          <w:top w:w="28" w:type="dxa"/>
          <w:left w:w="28" w:type="dxa"/>
          <w:bottom w:w="28" w:type="dxa"/>
          <w:right w:w="28" w:type="dxa"/>
        </w:tblCellMar>
      </w:tblPr>
      <w:tblGrid>
        <w:gridCol w:w="2293"/>
        <w:gridCol w:w="2080"/>
        <w:gridCol w:w="2737"/>
      </w:tblGrid>
      <w:tr>
        <w:trPr/>
        <w:tc>
          <w:tcPr>
            <w:tcW w:w="2293"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r>
      <w:tr>
        <w:trPr/>
        <w:tc>
          <w:tcPr>
            <w:tcW w:w="2293" w:type="dxa"/>
            <w:tcBorders/>
            <w:tcMar>
              <w:top w:w="0" w:type="dxa"/>
              <w:left w:w="0" w:type="dxa"/>
              <w:bottom w:w="0" w:type="dxa"/>
              <w:right w:w="0" w:type="dxa"/>
            </w:tcMar>
            <w:vAlign w:val="center"/>
          </w:tcPr>
          <w:p>
            <w:pPr>
              <w:pStyle w:val="TableContents"/>
              <w:bidi w:val="0"/>
              <w:spacing w:before="0" w:after="283"/>
              <w:jc w:val="left"/>
              <w:rPr/>
            </w:pPr>
            <w:r>
              <w:rPr/>
              <w:t> </w:t>
            </w:r>
          </w:p>
        </w:tc>
        <w:tc>
          <w:tcPr>
            <w:tcW w:w="2080" w:type="dxa"/>
            <w:tcBorders/>
            <w:tcMar>
              <w:top w:w="0" w:type="dxa"/>
              <w:left w:w="0" w:type="dxa"/>
              <w:bottom w:w="0" w:type="dxa"/>
              <w:right w:w="0" w:type="dxa"/>
            </w:tcMar>
            <w:vAlign w:val="center"/>
          </w:tcPr>
          <w:p>
            <w:pPr>
              <w:pStyle w:val="TableContents"/>
              <w:bidi w:val="0"/>
              <w:spacing w:before="0" w:after="283"/>
              <w:jc w:val="left"/>
              <w:rPr/>
            </w:pPr>
            <w:r>
              <w:rPr/>
              <w:t> </w:t>
            </w:r>
          </w:p>
        </w:tc>
        <w:tc>
          <w:tcPr>
            <w:tcW w:w="27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OGE ENERGY CORP.</w:t>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(Name of Registrant as Specified In Its Charter)</w:t>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(Name of Person(s) Filing Proxy Statement if other than the Registrant)</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Payment of Filing Fee (Check the appropriate box):</w:t>
      </w:r>
    </w:p>
    <w:p>
      <w:pPr>
        <w:pStyle w:val="TextBody"/>
        <w:bidi w:val="0"/>
        <w:jc w:val="left"/>
        <w:rPr>
          <w:rFonts w:ascii="sans-serif" w:hAnsi="sans-serif"/>
          <w:color w:val="000000"/>
          <w:sz w:val="20"/>
        </w:rPr>
      </w:pPr>
      <w:r>
        <w:rPr>
          <w:rFonts w:ascii="sans-serif" w:hAnsi="sans-serif"/>
          <w:color w:val="000000"/>
          <w:sz w:val="20"/>
        </w:rPr>
        <w:t>[X] No fee required</w:t>
      </w:r>
    </w:p>
    <w:p>
      <w:pPr>
        <w:pStyle w:val="TextBody"/>
        <w:bidi w:val="0"/>
        <w:jc w:val="left"/>
        <w:rPr>
          <w:rFonts w:ascii="sans-serif" w:hAnsi="sans-serif"/>
          <w:color w:val="000000"/>
          <w:sz w:val="20"/>
        </w:rPr>
      </w:pPr>
      <w:r>
        <w:rPr>
          <w:rFonts w:ascii="sans-serif" w:hAnsi="sans-serif"/>
          <w:color w:val="000000"/>
          <w:sz w:val="20"/>
        </w:rPr>
        <w:t>[ ] Fee paid previously with preliminary materials</w:t>
      </w:r>
    </w:p>
    <w:p>
      <w:pPr>
        <w:pStyle w:val="TextBody"/>
        <w:bidi w:val="0"/>
        <w:jc w:val="left"/>
        <w:rPr>
          <w:rFonts w:ascii="sans-serif" w:hAnsi="sans-serif"/>
          <w:color w:val="000000"/>
          <w:sz w:val="20"/>
        </w:rPr>
      </w:pPr>
      <w:r>
        <w:rPr>
          <w:rFonts w:ascii="sans-serif" w:hAnsi="sans-serif"/>
          <w:color w:val="000000"/>
          <w:sz w:val="20"/>
        </w:rPr>
        <w:t>[ ] Fee computed on table in exhibit required by Item 25(b) per Exchange Act Rules 14a-6(i)(1) and 0-11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May 7, 2026</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Vote your OGE shares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Annual Meeting of Shareholders of OGE Energy Corp. (the "Company" or "OGE") will be </w:t>
      </w:r>
      <w:r>
        <w:rPr>
          <w:rFonts w:ascii="sans-serif" w:hAnsi="sans-serif"/>
          <w:b/>
          <w:color w:val="000000"/>
          <w:sz w:val="20"/>
        </w:rPr>
        <w:t>held virtually via the internet at 10 a.m. CDT, Thursday, May 14, 2026.</w:t>
      </w:r>
      <w:r>
        <w:rPr>
          <w:rFonts w:ascii="Times New Roman" w:hAnsi="Times New Roman"/>
          <w:color w:val="000000"/>
          <w:sz w:val="20"/>
        </w:rPr>
        <w:t xml:space="preserve"> </w:t>
      </w:r>
      <w:r>
        <w:rPr>
          <w:rFonts w:ascii="sans-serif" w:hAnsi="sans-serif"/>
          <w:color w:val="000000"/>
          <w:sz w:val="20"/>
        </w:rPr>
        <w:t>Details on how to access the meeting are included in the proxy materials made available to each shareholder.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Members are encouraged to vote their shares prior to the annual meeting by the applicable deadline for voting. This deadline varies by a few days depending on where the shares are held. For members that hold shares in the OGE Energy Corp. Retirement Savings Plan (401(k)), administered by Fidelity Investments, the </w:t>
      </w:r>
      <w:r>
        <w:rPr>
          <w:rFonts w:ascii="sans-serif" w:hAnsi="sans-serif"/>
          <w:b/>
          <w:color w:val="000000"/>
          <w:sz w:val="20"/>
        </w:rPr>
        <w:t>deadline for voting prior to the annual meeting is Monday, May 11.</w:t>
      </w:r>
      <w:r>
        <w:rPr>
          <w:rFonts w:ascii="Times New Roman" w:hAnsi="Times New Roman"/>
          <w:color w:val="000000"/>
          <w:sz w:val="20"/>
        </w:rPr>
        <w:t> </w:t>
      </w:r>
      <w:r>
        <w:rPr>
          <w:rFonts w:ascii="sans-serif" w:hAnsi="sans-serif"/>
          <w:color w:val="000000"/>
          <w:sz w:val="20"/>
        </w:rPr>
        <w:t>For shares held in a brokerage firm or other investment-type account, the deadline may be earlier or later. For example, for shares held by Fidelity brokerage accounts, the deadline for voting is Wednesday, May 13. As explained below, voting during the annual meeting is also available.</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As noted in the Company's Proxy Statement this year's annual meeting is being held virtually.</w:t>
      </w:r>
    </w:p>
    <w:p>
      <w:pPr>
        <w:pStyle w:val="TextBody"/>
        <w:bidi w:val="0"/>
        <w:jc w:val="both"/>
        <w:rPr>
          <w:rFonts w:ascii="Times New Roman" w:hAnsi="Times New Roman"/>
          <w:sz w:val="20"/>
        </w:rPr>
      </w:pPr>
      <w:r>
        <w:rPr>
          <w:rFonts w:ascii="sans-serif" w:hAnsi="sans-serif"/>
          <w:color w:val="000000"/>
          <w:sz w:val="20"/>
        </w:rPr>
        <w:t>The items for this year's annual meeting include:</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Calibri" w:hAnsi="Calibri"/>
          <w:color w:val="000000"/>
          <w:sz w:val="20"/>
        </w:rPr>
      </w:pPr>
      <w:r>
        <w:rPr>
          <w:rFonts w:ascii="Calibri" w:hAnsi="Calibri"/>
          <w:color w:val="000000"/>
          <w:sz w:val="20"/>
        </w:rPr>
        <w:t>1.</w:t>
      </w:r>
    </w:p>
    <w:p>
      <w:pPr>
        <w:pStyle w:val="TextBody"/>
        <w:bidi w:val="0"/>
        <w:spacing w:before="0" w:after="0"/>
        <w:jc w:val="both"/>
        <w:rPr>
          <w:rFonts w:ascii="sans-serif" w:hAnsi="sans-serif"/>
          <w:color w:val="000000"/>
          <w:sz w:val="20"/>
        </w:rPr>
      </w:pPr>
      <w:r>
        <w:rPr>
          <w:rFonts w:ascii="sans-serif" w:hAnsi="sans-serif"/>
          <w:color w:val="000000"/>
          <w:sz w:val="20"/>
        </w:rPr>
        <w:t xml:space="preserve">Election of directors; </w:t>
      </w:r>
    </w:p>
    <w:p>
      <w:pPr>
        <w:pStyle w:val="TextBody"/>
        <w:bidi w:val="0"/>
        <w:spacing w:before="0" w:after="0"/>
        <w:jc w:val="both"/>
        <w:rPr>
          <w:rFonts w:ascii="Calibri" w:hAnsi="Calibri"/>
          <w:color w:val="000000"/>
          <w:sz w:val="20"/>
        </w:rPr>
      </w:pPr>
      <w:r>
        <w:rPr>
          <w:rFonts w:ascii="Calibri" w:hAnsi="Calibri"/>
          <w:color w:val="000000"/>
          <w:sz w:val="20"/>
        </w:rPr>
        <w:t>2.</w:t>
      </w:r>
    </w:p>
    <w:p>
      <w:pPr>
        <w:pStyle w:val="TextBody"/>
        <w:bidi w:val="0"/>
        <w:spacing w:before="0" w:after="0"/>
        <w:jc w:val="both"/>
        <w:rPr>
          <w:rFonts w:ascii="sans-serif" w:hAnsi="sans-serif"/>
          <w:color w:val="000000"/>
          <w:sz w:val="20"/>
        </w:rPr>
      </w:pPr>
      <w:r>
        <w:rPr>
          <w:rFonts w:ascii="sans-serif" w:hAnsi="sans-serif"/>
          <w:color w:val="000000"/>
          <w:sz w:val="20"/>
        </w:rPr>
        <w:t xml:space="preserve">Ratify the appointment of Ernst &amp; Young LLP as the company's principal independent accountants for 2026; </w:t>
      </w:r>
    </w:p>
    <w:p>
      <w:pPr>
        <w:pStyle w:val="TextBody"/>
        <w:bidi w:val="0"/>
        <w:spacing w:before="0" w:after="0"/>
        <w:jc w:val="both"/>
        <w:rPr>
          <w:rFonts w:ascii="Calibri" w:hAnsi="Calibri"/>
          <w:color w:val="000000"/>
          <w:sz w:val="20"/>
        </w:rPr>
      </w:pPr>
      <w:r>
        <w:rPr>
          <w:rFonts w:ascii="Calibri" w:hAnsi="Calibri"/>
          <w:color w:val="000000"/>
          <w:sz w:val="20"/>
        </w:rPr>
        <w:t>3.</w:t>
      </w:r>
    </w:p>
    <w:p>
      <w:pPr>
        <w:pStyle w:val="TextBody"/>
        <w:bidi w:val="0"/>
        <w:spacing w:before="0" w:after="0"/>
        <w:jc w:val="both"/>
        <w:rPr>
          <w:rFonts w:ascii="sans-serif" w:hAnsi="sans-serif"/>
          <w:color w:val="000000"/>
          <w:sz w:val="20"/>
        </w:rPr>
      </w:pPr>
      <w:r>
        <w:rPr>
          <w:rFonts w:ascii="sans-serif" w:hAnsi="sans-serif"/>
          <w:color w:val="000000"/>
          <w:sz w:val="20"/>
        </w:rPr>
        <w:t xml:space="preserve">Advisory vote to approve named executive officer compensation; </w:t>
      </w:r>
    </w:p>
    <w:p>
      <w:pPr>
        <w:pStyle w:val="TextBody"/>
        <w:bidi w:val="0"/>
        <w:spacing w:before="0" w:after="0"/>
        <w:jc w:val="both"/>
        <w:rPr>
          <w:rFonts w:ascii="Calibri" w:hAnsi="Calibri"/>
          <w:color w:val="000000"/>
          <w:sz w:val="20"/>
        </w:rPr>
      </w:pPr>
      <w:r>
        <w:rPr>
          <w:rFonts w:ascii="Calibri" w:hAnsi="Calibri"/>
          <w:color w:val="000000"/>
          <w:sz w:val="20"/>
        </w:rPr>
        <w:t>4.</w:t>
      </w:r>
    </w:p>
    <w:p>
      <w:pPr>
        <w:pStyle w:val="TextBody"/>
        <w:bidi w:val="0"/>
        <w:spacing w:before="0" w:after="0"/>
        <w:jc w:val="both"/>
        <w:rPr>
          <w:rFonts w:ascii="sans-serif" w:hAnsi="sans-serif"/>
          <w:color w:val="000000"/>
          <w:sz w:val="20"/>
        </w:rPr>
      </w:pPr>
      <w:r>
        <w:rPr>
          <w:rFonts w:ascii="sans-serif" w:hAnsi="sans-serif"/>
          <w:color w:val="000000"/>
          <w:sz w:val="20"/>
        </w:rPr>
        <w:t>Shareholder proposal regarding simple majority vote; and</w:t>
      </w:r>
    </w:p>
    <w:p>
      <w:pPr>
        <w:pStyle w:val="TextBody"/>
        <w:bidi w:val="0"/>
        <w:spacing w:before="0" w:after="0"/>
        <w:jc w:val="both"/>
        <w:rPr>
          <w:rFonts w:ascii="Calibri" w:hAnsi="Calibri"/>
          <w:color w:val="000000"/>
          <w:sz w:val="20"/>
        </w:rPr>
      </w:pPr>
      <w:r>
        <w:rPr>
          <w:rFonts w:ascii="Calibri" w:hAnsi="Calibri"/>
          <w:color w:val="000000"/>
          <w:sz w:val="20"/>
        </w:rPr>
        <w:t>5.</w:t>
      </w:r>
    </w:p>
    <w:p>
      <w:pPr>
        <w:pStyle w:val="TextBody"/>
        <w:bidi w:val="0"/>
        <w:jc w:val="both"/>
        <w:rPr>
          <w:rFonts w:ascii="sans-serif" w:hAnsi="sans-serif"/>
          <w:color w:val="000000"/>
          <w:sz w:val="20"/>
        </w:rPr>
      </w:pPr>
      <w:r>
        <w:rPr>
          <w:rFonts w:ascii="sans-serif" w:hAnsi="sans-serif"/>
          <w:color w:val="000000"/>
          <w:sz w:val="20"/>
        </w:rPr>
        <w:t xml:space="preserve">Attend to any other business properly presented at this meeting.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As disclosed on April 15, 2026, Luther C. Kissam is no longer standing for re-election to the board of directors at the annual shareholder meeting, and the Company's proxy materials are considered amended to remove Mr. Kissam as a nominee. The board of directors recommends a vote </w:t>
      </w:r>
      <w:r>
        <w:rPr>
          <w:rFonts w:ascii="sans-serif" w:hAnsi="sans-serif"/>
          <w:b/>
          <w:color w:val="000000"/>
          <w:sz w:val="20"/>
        </w:rPr>
        <w:t>FOR</w:t>
      </w:r>
      <w:r>
        <w:rPr>
          <w:rFonts w:ascii="Times New Roman" w:hAnsi="Times New Roman"/>
          <w:color w:val="000000"/>
          <w:sz w:val="20"/>
        </w:rPr>
        <w:t> </w:t>
      </w:r>
      <w:r>
        <w:rPr>
          <w:rFonts w:ascii="sans-serif" w:hAnsi="sans-serif"/>
          <w:color w:val="000000"/>
          <w:sz w:val="20"/>
        </w:rPr>
        <w:t>the election of each of the eight remaining members of the board of directors in proposal (1); </w:t>
      </w:r>
      <w:r>
        <w:rPr>
          <w:rFonts w:ascii="sans-serif" w:hAnsi="sans-serif"/>
          <w:b/>
          <w:color w:val="000000"/>
          <w:sz w:val="20"/>
        </w:rPr>
        <w:t>FOR</w:t>
      </w:r>
      <w:r>
        <w:rPr>
          <w:rFonts w:ascii="Times New Roman" w:hAnsi="Times New Roman"/>
          <w:color w:val="000000"/>
          <w:sz w:val="20"/>
        </w:rPr>
        <w:t> </w:t>
      </w:r>
      <w:r>
        <w:rPr>
          <w:rFonts w:ascii="sans-serif" w:hAnsi="sans-serif"/>
          <w:color w:val="000000"/>
          <w:sz w:val="20"/>
        </w:rPr>
        <w:t>proposal (2); </w:t>
      </w:r>
      <w:r>
        <w:rPr>
          <w:rFonts w:ascii="sans-serif" w:hAnsi="sans-serif"/>
          <w:b/>
          <w:color w:val="000000"/>
          <w:sz w:val="20"/>
        </w:rPr>
        <w:t>FOR</w:t>
      </w:r>
      <w:r>
        <w:rPr>
          <w:rFonts w:ascii="Times New Roman" w:hAnsi="Times New Roman"/>
          <w:color w:val="000000"/>
          <w:sz w:val="20"/>
        </w:rPr>
        <w:t> </w:t>
      </w:r>
      <w:r>
        <w:rPr>
          <w:rFonts w:ascii="sans-serif" w:hAnsi="sans-serif"/>
          <w:color w:val="000000"/>
          <w:sz w:val="20"/>
        </w:rPr>
        <w:t xml:space="preserve">proposal (3); and </w:t>
      </w:r>
      <w:r>
        <w:rPr>
          <w:rFonts w:ascii="sans-serif" w:hAnsi="sans-serif"/>
          <w:b/>
          <w:color w:val="000000"/>
          <w:sz w:val="20"/>
        </w:rPr>
        <w:t>AGAINST</w:t>
      </w:r>
      <w:r>
        <w:rPr>
          <w:rFonts w:ascii="Times New Roman" w:hAnsi="Times New Roman"/>
          <w:color w:val="000000"/>
          <w:sz w:val="20"/>
        </w:rPr>
        <w:t xml:space="preserve"> </w:t>
      </w:r>
      <w:r>
        <w:rPr>
          <w:rFonts w:ascii="sans-serif" w:hAnsi="sans-serif"/>
          <w:color w:val="000000"/>
          <w:sz w:val="20"/>
        </w:rPr>
        <w:t>proposal (4).</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Most company members are shareholders through benefit plans like the Retirement Savings Plan (401(k)), and therefore as shareholders are entitled to vote. Company members make up an important percentage of OGE ownership, so it's important to vote your shares prior to the meeting by the applicable deadline set out above. Active members who own OGE shares through the Retirement Savings Plan will receive a proxy card via U.S. Mail with instructions for voting, by one of three methods: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Internet:         www.proxyvote.com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Telephone:     1-800-690-6903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 xml:space="preserve">Mail:                Return the proxy card in the postage paid envelope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When voting on the internet or by telephone before the meeting, you will need your 16-digit control number, which is printed on the proxy card (received by mail). You may also enter an email address to receive a confirmation when your vote is recorded. Internet and telephone voting are available until 11:59 p.m. Eastern time on the applicable deadline for voting prior to the meeting.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During this virtual annual meeting, voting will also be available online at the designated webcast on May 14. To vote online during the meeting, shareholders will need to follow the instructions at www.virtualshareholdermeeting.com/OGE2026.</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To access the virtual meeting webpage information, each shareholder will need the unique 16-digit control number that is provided with the proxy voting instructions and then follow the instructions on the webpage for participating in the annual meeting and/or voting.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Electronic voting and website posting of financial reports and proxy information help the company save costs in printing, mailing and handling expenses. Every member who participates in the electronic voting process, by internet or telephone, contributes to the savings.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Preliminary results of the shareholder proxy voting will be announced during the annual meeting and immediately to members via The Grid. Final voting results will be filed with the SEC within four business days of the meeting.</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753</Words>
  <Characters>3956</Characters>
  <CharactersWithSpaces>4725</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