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2"/>
          <w:szCs w:val="2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jc w:val="center"/>
        <w:spacing w:after="0" w:line="230" w:lineRule="auto"/>
        <w:rPr>
          <w:sz w:val="20"/>
          <w:szCs w:val="20"/>
          <w:color w:val="auto"/>
        </w:rPr>
      </w:pPr>
      <w:r>
        <w:rPr>
          <w:rFonts w:ascii="Calibri" w:cs="Calibri" w:eastAsia="Calibri" w:hAnsi="Calibri"/>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SECTION 13 OR 15(D) OF THE SECURITIES EXCHANGE ACT OF 1934</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340" w:type="dxa"/>
            <w:vAlign w:val="bottom"/>
            <w:gridSpan w:val="3"/>
          </w:tcPr>
          <w:p>
            <w:pPr>
              <w:ind w:left="1400"/>
              <w:spacing w:after="0"/>
              <w:rPr>
                <w:sz w:val="20"/>
                <w:szCs w:val="20"/>
                <w:color w:val="auto"/>
              </w:rPr>
            </w:pPr>
            <w:r>
              <w:rPr>
                <w:rFonts w:ascii="Calibri" w:cs="Calibri" w:eastAsia="Calibri" w:hAnsi="Calibri"/>
                <w:sz w:val="18"/>
                <w:szCs w:val="18"/>
                <w:color w:val="auto"/>
              </w:rPr>
              <w:t>Date of report (Date of earliest event reported)</w:t>
            </w:r>
          </w:p>
        </w:tc>
        <w:tc>
          <w:tcPr>
            <w:tcW w:w="136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Calibri" w:cs="Calibri" w:eastAsia="Calibri" w:hAnsi="Calibri"/>
                <w:sz w:val="18"/>
                <w:szCs w:val="18"/>
                <w:color w:val="auto"/>
              </w:rPr>
              <w:t>December 18, 2024</w:t>
            </w:r>
          </w:p>
        </w:tc>
      </w:tr>
      <w:tr>
        <w:trPr>
          <w:trHeight w:val="50"/>
        </w:trPr>
        <w:tc>
          <w:tcPr>
            <w:tcW w:w="242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gridSpan w:val="3"/>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524"/>
        </w:trPr>
        <w:tc>
          <w:tcPr>
            <w:tcW w:w="2420" w:type="dxa"/>
            <w:vAlign w:val="bottom"/>
          </w:tcPr>
          <w:p>
            <w:pPr>
              <w:jc w:val="center"/>
              <w:ind w:left="110"/>
              <w:spacing w:after="0"/>
              <w:rPr>
                <w:sz w:val="20"/>
                <w:szCs w:val="20"/>
                <w:color w:val="auto"/>
              </w:rPr>
            </w:pPr>
            <w:r>
              <w:rPr>
                <w:rFonts w:ascii="Calibri" w:cs="Calibri" w:eastAsia="Calibri" w:hAnsi="Calibri"/>
                <w:sz w:val="18"/>
                <w:szCs w:val="18"/>
                <w:color w:val="auto"/>
                <w:w w:val="98"/>
              </w:rPr>
              <w:t>(Commission File Number)</w:t>
            </w:r>
          </w:p>
        </w:tc>
        <w:tc>
          <w:tcPr>
            <w:tcW w:w="5280" w:type="dxa"/>
            <w:vAlign w:val="bottom"/>
            <w:gridSpan w:val="3"/>
          </w:tcPr>
          <w:p>
            <w:pPr>
              <w:jc w:val="center"/>
              <w:ind w:left="330"/>
              <w:spacing w:after="0"/>
              <w:rPr>
                <w:sz w:val="20"/>
                <w:szCs w:val="20"/>
                <w:color w:val="auto"/>
              </w:rPr>
            </w:pPr>
            <w:r>
              <w:rPr>
                <w:rFonts w:ascii="Calibri" w:cs="Calibri" w:eastAsia="Calibri" w:hAnsi="Calibri"/>
                <w:sz w:val="18"/>
                <w:szCs w:val="18"/>
                <w:color w:val="auto"/>
                <w:w w:val="98"/>
              </w:rPr>
              <w:t>(Exact Name of Registrants as Specifed in Their Charters)</w:t>
            </w:r>
          </w:p>
        </w:tc>
        <w:tc>
          <w:tcPr>
            <w:tcW w:w="3540" w:type="dxa"/>
            <w:vAlign w:val="bottom"/>
          </w:tcPr>
          <w:p>
            <w:pPr>
              <w:jc w:val="center"/>
              <w:ind w:left="130"/>
              <w:spacing w:after="0"/>
              <w:rPr>
                <w:sz w:val="20"/>
                <w:szCs w:val="20"/>
                <w:color w:val="auto"/>
              </w:rPr>
            </w:pPr>
            <w:r>
              <w:rPr>
                <w:rFonts w:ascii="Calibri" w:cs="Calibri" w:eastAsia="Calibri" w:hAnsi="Calibri"/>
                <w:sz w:val="18"/>
                <w:szCs w:val="18"/>
                <w:color w:val="auto"/>
              </w:rPr>
              <w:t>(I.R.S. Employer Identfcaton No.)</w:t>
            </w:r>
          </w:p>
        </w:tc>
      </w:tr>
      <w:tr>
        <w:trPr>
          <w:trHeight w:val="50"/>
        </w:trPr>
        <w:tc>
          <w:tcPr>
            <w:tcW w:w="24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53"/>
        </w:trPr>
        <w:tc>
          <w:tcPr>
            <w:tcW w:w="2420" w:type="dxa"/>
            <w:vAlign w:val="bottom"/>
          </w:tcPr>
          <w:p>
            <w:pPr>
              <w:jc w:val="right"/>
              <w:ind w:right="730"/>
              <w:spacing w:after="0"/>
              <w:rPr>
                <w:sz w:val="20"/>
                <w:szCs w:val="20"/>
                <w:color w:val="auto"/>
              </w:rPr>
            </w:pPr>
            <w:r>
              <w:rPr>
                <w:rFonts w:ascii="Calibri" w:cs="Calibri" w:eastAsia="Calibri" w:hAnsi="Calibri"/>
                <w:sz w:val="18"/>
                <w:szCs w:val="18"/>
                <w:color w:val="auto"/>
              </w:rPr>
              <w:t>1-12579</w:t>
            </w:r>
          </w:p>
        </w:tc>
        <w:tc>
          <w:tcPr>
            <w:tcW w:w="1560" w:type="dxa"/>
            <w:vAlign w:val="bottom"/>
          </w:tcPr>
          <w:p>
            <w:pPr>
              <w:spacing w:after="0"/>
              <w:rPr>
                <w:sz w:val="22"/>
                <w:szCs w:val="22"/>
                <w:color w:val="auto"/>
              </w:rPr>
            </w:pPr>
          </w:p>
        </w:tc>
        <w:tc>
          <w:tcPr>
            <w:tcW w:w="2360" w:type="dxa"/>
            <w:vAlign w:val="bottom"/>
          </w:tcPr>
          <w:p>
            <w:pPr>
              <w:jc w:val="center"/>
              <w:ind w:left="110"/>
              <w:spacing w:after="0"/>
              <w:rPr>
                <w:sz w:val="20"/>
                <w:szCs w:val="20"/>
                <w:color w:val="auto"/>
              </w:rPr>
            </w:pPr>
            <w:r>
              <w:rPr>
                <w:rFonts w:ascii="Calibri" w:cs="Calibri" w:eastAsia="Calibri" w:hAnsi="Calibri"/>
                <w:sz w:val="18"/>
                <w:szCs w:val="18"/>
                <w:color w:val="auto"/>
                <w:w w:val="96"/>
              </w:rPr>
              <w:t>OGE ENERGY CORP.</w:t>
            </w:r>
          </w:p>
        </w:tc>
        <w:tc>
          <w:tcPr>
            <w:tcW w:w="1360" w:type="dxa"/>
            <w:vAlign w:val="bottom"/>
          </w:tcPr>
          <w:p>
            <w:pPr>
              <w:spacing w:after="0"/>
              <w:rPr>
                <w:sz w:val="22"/>
                <w:szCs w:val="22"/>
                <w:color w:val="auto"/>
              </w:rPr>
            </w:pPr>
          </w:p>
        </w:tc>
        <w:tc>
          <w:tcPr>
            <w:tcW w:w="3540" w:type="dxa"/>
            <w:vAlign w:val="bottom"/>
          </w:tcPr>
          <w:p>
            <w:pPr>
              <w:jc w:val="center"/>
              <w:ind w:left="130"/>
              <w:spacing w:after="0"/>
              <w:rPr>
                <w:sz w:val="20"/>
                <w:szCs w:val="20"/>
                <w:color w:val="auto"/>
              </w:rPr>
            </w:pPr>
            <w:r>
              <w:rPr>
                <w:rFonts w:ascii="Calibri" w:cs="Calibri" w:eastAsia="Calibri" w:hAnsi="Calibri"/>
                <w:sz w:val="18"/>
                <w:szCs w:val="18"/>
                <w:color w:val="auto"/>
                <w:w w:val="95"/>
              </w:rPr>
              <w:t>73-1481638</w:t>
            </w:r>
          </w:p>
        </w:tc>
      </w:tr>
      <w:tr>
        <w:trPr>
          <w:trHeight w:val="311"/>
        </w:trPr>
        <w:tc>
          <w:tcPr>
            <w:tcW w:w="2420" w:type="dxa"/>
            <w:vAlign w:val="bottom"/>
          </w:tcPr>
          <w:p>
            <w:pPr>
              <w:jc w:val="right"/>
              <w:ind w:right="770"/>
              <w:spacing w:after="0"/>
              <w:rPr>
                <w:sz w:val="20"/>
                <w:szCs w:val="20"/>
                <w:color w:val="auto"/>
              </w:rPr>
            </w:pPr>
            <w:r>
              <w:rPr>
                <w:rFonts w:ascii="Calibri" w:cs="Calibri" w:eastAsia="Calibri" w:hAnsi="Calibri"/>
                <w:sz w:val="18"/>
                <w:szCs w:val="18"/>
                <w:color w:val="auto"/>
              </w:rPr>
              <w:t>1-1097</w:t>
            </w:r>
          </w:p>
        </w:tc>
        <w:tc>
          <w:tcPr>
            <w:tcW w:w="5280" w:type="dxa"/>
            <w:vAlign w:val="bottom"/>
            <w:gridSpan w:val="3"/>
          </w:tcPr>
          <w:p>
            <w:pPr>
              <w:jc w:val="center"/>
              <w:ind w:left="310"/>
              <w:spacing w:after="0"/>
              <w:rPr>
                <w:sz w:val="20"/>
                <w:szCs w:val="20"/>
                <w:color w:val="auto"/>
              </w:rPr>
            </w:pPr>
            <w:r>
              <w:rPr>
                <w:rFonts w:ascii="Calibri" w:cs="Calibri" w:eastAsia="Calibri" w:hAnsi="Calibri"/>
                <w:sz w:val="18"/>
                <w:szCs w:val="18"/>
                <w:color w:val="auto"/>
                <w:w w:val="97"/>
              </w:rPr>
              <w:t>OKLAHOMA GAS AND ELECTRIC COMPANY</w:t>
            </w:r>
          </w:p>
        </w:tc>
        <w:tc>
          <w:tcPr>
            <w:tcW w:w="3540" w:type="dxa"/>
            <w:vAlign w:val="bottom"/>
          </w:tcPr>
          <w:p>
            <w:pPr>
              <w:jc w:val="center"/>
              <w:ind w:left="130"/>
              <w:spacing w:after="0"/>
              <w:rPr>
                <w:sz w:val="20"/>
                <w:szCs w:val="20"/>
                <w:color w:val="auto"/>
              </w:rPr>
            </w:pPr>
            <w:r>
              <w:rPr>
                <w:rFonts w:ascii="Calibri" w:cs="Calibri" w:eastAsia="Calibri" w:hAnsi="Calibri"/>
                <w:sz w:val="18"/>
                <w:szCs w:val="18"/>
                <w:color w:val="auto"/>
                <w:w w:val="95"/>
              </w:rPr>
              <w:t>73-0382390</w:t>
            </w:r>
          </w:p>
        </w:tc>
      </w:tr>
      <w:tr>
        <w:trPr>
          <w:trHeight w:val="581"/>
        </w:trPr>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60" w:type="dxa"/>
            <w:vAlign w:val="bottom"/>
          </w:tcPr>
          <w:p>
            <w:pPr>
              <w:jc w:val="center"/>
              <w:ind w:left="850"/>
              <w:spacing w:after="0"/>
              <w:rPr>
                <w:sz w:val="20"/>
                <w:szCs w:val="20"/>
                <w:color w:val="auto"/>
              </w:rPr>
            </w:pPr>
            <w:r>
              <w:rPr>
                <w:rFonts w:ascii="Calibri" w:cs="Calibri" w:eastAsia="Calibri" w:hAnsi="Calibri"/>
                <w:sz w:val="18"/>
                <w:szCs w:val="18"/>
                <w:color w:val="auto"/>
                <w:w w:val="98"/>
              </w:rPr>
              <w:t>Oklahoma</w:t>
            </w:r>
          </w:p>
        </w:tc>
        <w:tc>
          <w:tcPr>
            <w:tcW w:w="13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0"/>
        </w:trPr>
        <w:tc>
          <w:tcPr>
            <w:tcW w:w="24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gridSpan w:val="2"/>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40"/>
        </w:trPr>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20" w:type="dxa"/>
            <w:vAlign w:val="bottom"/>
            <w:gridSpan w:val="2"/>
          </w:tcPr>
          <w:p>
            <w:pPr>
              <w:jc w:val="center"/>
              <w:ind w:right="350"/>
              <w:spacing w:after="0"/>
              <w:rPr>
                <w:sz w:val="20"/>
                <w:szCs w:val="20"/>
                <w:color w:val="auto"/>
              </w:rPr>
            </w:pPr>
            <w:r>
              <w:rPr>
                <w:rFonts w:ascii="Calibri" w:cs="Calibri" w:eastAsia="Calibri" w:hAnsi="Calibri"/>
                <w:sz w:val="18"/>
                <w:szCs w:val="18"/>
                <w:color w:val="auto"/>
                <w:w w:val="99"/>
              </w:rPr>
              <w:t>(State or Other Jurisdicton of Incorporaton)</w:t>
            </w:r>
          </w:p>
        </w:tc>
        <w:tc>
          <w:tcPr>
            <w:tcW w:w="3540" w:type="dxa"/>
            <w:vAlign w:val="bottom"/>
          </w:tcPr>
          <w:p>
            <w:pPr>
              <w:spacing w:after="0"/>
              <w:rPr>
                <w:sz w:val="20"/>
                <w:szCs w:val="20"/>
                <w:color w:val="auto"/>
              </w:rPr>
            </w:pPr>
          </w:p>
        </w:tc>
      </w:tr>
      <w:tr>
        <w:trPr>
          <w:trHeight w:val="581"/>
        </w:trPr>
        <w:tc>
          <w:tcPr>
            <w:tcW w:w="2420" w:type="dxa"/>
            <w:vAlign w:val="bottom"/>
          </w:tcPr>
          <w:p>
            <w:pPr>
              <w:jc w:val="center"/>
              <w:ind w:left="110"/>
              <w:spacing w:after="0"/>
              <w:rPr>
                <w:sz w:val="20"/>
                <w:szCs w:val="20"/>
                <w:color w:val="auto"/>
              </w:rPr>
            </w:pPr>
            <w:r>
              <w:rPr>
                <w:rFonts w:ascii="Calibri" w:cs="Calibri" w:eastAsia="Calibri" w:hAnsi="Calibri"/>
                <w:sz w:val="18"/>
                <w:szCs w:val="18"/>
                <w:color w:val="auto"/>
                <w:w w:val="97"/>
              </w:rPr>
              <w:t>321 North Harvey</w:t>
            </w:r>
          </w:p>
        </w:tc>
        <w:tc>
          <w:tcPr>
            <w:tcW w:w="1560" w:type="dxa"/>
            <w:vAlign w:val="bottom"/>
          </w:tcPr>
          <w:p>
            <w:pPr>
              <w:ind w:left="640"/>
              <w:spacing w:after="0"/>
              <w:rPr>
                <w:sz w:val="20"/>
                <w:szCs w:val="20"/>
                <w:color w:val="auto"/>
              </w:rPr>
            </w:pPr>
            <w:r>
              <w:rPr>
                <w:rFonts w:ascii="Calibri" w:cs="Calibri" w:eastAsia="Calibri" w:hAnsi="Calibri"/>
                <w:sz w:val="18"/>
                <w:szCs w:val="18"/>
                <w:color w:val="auto"/>
                <w:w w:val="96"/>
              </w:rPr>
              <w:t>P.O. Box 321</w:t>
            </w:r>
          </w:p>
        </w:tc>
        <w:tc>
          <w:tcPr>
            <w:tcW w:w="2360" w:type="dxa"/>
            <w:vAlign w:val="bottom"/>
          </w:tcPr>
          <w:p>
            <w:pPr>
              <w:jc w:val="center"/>
              <w:ind w:left="110"/>
              <w:spacing w:after="0"/>
              <w:rPr>
                <w:sz w:val="20"/>
                <w:szCs w:val="20"/>
                <w:color w:val="auto"/>
              </w:rPr>
            </w:pPr>
            <w:r>
              <w:rPr>
                <w:rFonts w:ascii="Calibri" w:cs="Calibri" w:eastAsia="Calibri" w:hAnsi="Calibri"/>
                <w:sz w:val="18"/>
                <w:szCs w:val="18"/>
                <w:color w:val="auto"/>
                <w:w w:val="97"/>
              </w:rPr>
              <w:t>Oklahoma City</w:t>
            </w:r>
          </w:p>
        </w:tc>
        <w:tc>
          <w:tcPr>
            <w:tcW w:w="1360" w:type="dxa"/>
            <w:vAlign w:val="bottom"/>
          </w:tcPr>
          <w:p>
            <w:pPr>
              <w:ind w:left="340"/>
              <w:spacing w:after="0"/>
              <w:rPr>
                <w:sz w:val="20"/>
                <w:szCs w:val="20"/>
                <w:color w:val="auto"/>
              </w:rPr>
            </w:pPr>
            <w:r>
              <w:rPr>
                <w:rFonts w:ascii="Calibri" w:cs="Calibri" w:eastAsia="Calibri" w:hAnsi="Calibri"/>
                <w:sz w:val="18"/>
                <w:szCs w:val="18"/>
                <w:color w:val="auto"/>
              </w:rPr>
              <w:t>Oklahoma</w:t>
            </w:r>
          </w:p>
        </w:tc>
        <w:tc>
          <w:tcPr>
            <w:tcW w:w="3540" w:type="dxa"/>
            <w:vAlign w:val="bottom"/>
          </w:tcPr>
          <w:p>
            <w:pPr>
              <w:jc w:val="center"/>
              <w:ind w:left="130"/>
              <w:spacing w:after="0"/>
              <w:rPr>
                <w:sz w:val="20"/>
                <w:szCs w:val="20"/>
                <w:color w:val="auto"/>
              </w:rPr>
            </w:pPr>
            <w:r>
              <w:rPr>
                <w:rFonts w:ascii="Calibri" w:cs="Calibri" w:eastAsia="Calibri" w:hAnsi="Calibri"/>
                <w:sz w:val="18"/>
                <w:szCs w:val="18"/>
                <w:color w:val="auto"/>
                <w:w w:val="95"/>
              </w:rPr>
              <w:t>73101-0321</w:t>
            </w:r>
          </w:p>
        </w:tc>
      </w:tr>
      <w:tr>
        <w:trPr>
          <w:trHeight w:val="50"/>
        </w:trPr>
        <w:tc>
          <w:tcPr>
            <w:tcW w:w="242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gridSpan w:val="2"/>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40"/>
        </w:trPr>
        <w:tc>
          <w:tcPr>
            <w:tcW w:w="2420" w:type="dxa"/>
            <w:vAlign w:val="bottom"/>
          </w:tcPr>
          <w:p>
            <w:pPr>
              <w:spacing w:after="0"/>
              <w:rPr>
                <w:sz w:val="20"/>
                <w:szCs w:val="20"/>
                <w:color w:val="auto"/>
              </w:rPr>
            </w:pPr>
          </w:p>
        </w:tc>
        <w:tc>
          <w:tcPr>
            <w:tcW w:w="3920" w:type="dxa"/>
            <w:vAlign w:val="bottom"/>
            <w:gridSpan w:val="2"/>
          </w:tcPr>
          <w:p>
            <w:pPr>
              <w:ind w:left="160"/>
              <w:spacing w:after="0"/>
              <w:rPr>
                <w:sz w:val="20"/>
                <w:szCs w:val="20"/>
                <w:color w:val="auto"/>
              </w:rPr>
            </w:pPr>
            <w:r>
              <w:rPr>
                <w:rFonts w:ascii="Calibri" w:cs="Calibri" w:eastAsia="Calibri" w:hAnsi="Calibri"/>
                <w:sz w:val="18"/>
                <w:szCs w:val="18"/>
                <w:color w:val="auto"/>
              </w:rPr>
              <w:t>(Address of Principal Executve Ofces)</w:t>
            </w:r>
          </w:p>
        </w:tc>
        <w:tc>
          <w:tcPr>
            <w:tcW w:w="1360" w:type="dxa"/>
            <w:vAlign w:val="bottom"/>
          </w:tcPr>
          <w:p>
            <w:pPr>
              <w:spacing w:after="0"/>
              <w:rPr>
                <w:sz w:val="20"/>
                <w:szCs w:val="20"/>
                <w:color w:val="auto"/>
              </w:rPr>
            </w:pPr>
          </w:p>
        </w:tc>
        <w:tc>
          <w:tcPr>
            <w:tcW w:w="3540" w:type="dxa"/>
            <w:vAlign w:val="bottom"/>
          </w:tcPr>
          <w:p>
            <w:pPr>
              <w:jc w:val="center"/>
              <w:ind w:left="130"/>
              <w:spacing w:after="0"/>
              <w:rPr>
                <w:sz w:val="20"/>
                <w:szCs w:val="20"/>
                <w:color w:val="auto"/>
              </w:rPr>
            </w:pPr>
            <w:r>
              <w:rPr>
                <w:rFonts w:ascii="Calibri" w:cs="Calibri" w:eastAsia="Calibri" w:hAnsi="Calibri"/>
                <w:sz w:val="18"/>
                <w:szCs w:val="18"/>
                <w:color w:val="auto"/>
                <w:w w:val="96"/>
              </w:rPr>
              <w:t>(Zip Code)</w:t>
            </w:r>
          </w:p>
        </w:tc>
      </w:tr>
    </w:tbl>
    <w:p>
      <w:pPr>
        <w:spacing w:after="0" w:line="239" w:lineRule="exact"/>
        <w:rPr>
          <w:sz w:val="24"/>
          <w:szCs w:val="24"/>
          <w:color w:val="auto"/>
        </w:rPr>
      </w:pPr>
    </w:p>
    <w:p>
      <w:pPr>
        <w:jc w:val="center"/>
        <w:ind w:right="-339"/>
        <w:spacing w:after="0"/>
        <w:rPr>
          <w:sz w:val="20"/>
          <w:szCs w:val="20"/>
          <w:color w:val="auto"/>
        </w:rPr>
      </w:pPr>
      <w:r>
        <w:rPr>
          <w:rFonts w:ascii="Calibri" w:cs="Calibri" w:eastAsia="Calibri" w:hAnsi="Calibri"/>
          <w:sz w:val="18"/>
          <w:szCs w:val="18"/>
          <w:color w:val="auto"/>
        </w:rPr>
        <w:t>(405) 553-3000</w:t>
      </w:r>
    </w:p>
    <w:p>
      <w:pPr>
        <w:ind w:left="3920"/>
        <w:spacing w:after="0" w:line="235" w:lineRule="auto"/>
        <w:rPr>
          <w:sz w:val="20"/>
          <w:szCs w:val="20"/>
          <w:color w:val="auto"/>
        </w:rPr>
      </w:pPr>
      <w:r>
        <w:rPr>
          <w:rFonts w:ascii="Calibri" w:cs="Calibri" w:eastAsia="Calibri" w:hAnsi="Calibri"/>
          <w:sz w:val="18"/>
          <w:szCs w:val="18"/>
          <w:color w:val="auto"/>
        </w:rPr>
        <w:t>(Registrant's telephone number, including area code)</w:t>
      </w:r>
    </w:p>
    <w:p>
      <w:pPr>
        <w:spacing w:after="0" w:line="65" w:lineRule="exact"/>
        <w:rPr>
          <w:sz w:val="24"/>
          <w:szCs w:val="24"/>
          <w:color w:val="auto"/>
        </w:rPr>
      </w:pPr>
    </w:p>
    <w:p>
      <w:pPr>
        <w:ind w:left="5100"/>
        <w:spacing w:after="0"/>
        <w:rPr>
          <w:sz w:val="20"/>
          <w:szCs w:val="20"/>
          <w:color w:val="auto"/>
        </w:rPr>
      </w:pPr>
      <w:r>
        <w:rPr>
          <w:rFonts w:ascii="Calibri" w:cs="Calibri" w:eastAsia="Calibri" w:hAnsi="Calibri"/>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(Former Name or Former Address, if Changed Since Last Report)</w:t>
      </w:r>
    </w:p>
    <w:p>
      <w:pPr>
        <w:spacing w:after="0" w:line="244" w:lineRule="exact"/>
        <w:rPr>
          <w:sz w:val="24"/>
          <w:szCs w:val="24"/>
          <w:color w:val="auto"/>
        </w:rPr>
      </w:pPr>
    </w:p>
    <w:p>
      <w:pPr>
        <w:ind w:right="560" w:firstLine="374"/>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i w:val="1"/>
          <w:iCs w:val="1"/>
          <w:color w:val="auto"/>
        </w:rPr>
        <w:t>see</w:t>
      </w:r>
      <w:r>
        <w:rPr>
          <w:rFonts w:ascii="Calibri" w:cs="Calibri" w:eastAsia="Calibri" w:hAnsi="Calibri"/>
          <w:sz w:val="18"/>
          <w:szCs w:val="18"/>
          <w:color w:val="auto"/>
        </w:rPr>
        <w:t xml:space="preserve"> General Instructon A.2. below):</w:t>
      </w:r>
    </w:p>
    <w:p>
      <w:pPr>
        <w:spacing w:after="0" w:line="64" w:lineRule="exact"/>
        <w:rPr>
          <w:sz w:val="24"/>
          <w:szCs w:val="24"/>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260" w:type="dxa"/>
            <w:vAlign w:val="bottom"/>
            <w:gridSpan w:val="2"/>
          </w:tcPr>
          <w:p>
            <w:pPr>
              <w:ind w:left="380"/>
              <w:spacing w:after="0"/>
              <w:rPr>
                <w:sz w:val="20"/>
                <w:szCs w:val="20"/>
                <w:color w:val="auto"/>
              </w:rPr>
            </w:pPr>
            <w:r>
              <w:rPr>
                <w:rFonts w:ascii="Calibri" w:cs="Calibri" w:eastAsia="Calibri" w:hAnsi="Calibri"/>
                <w:sz w:val="18"/>
                <w:szCs w:val="18"/>
                <w:color w:val="auto"/>
              </w:rPr>
              <w:t>Securites registered pursuant to Secton 12(b) of the Act:</w:t>
            </w:r>
          </w:p>
        </w:tc>
        <w:tc>
          <w:tcPr>
            <w:tcW w:w="19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83"/>
        </w:trPr>
        <w:tc>
          <w:tcPr>
            <w:tcW w:w="3400" w:type="dxa"/>
            <w:vAlign w:val="bottom"/>
          </w:tcPr>
          <w:p>
            <w:pPr>
              <w:jc w:val="center"/>
              <w:ind w:left="30"/>
              <w:spacing w:after="0"/>
              <w:rPr>
                <w:sz w:val="20"/>
                <w:szCs w:val="20"/>
                <w:color w:val="auto"/>
              </w:rPr>
            </w:pPr>
            <w:r>
              <w:rPr>
                <w:rFonts w:ascii="Calibri" w:cs="Calibri" w:eastAsia="Calibri" w:hAnsi="Calibri"/>
                <w:sz w:val="18"/>
                <w:szCs w:val="18"/>
                <w:color w:val="auto"/>
                <w:w w:val="96"/>
              </w:rPr>
              <w:t>Registrant</w:t>
            </w: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8"/>
              </w:rPr>
              <w:t>Title of each class</w:t>
            </w:r>
          </w:p>
        </w:tc>
        <w:tc>
          <w:tcPr>
            <w:tcW w:w="1980" w:type="dxa"/>
            <w:vAlign w:val="bottom"/>
          </w:tcPr>
          <w:p>
            <w:pPr>
              <w:jc w:val="center"/>
              <w:ind w:right="30"/>
              <w:spacing w:after="0"/>
              <w:rPr>
                <w:sz w:val="20"/>
                <w:szCs w:val="20"/>
                <w:color w:val="auto"/>
              </w:rPr>
            </w:pPr>
            <w:r>
              <w:rPr>
                <w:rFonts w:ascii="Calibri" w:cs="Calibri" w:eastAsia="Calibri" w:hAnsi="Calibri"/>
                <w:sz w:val="18"/>
                <w:szCs w:val="18"/>
                <w:color w:val="auto"/>
                <w:w w:val="96"/>
              </w:rPr>
              <w:t>Trading Symbol(s)</w:t>
            </w:r>
          </w:p>
        </w:tc>
        <w:tc>
          <w:tcPr>
            <w:tcW w:w="4000" w:type="dxa"/>
            <w:vAlign w:val="bottom"/>
          </w:tcPr>
          <w:p>
            <w:pPr>
              <w:jc w:val="center"/>
              <w:spacing w:after="0"/>
              <w:rPr>
                <w:sz w:val="20"/>
                <w:szCs w:val="20"/>
                <w:color w:val="auto"/>
              </w:rPr>
            </w:pPr>
            <w:r>
              <w:rPr>
                <w:rFonts w:ascii="Calibri" w:cs="Calibri" w:eastAsia="Calibri" w:hAnsi="Calibri"/>
                <w:sz w:val="18"/>
                <w:szCs w:val="18"/>
                <w:color w:val="auto"/>
                <w:w w:val="96"/>
              </w:rPr>
              <w:t>Name of each exchange on which registered</w:t>
            </w:r>
          </w:p>
        </w:tc>
      </w:tr>
      <w:tr>
        <w:trPr>
          <w:trHeight w:val="50"/>
        </w:trPr>
        <w:tc>
          <w:tcPr>
            <w:tcW w:w="340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r>
      <w:tr>
        <w:trPr>
          <w:trHeight w:val="240"/>
        </w:trPr>
        <w:tc>
          <w:tcPr>
            <w:tcW w:w="3400" w:type="dxa"/>
            <w:vAlign w:val="bottom"/>
          </w:tcPr>
          <w:p>
            <w:pPr>
              <w:jc w:val="center"/>
              <w:ind w:left="10"/>
              <w:spacing w:after="0"/>
              <w:rPr>
                <w:sz w:val="20"/>
                <w:szCs w:val="20"/>
                <w:color w:val="auto"/>
              </w:rPr>
            </w:pPr>
            <w:r>
              <w:rPr>
                <w:rFonts w:ascii="Calibri" w:cs="Calibri" w:eastAsia="Calibri" w:hAnsi="Calibri"/>
                <w:sz w:val="18"/>
                <w:szCs w:val="18"/>
                <w:color w:val="auto"/>
                <w:w w:val="97"/>
              </w:rPr>
              <w:t>OGE Energy Corp.</w:t>
            </w: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5"/>
              </w:rPr>
              <w:t>Common Stock</w:t>
            </w:r>
          </w:p>
        </w:tc>
        <w:tc>
          <w:tcPr>
            <w:tcW w:w="1980" w:type="dxa"/>
            <w:vAlign w:val="bottom"/>
          </w:tcPr>
          <w:p>
            <w:pPr>
              <w:jc w:val="center"/>
              <w:ind w:right="30"/>
              <w:spacing w:after="0"/>
              <w:rPr>
                <w:sz w:val="20"/>
                <w:szCs w:val="20"/>
                <w:color w:val="auto"/>
              </w:rPr>
            </w:pPr>
            <w:r>
              <w:rPr>
                <w:rFonts w:ascii="Calibri" w:cs="Calibri" w:eastAsia="Calibri" w:hAnsi="Calibri"/>
                <w:sz w:val="18"/>
                <w:szCs w:val="18"/>
                <w:color w:val="auto"/>
                <w:w w:val="93"/>
              </w:rPr>
              <w:t>OGE</w:t>
            </w:r>
          </w:p>
        </w:tc>
        <w:tc>
          <w:tcPr>
            <w:tcW w:w="4000" w:type="dxa"/>
            <w:vAlign w:val="bottom"/>
          </w:tcPr>
          <w:p>
            <w:pPr>
              <w:jc w:val="center"/>
              <w:spacing w:after="0"/>
              <w:rPr>
                <w:sz w:val="20"/>
                <w:szCs w:val="20"/>
                <w:color w:val="auto"/>
              </w:rPr>
            </w:pPr>
            <w:r>
              <w:rPr>
                <w:rFonts w:ascii="Calibri" w:cs="Calibri" w:eastAsia="Calibri" w:hAnsi="Calibri"/>
                <w:sz w:val="18"/>
                <w:szCs w:val="18"/>
                <w:color w:val="auto"/>
                <w:w w:val="97"/>
              </w:rPr>
              <w:t>New York Stock Exchange</w:t>
            </w:r>
          </w:p>
        </w:tc>
      </w:tr>
      <w:tr>
        <w:trPr>
          <w:trHeight w:val="310"/>
        </w:trPr>
        <w:tc>
          <w:tcPr>
            <w:tcW w:w="3400" w:type="dxa"/>
            <w:vAlign w:val="bottom"/>
          </w:tcPr>
          <w:p>
            <w:pPr>
              <w:jc w:val="center"/>
              <w:ind w:left="10"/>
              <w:spacing w:after="0"/>
              <w:rPr>
                <w:sz w:val="20"/>
                <w:szCs w:val="20"/>
                <w:color w:val="auto"/>
              </w:rPr>
            </w:pPr>
            <w:r>
              <w:rPr>
                <w:rFonts w:ascii="Calibri" w:cs="Calibri" w:eastAsia="Calibri" w:hAnsi="Calibri"/>
                <w:sz w:val="18"/>
                <w:szCs w:val="18"/>
                <w:color w:val="auto"/>
                <w:w w:val="97"/>
              </w:rPr>
              <w:t>Oklahoma Gas and Electric Company</w:t>
            </w: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6"/>
              </w:rPr>
              <w:t>None</w:t>
            </w:r>
          </w:p>
        </w:tc>
        <w:tc>
          <w:tcPr>
            <w:tcW w:w="1980" w:type="dxa"/>
            <w:vAlign w:val="bottom"/>
          </w:tcPr>
          <w:p>
            <w:pPr>
              <w:jc w:val="center"/>
              <w:ind w:right="10"/>
              <w:spacing w:after="0"/>
              <w:rPr>
                <w:sz w:val="20"/>
                <w:szCs w:val="20"/>
                <w:color w:val="auto"/>
              </w:rPr>
            </w:pPr>
            <w:r>
              <w:rPr>
                <w:rFonts w:ascii="Calibri" w:cs="Calibri" w:eastAsia="Calibri" w:hAnsi="Calibri"/>
                <w:sz w:val="18"/>
                <w:szCs w:val="18"/>
                <w:color w:val="auto"/>
                <w:w w:val="96"/>
              </w:rPr>
              <w:t>N/A</w:t>
            </w:r>
          </w:p>
        </w:tc>
        <w:tc>
          <w:tcPr>
            <w:tcW w:w="4000" w:type="dxa"/>
            <w:vAlign w:val="bottom"/>
          </w:tcPr>
          <w:p>
            <w:pPr>
              <w:jc w:val="center"/>
              <w:spacing w:after="0"/>
              <w:rPr>
                <w:sz w:val="20"/>
                <w:szCs w:val="20"/>
                <w:color w:val="auto"/>
              </w:rPr>
            </w:pPr>
            <w:r>
              <w:rPr>
                <w:rFonts w:ascii="Calibri" w:cs="Calibri" w:eastAsia="Calibri" w:hAnsi="Calibri"/>
                <w:sz w:val="18"/>
                <w:szCs w:val="18"/>
                <w:color w:val="auto"/>
                <w:w w:val="89"/>
              </w:rPr>
              <w:t>N/A</w:t>
            </w:r>
          </w:p>
        </w:tc>
      </w:tr>
    </w:tbl>
    <w:p>
      <w:pPr>
        <w:spacing w:after="0" w:line="244" w:lineRule="exact"/>
        <w:rPr>
          <w:sz w:val="24"/>
          <w:szCs w:val="24"/>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or Rule 12b-2 of the Securites Exchange Act of 1934 (§240.12b-2).</w:t>
      </w:r>
    </w:p>
    <w:p>
      <w:pPr>
        <w:spacing w:after="0" w:line="1" w:lineRule="exact"/>
        <w:rPr>
          <w:sz w:val="24"/>
          <w:szCs w:val="24"/>
          <w:color w:val="auto"/>
        </w:rPr>
      </w:pPr>
    </w:p>
    <w:p>
      <w:pPr>
        <w:ind w:left="9100"/>
        <w:spacing w:after="0" w:line="208" w:lineRule="exact"/>
        <w:rPr>
          <w:sz w:val="20"/>
          <w:szCs w:val="20"/>
          <w:color w:val="auto"/>
        </w:rPr>
      </w:pPr>
      <w:r>
        <w:rPr>
          <w:rFonts w:ascii="Calibri" w:cs="Calibri" w:eastAsia="Calibri" w:hAnsi="Calibri"/>
          <w:sz w:val="17"/>
          <w:szCs w:val="17"/>
          <w:color w:val="auto"/>
        </w:rPr>
        <w:t xml:space="preserve">Emerging growth company </w:t>
      </w:r>
      <w:r>
        <w:rPr>
          <w:rFonts w:ascii="MS PGothic" w:cs="MS PGothic" w:eastAsia="MS PGothic" w:hAnsi="MS PGothic"/>
          <w:sz w:val="17"/>
          <w:szCs w:val="17"/>
          <w:color w:val="auto"/>
        </w:rPr>
        <w:t>☐</w:t>
      </w:r>
    </w:p>
    <w:p>
      <w:pPr>
        <w:spacing w:after="0" w:line="239" w:lineRule="exact"/>
        <w:rPr>
          <w:sz w:val="24"/>
          <w:szCs w:val="24"/>
          <w:color w:val="auto"/>
        </w:rPr>
      </w:pPr>
    </w:p>
    <w:p>
      <w:pPr>
        <w:ind w:right="260" w:firstLine="374"/>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1" w:name="page2"/>
    <w:bookmarkEnd w:id="1"/>
    <w:p>
      <w:pPr>
        <w:spacing w:after="0"/>
        <w:rPr>
          <w:sz w:val="20"/>
          <w:szCs w:val="20"/>
          <w:color w:val="auto"/>
        </w:rPr>
      </w:pPr>
      <w:r>
        <w:rPr>
          <w:rFonts w:ascii="Calibri" w:cs="Calibri" w:eastAsia="Calibri" w:hAnsi="Calibri"/>
          <w:sz w:val="18"/>
          <w:szCs w:val="18"/>
          <w:b w:val="1"/>
          <w:bCs w:val="1"/>
          <w:color w:val="3D3D3D"/>
        </w:rPr>
        <w:t>Item 1.01. Entry into a Material Defnitve Agreement</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OGE Energy Corp. ("OGE Energy") is the parent company of Oklahoma Gas and Electric Company ("OG&amp;E"), a regulated electric company with approximately 905,000 customers in Oklahoma and western Arkansas.</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As previously disclosed, in December 2021, OGE Energy and OG&amp;E each entered into $550.0 million unsecured fve-year revolving credit facilites, and in December 2022, those credit facilites were amended to extend their term for one year, untl December 2027, and to provide the opton of extending each of such commitments for up to two additonal one-year periods. In December 2023, OGE Energy and OG&amp;E each utlized one of those extensions to extend the credit facilites to December 2028. Efectve December 18, 2024, OGE Energy and OG&amp;E each utlized the second extension to extend the maturity of their respectve credit facility from December 18, 2028 to December 18, 2029 (collectvely, the “Extension”). The terms of the amended credit facilites were otherwise unchanged.</w:t>
      </w:r>
    </w:p>
    <w:p>
      <w:pPr>
        <w:spacing w:after="0" w:line="216"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A copy of the Extension is fled as Exhibit 10.01 to this Current Report and is incorporated by reference herein.</w:t>
      </w:r>
    </w:p>
    <w:p>
      <w:pPr>
        <w:sectPr>
          <w:pgSz w:w="11900" w:h="16838" w:orient="portrait"/>
          <w:cols w:equalWidth="0" w:num="1">
            <w:col w:w="11240"/>
          </w:cols>
          <w:pgMar w:left="320" w:top="976" w:right="339" w:bottom="1440" w:gutter="0" w:footer="0" w:header="0"/>
        </w:sectPr>
      </w:pPr>
    </w:p>
    <w:p>
      <w:pPr>
        <w:spacing w:after="0" w:line="21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Item 9.01. Financial Statements and Exhibits</w:t>
      </w:r>
    </w:p>
    <w:p>
      <w:pPr>
        <w:spacing w:after="0" w:line="76" w:lineRule="exact"/>
        <w:rPr>
          <w:sz w:val="20"/>
          <w:szCs w:val="20"/>
          <w:color w:val="auto"/>
        </w:rPr>
      </w:pPr>
    </w:p>
    <w:p>
      <w:pPr>
        <w:ind w:left="1040" w:right="1040" w:firstLine="5"/>
        <w:spacing w:after="0" w:line="608" w:lineRule="auto"/>
        <w:tabs>
          <w:tab w:leader="none" w:pos="1286" w:val="left"/>
        </w:tabs>
        <w:numPr>
          <w:ilvl w:val="0"/>
          <w:numId w:val="2"/>
        </w:numPr>
        <w:rPr>
          <w:rFonts w:ascii="Calibri" w:cs="Calibri" w:eastAsia="Calibri" w:hAnsi="Calibri"/>
          <w:sz w:val="17"/>
          <w:szCs w:val="17"/>
          <w:b w:val="1"/>
          <w:bCs w:val="1"/>
          <w:color w:val="auto"/>
        </w:rPr>
      </w:pPr>
      <w:r>
        <w:rPr>
          <w:rFonts w:ascii="Calibri" w:cs="Calibri" w:eastAsia="Calibri" w:hAnsi="Calibri"/>
          <w:sz w:val="17"/>
          <w:szCs w:val="17"/>
          <w:b w:val="1"/>
          <w:bCs w:val="1"/>
          <w:u w:val="single" w:color="auto"/>
          <w:color w:val="auto"/>
        </w:rPr>
        <w:t>Exhibits Exhibit Number</w:t>
      </w:r>
    </w:p>
    <w:p>
      <w:pPr>
        <w:ind w:left="1260"/>
        <w:spacing w:after="0" w:line="236" w:lineRule="auto"/>
        <w:rPr>
          <w:sz w:val="20"/>
          <w:szCs w:val="20"/>
          <w:color w:val="auto"/>
        </w:rPr>
      </w:pPr>
      <w:r>
        <w:rPr>
          <w:rFonts w:ascii="Calibri" w:cs="Calibri" w:eastAsia="Calibri" w:hAnsi="Calibri"/>
          <w:sz w:val="18"/>
          <w:szCs w:val="18"/>
          <w:color w:val="auto"/>
        </w:rPr>
        <w:t>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20"/>
        <w:spacing w:after="0"/>
        <w:rPr>
          <w:sz w:val="20"/>
          <w:szCs w:val="20"/>
          <w:color w:val="auto"/>
        </w:rPr>
      </w:pPr>
      <w:r>
        <w:rPr>
          <w:rFonts w:ascii="Calibri" w:cs="Calibri" w:eastAsia="Calibri" w:hAnsi="Calibri"/>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0"/>
        <w:spacing w:after="0"/>
        <w:rPr>
          <w:sz w:val="20"/>
          <w:szCs w:val="20"/>
          <w:color w:val="auto"/>
        </w:rPr>
      </w:pPr>
      <w:r>
        <w:rPr>
          <w:rFonts w:ascii="Calibri" w:cs="Calibri" w:eastAsia="Calibri" w:hAnsi="Calibri"/>
          <w:sz w:val="18"/>
          <w:szCs w:val="18"/>
          <w:b w:val="1"/>
          <w:bCs w:val="1"/>
          <w:u w:val="single" w:color="auto"/>
          <w:color w:val="auto"/>
        </w:rPr>
        <w:t>Descripton</w:t>
      </w:r>
    </w:p>
    <w:p>
      <w:pPr>
        <w:spacing w:after="0" w:line="244"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u w:val="single" w:color="auto"/>
          <w:color w:val="0000FF"/>
        </w:rPr>
        <w:t>Leter of extension dated as of December 18, 2024 for OGE Energy's and OG&amp;E's credit agreements dated as of December 17, 2021, as amended, by and among OGE Energy and OG&amp;E, for their respectve credit facility, the Lenders thereto, Wells Fargo Bank, Natonal Associaton, as Agent, JPMorgan Chase Bank, N.A. and Mizuho Bank, Ltd., as Co-Syndicaton Agents, and MUFG Bank, Ltd., Royal Bank of Canada and U.S. Bank Natonal Associaton, as Co-Documentaton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-565150</wp:posOffset>
            </wp:positionV>
            <wp:extent cx="48228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28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-427990</wp:posOffset>
            </wp:positionV>
            <wp:extent cx="48221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221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-290830</wp:posOffset>
            </wp:positionV>
            <wp:extent cx="4815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152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-153670</wp:posOffset>
            </wp:positionV>
            <wp:extent cx="482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215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-16510</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2"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Cover Page Interactve Data File - the cover page XBRL tags are embedded within the Inline XBRL document.</w:t>
      </w:r>
    </w:p>
    <w:p>
      <w:pPr>
        <w:spacing w:after="0" w:line="200" w:lineRule="exact"/>
        <w:rPr>
          <w:sz w:val="20"/>
          <w:szCs w:val="20"/>
          <w:color w:val="auto"/>
        </w:rPr>
      </w:pPr>
    </w:p>
    <w:p>
      <w:pPr>
        <w:sectPr>
          <w:pgSz w:w="11900" w:h="16838" w:orient="portrait"/>
          <w:cols w:equalWidth="0" w:num="2">
            <w:col w:w="3220" w:space="320"/>
            <w:col w:w="7700"/>
          </w:cols>
          <w:pgMar w:left="320" w:top="976" w:right="339" w:bottom="1440" w:gutter="0" w:footer="0" w:header="0"/>
          <w:type w:val="continuous"/>
        </w:sectPr>
      </w:pPr>
    </w:p>
    <w:p>
      <w:pPr>
        <w:spacing w:after="0" w:line="45"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This combined Current Report on Form 8-K is being fled separately by OGE Energy and OG&amp;E (Registrants). Informaton contained herein relatng to any individual Registrant has been fled by such Registrant on its own behalf. No Registrant makes any representaton as to informaton relatng to any other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1031875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2" w:name="page3"/>
    <w:bookmarkEnd w:id="2"/>
    <w:p>
      <w:pPr>
        <w:jc w:val="center"/>
        <w:ind w:right="-19"/>
        <w:spacing w:after="0"/>
        <w:rPr>
          <w:sz w:val="20"/>
          <w:szCs w:val="20"/>
          <w:color w:val="auto"/>
        </w:rPr>
      </w:pPr>
      <w:r>
        <w:rPr>
          <w:rFonts w:ascii="Calibri" w:cs="Calibri" w:eastAsia="Calibri" w:hAnsi="Calibri"/>
          <w:sz w:val="18"/>
          <w:szCs w:val="18"/>
          <w:b w:val="1"/>
          <w:bCs w:val="1"/>
          <w:color w:val="auto"/>
        </w:rPr>
        <w:t>SIGNATURE</w:t>
      </w:r>
    </w:p>
    <w:p>
      <w:pPr>
        <w:spacing w:after="0" w:line="217" w:lineRule="exact"/>
        <w:rPr>
          <w:sz w:val="20"/>
          <w:szCs w:val="20"/>
          <w:color w:val="auto"/>
        </w:rPr>
      </w:pPr>
    </w:p>
    <w:p>
      <w:pPr>
        <w:ind w:firstLine="374"/>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900"/>
        <w:spacing w:after="0"/>
        <w:rPr>
          <w:sz w:val="20"/>
          <w:szCs w:val="20"/>
          <w:color w:val="auto"/>
        </w:rPr>
      </w:pPr>
      <w:r>
        <w:rPr>
          <w:rFonts w:ascii="Calibri" w:cs="Calibri" w:eastAsia="Calibri" w:hAnsi="Calibri"/>
          <w:sz w:val="18"/>
          <w:szCs w:val="18"/>
          <w:b w:val="1"/>
          <w:bCs w:val="1"/>
          <w:color w:val="auto"/>
        </w:rPr>
        <w:t>OGE ENERGY CORP.</w:t>
      </w:r>
    </w:p>
    <w:p>
      <w:pPr>
        <w:spacing w:after="0" w:line="91" w:lineRule="exact"/>
        <w:rPr>
          <w:sz w:val="20"/>
          <w:szCs w:val="20"/>
          <w:color w:val="auto"/>
        </w:rPr>
      </w:pPr>
    </w:p>
    <w:p>
      <w:pPr>
        <w:jc w:val="center"/>
        <w:ind w:left="4900"/>
        <w:spacing w:after="0"/>
        <w:rPr>
          <w:sz w:val="20"/>
          <w:szCs w:val="20"/>
          <w:color w:val="auto"/>
        </w:rPr>
      </w:pPr>
      <w:r>
        <w:rPr>
          <w:rFonts w:ascii="Calibri" w:cs="Calibri" w:eastAsia="Calibri" w:hAnsi="Calibri"/>
          <w:sz w:val="18"/>
          <w:szCs w:val="18"/>
          <w:b w:val="1"/>
          <w:bCs w:val="1"/>
          <w:color w:val="auto"/>
        </w:rPr>
        <w:t>OKLAHOMA GAS AND ELECTRIC COMPANY</w:t>
      </w:r>
    </w:p>
    <w:p>
      <w:pPr>
        <w:spacing w:after="0" w:line="91" w:lineRule="exact"/>
        <w:rPr>
          <w:sz w:val="20"/>
          <w:szCs w:val="20"/>
          <w:color w:val="auto"/>
        </w:rPr>
      </w:pPr>
    </w:p>
    <w:p>
      <w:pPr>
        <w:jc w:val="center"/>
        <w:ind w:left="4900"/>
        <w:spacing w:after="0"/>
        <w:rPr>
          <w:sz w:val="20"/>
          <w:szCs w:val="20"/>
          <w:color w:val="auto"/>
        </w:rPr>
      </w:pPr>
      <w:r>
        <w:rPr>
          <w:rFonts w:ascii="Calibri" w:cs="Calibri" w:eastAsia="Calibri" w:hAnsi="Calibri"/>
          <w:sz w:val="18"/>
          <w:szCs w:val="18"/>
          <w:color w:val="auto"/>
        </w:rPr>
        <w:t>(Registrant)</w:t>
      </w:r>
    </w:p>
    <w:p>
      <w:pPr>
        <w:spacing w:after="0" w:line="361" w:lineRule="exact"/>
        <w:rPr>
          <w:sz w:val="20"/>
          <w:szCs w:val="20"/>
          <w:color w:val="auto"/>
        </w:rPr>
      </w:pPr>
    </w:p>
    <w:p>
      <w:pPr>
        <w:ind w:left="4660"/>
        <w:spacing w:after="0"/>
        <w:tabs>
          <w:tab w:leader="none" w:pos="7360" w:val="left"/>
        </w:tabs>
        <w:rPr>
          <w:sz w:val="20"/>
          <w:szCs w:val="20"/>
          <w:color w:val="auto"/>
        </w:rPr>
      </w:pP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Sarah R. Staford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31750</wp:posOffset>
            </wp:positionV>
            <wp:extent cx="4011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71" w:lineRule="exact"/>
        <w:rPr>
          <w:sz w:val="20"/>
          <w:szCs w:val="20"/>
          <w:color w:val="auto"/>
        </w:rPr>
      </w:pPr>
    </w:p>
    <w:p>
      <w:pPr>
        <w:jc w:val="center"/>
        <w:ind w:left="4900"/>
        <w:spacing w:after="0"/>
        <w:rPr>
          <w:sz w:val="20"/>
          <w:szCs w:val="20"/>
          <w:color w:val="auto"/>
        </w:rPr>
      </w:pPr>
      <w:r>
        <w:rPr>
          <w:rFonts w:ascii="Calibri" w:cs="Calibri" w:eastAsia="Calibri" w:hAnsi="Calibri"/>
          <w:sz w:val="18"/>
          <w:szCs w:val="18"/>
          <w:color w:val="auto"/>
        </w:rPr>
        <w:t>Sarah R. Staford</w:t>
      </w:r>
    </w:p>
    <w:p>
      <w:pPr>
        <w:spacing w:after="0" w:line="91" w:lineRule="exact"/>
        <w:rPr>
          <w:sz w:val="20"/>
          <w:szCs w:val="20"/>
          <w:color w:val="auto"/>
        </w:rPr>
      </w:pPr>
    </w:p>
    <w:p>
      <w:pPr>
        <w:jc w:val="center"/>
        <w:ind w:left="4940"/>
        <w:spacing w:after="0"/>
        <w:rPr>
          <w:sz w:val="20"/>
          <w:szCs w:val="20"/>
          <w:color w:val="auto"/>
        </w:rPr>
      </w:pPr>
      <w:r>
        <w:rPr>
          <w:rFonts w:ascii="Calibri" w:cs="Calibri" w:eastAsia="Calibri" w:hAnsi="Calibri"/>
          <w:sz w:val="18"/>
          <w:szCs w:val="18"/>
          <w:color w:val="auto"/>
        </w:rPr>
        <w:t>Controller and Chief Accountng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alibri" w:cs="Calibri" w:eastAsia="Calibri" w:hAnsi="Calibri"/>
          <w:sz w:val="18"/>
          <w:szCs w:val="18"/>
          <w:color w:val="auto"/>
        </w:rPr>
        <w:t>December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Exhibit 10.01</w:t>
            </w:r>
          </w:p>
        </w:tc>
      </w:tr>
      <w:tr>
        <w:trPr>
          <w:trHeight w:val="432"/>
        </w:trPr>
        <w:tc>
          <w:tcPr>
            <w:tcW w:w="11240" w:type="dxa"/>
            <w:vAlign w:val="bottom"/>
            <w:gridSpan w:val="6"/>
          </w:tcPr>
          <w:p>
            <w:pPr>
              <w:spacing w:after="0"/>
              <w:rPr>
                <w:sz w:val="20"/>
                <w:szCs w:val="20"/>
                <w:color w:val="auto"/>
              </w:rPr>
            </w:pPr>
            <w:r>
              <w:rPr>
                <w:rFonts w:ascii="Calibri" w:cs="Calibri" w:eastAsia="Calibri" w:hAnsi="Calibri"/>
                <w:sz w:val="18"/>
                <w:szCs w:val="18"/>
                <w:color w:val="auto"/>
              </w:rPr>
              <w:t>November 18, 2024</w:t>
            </w:r>
          </w:p>
        </w:tc>
      </w:tr>
      <w:tr>
        <w:trPr>
          <w:trHeight w:val="432"/>
        </w:trPr>
        <w:tc>
          <w:tcPr>
            <w:tcW w:w="520" w:type="dxa"/>
            <w:vAlign w:val="bottom"/>
          </w:tcPr>
          <w:p>
            <w:pPr>
              <w:ind w:left="20"/>
              <w:spacing w:after="0"/>
              <w:rPr>
                <w:sz w:val="20"/>
                <w:szCs w:val="20"/>
                <w:color w:val="auto"/>
              </w:rPr>
            </w:pPr>
            <w:r>
              <w:rPr>
                <w:rFonts w:ascii="Calibri" w:cs="Calibri" w:eastAsia="Calibri" w:hAnsi="Calibri"/>
                <w:sz w:val="18"/>
                <w:szCs w:val="18"/>
                <w:color w:val="auto"/>
              </w:rPr>
              <w:t>To:</w:t>
            </w:r>
          </w:p>
        </w:tc>
        <w:tc>
          <w:tcPr>
            <w:tcW w:w="10720" w:type="dxa"/>
            <w:vAlign w:val="bottom"/>
            <w:gridSpan w:val="5"/>
          </w:tcPr>
          <w:p>
            <w:pPr>
              <w:ind w:left="520"/>
              <w:spacing w:after="0"/>
              <w:rPr>
                <w:sz w:val="20"/>
                <w:szCs w:val="20"/>
                <w:color w:val="auto"/>
              </w:rPr>
            </w:pPr>
            <w:r>
              <w:rPr>
                <w:rFonts w:ascii="Calibri" w:cs="Calibri" w:eastAsia="Calibri" w:hAnsi="Calibri"/>
                <w:sz w:val="18"/>
                <w:szCs w:val="18"/>
                <w:color w:val="auto"/>
              </w:rPr>
              <w:t>OGE Energy Corp./Oklahoma Gas and Electric Company Bank Group</w:t>
            </w:r>
          </w:p>
        </w:tc>
      </w:tr>
      <w:tr>
        <w:trPr>
          <w:trHeight w:val="432"/>
        </w:trPr>
        <w:tc>
          <w:tcPr>
            <w:tcW w:w="520" w:type="dxa"/>
            <w:vAlign w:val="bottom"/>
          </w:tcPr>
          <w:p>
            <w:pPr>
              <w:ind w:left="20"/>
              <w:spacing w:after="0"/>
              <w:rPr>
                <w:sz w:val="20"/>
                <w:szCs w:val="20"/>
                <w:color w:val="auto"/>
              </w:rPr>
            </w:pPr>
            <w:r>
              <w:rPr>
                <w:rFonts w:ascii="Calibri" w:cs="Calibri" w:eastAsia="Calibri" w:hAnsi="Calibri"/>
                <w:sz w:val="18"/>
                <w:szCs w:val="18"/>
                <w:color w:val="auto"/>
              </w:rPr>
              <w:t>From:</w:t>
            </w:r>
          </w:p>
        </w:tc>
        <w:tc>
          <w:tcPr>
            <w:tcW w:w="10720" w:type="dxa"/>
            <w:vAlign w:val="bottom"/>
            <w:gridSpan w:val="5"/>
          </w:tcPr>
          <w:p>
            <w:pPr>
              <w:ind w:left="520"/>
              <w:spacing w:after="0"/>
              <w:rPr>
                <w:sz w:val="20"/>
                <w:szCs w:val="20"/>
                <w:color w:val="auto"/>
              </w:rPr>
            </w:pPr>
            <w:r>
              <w:rPr>
                <w:rFonts w:ascii="Calibri" w:cs="Calibri" w:eastAsia="Calibri" w:hAnsi="Calibri"/>
                <w:sz w:val="18"/>
                <w:szCs w:val="18"/>
                <w:color w:val="auto"/>
              </w:rPr>
              <w:t>Wells Fargo Bank, Natonal Associaton, as Administratve Agent</w:t>
            </w:r>
          </w:p>
        </w:tc>
      </w:tr>
      <w:tr>
        <w:trPr>
          <w:trHeight w:val="402"/>
        </w:trPr>
        <w:tc>
          <w:tcPr>
            <w:tcW w:w="520" w:type="dxa"/>
            <w:vAlign w:val="bottom"/>
          </w:tcPr>
          <w:p>
            <w:pPr>
              <w:spacing w:after="0"/>
              <w:rPr>
                <w:sz w:val="20"/>
                <w:szCs w:val="20"/>
                <w:color w:val="auto"/>
              </w:rPr>
            </w:pPr>
            <w:r>
              <w:rPr>
                <w:rFonts w:ascii="Calibri" w:cs="Calibri" w:eastAsia="Calibri" w:hAnsi="Calibri"/>
                <w:sz w:val="18"/>
                <w:szCs w:val="18"/>
                <w:color w:val="auto"/>
              </w:rPr>
              <w:t>Re:</w:t>
            </w:r>
          </w:p>
        </w:tc>
        <w:tc>
          <w:tcPr>
            <w:tcW w:w="10720" w:type="dxa"/>
            <w:vAlign w:val="bottom"/>
            <w:gridSpan w:val="5"/>
          </w:tcPr>
          <w:p>
            <w:pPr>
              <w:jc w:val="right"/>
              <w:spacing w:after="0"/>
              <w:rPr>
                <w:sz w:val="20"/>
                <w:szCs w:val="20"/>
                <w:color w:val="auto"/>
              </w:rPr>
            </w:pPr>
            <w:r>
              <w:rPr>
                <w:rFonts w:ascii="Calibri" w:cs="Calibri" w:eastAsia="Calibri" w:hAnsi="Calibri"/>
                <w:sz w:val="18"/>
                <w:szCs w:val="18"/>
                <w:color w:val="auto"/>
                <w:w w:val="99"/>
              </w:rPr>
              <w:t>(i) OGE Energy Corp. (“OGE”) $550 Million Amended and Restated Credit Agreement dated as of December 17, 2021 (the “OGE Credit Agreement”)</w:t>
            </w:r>
          </w:p>
        </w:tc>
      </w:tr>
      <w:tr>
        <w:trPr>
          <w:trHeight w:val="20"/>
        </w:trPr>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and (ii) Oklahoma Gas and Electric Company (“</w:t>
      </w:r>
      <w:r>
        <w:rPr>
          <w:rFonts w:ascii="Calibri" w:cs="Calibri" w:eastAsia="Calibri" w:hAnsi="Calibri"/>
          <w:sz w:val="18"/>
          <w:szCs w:val="18"/>
          <w:u w:val="single" w:color="auto"/>
          <w:color w:val="auto"/>
        </w:rPr>
        <w:t>OG&amp;E</w:t>
      </w:r>
      <w:r>
        <w:rPr>
          <w:rFonts w:ascii="Calibri" w:cs="Calibri" w:eastAsia="Calibri" w:hAnsi="Calibri"/>
          <w:sz w:val="18"/>
          <w:szCs w:val="18"/>
          <w:color w:val="auto"/>
        </w:rPr>
        <w:t>”) $550 Million Amended and Restated Credit Agreement dated as of December 17, 2021 (the “</w:t>
      </w:r>
      <w:r>
        <w:rPr>
          <w:rFonts w:ascii="Calibri" w:cs="Calibri" w:eastAsia="Calibri" w:hAnsi="Calibri"/>
          <w:sz w:val="18"/>
          <w:szCs w:val="18"/>
          <w:u w:val="single" w:color="auto"/>
          <w:color w:val="auto"/>
        </w:rPr>
        <w:t>OG&amp;E</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Credit Agreement</w:t>
      </w:r>
      <w:r>
        <w:rPr>
          <w:rFonts w:ascii="Calibri" w:cs="Calibri" w:eastAsia="Calibri" w:hAnsi="Calibri"/>
          <w:sz w:val="18"/>
          <w:szCs w:val="18"/>
          <w:color w:val="auto"/>
        </w:rPr>
        <w:t>” and together with the OGE Credit Agreement, the “</w:t>
      </w:r>
      <w:r>
        <w:rPr>
          <w:rFonts w:ascii="Calibri" w:cs="Calibri" w:eastAsia="Calibri" w:hAnsi="Calibri"/>
          <w:sz w:val="18"/>
          <w:szCs w:val="18"/>
          <w:u w:val="single" w:color="auto"/>
          <w:color w:val="auto"/>
        </w:rPr>
        <w:t>Credit Agreements</w:t>
      </w:r>
      <w:r>
        <w:rPr>
          <w:rFonts w:ascii="Calibri" w:cs="Calibri" w:eastAsia="Calibri" w:hAnsi="Calibri"/>
          <w:sz w:val="18"/>
          <w:szCs w:val="18"/>
          <w:color w:val="auto"/>
        </w:rPr>
        <w:t>”)</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Reference is hereby made to the Credit Agreements described above. Capitalized terms used herein without defniton shall have the meanings ascribed to such terms in the Credit Agreements.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Pursuant to Secton 2.21 of the OGE Credit Agreement, OGE has requested that the Revolving Credit Terminaton Date be extended for an additonal one year untl December 18, 2029. OGE has agreed to pay each Lender approving the extension a fee equal to 0.06% of such Lender’s Commitment; </w:t>
      </w:r>
      <w:r>
        <w:rPr>
          <w:rFonts w:ascii="Calibri" w:cs="Calibri" w:eastAsia="Calibri" w:hAnsi="Calibri"/>
          <w:sz w:val="18"/>
          <w:szCs w:val="18"/>
          <w:u w:val="single" w:color="auto"/>
          <w:color w:val="auto"/>
        </w:rPr>
        <w:t>provided</w:t>
      </w:r>
      <w:r>
        <w:rPr>
          <w:rFonts w:ascii="Calibri" w:cs="Calibri" w:eastAsia="Calibri" w:hAnsi="Calibri"/>
          <w:sz w:val="18"/>
          <w:szCs w:val="18"/>
          <w:color w:val="auto"/>
        </w:rPr>
        <w:t xml:space="preserve"> that such fee shall only be payable if and when the extension of the Revolving Credit Terminaton Date untl December 18, 2029 becomes efectve.</w:t>
      </w:r>
    </w:p>
    <w:p>
      <w:pPr>
        <w:spacing w:after="0" w:line="21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 xml:space="preserve">Pursuant to Secton 2.21 of the OG&amp;E Credit Agreement, OG&amp;E has requested that the Revolving Credit Terminaton Date be extended for an additonal one year untl December 18, 2029. OG&amp;E has agreed to pay each Lender approving the extension a fee equal to 0.06% of such Lender’s Commitment; </w:t>
      </w:r>
      <w:r>
        <w:rPr>
          <w:rFonts w:ascii="Calibri" w:cs="Calibri" w:eastAsia="Calibri" w:hAnsi="Calibri"/>
          <w:sz w:val="17"/>
          <w:szCs w:val="17"/>
          <w:u w:val="single" w:color="auto"/>
          <w:color w:val="auto"/>
        </w:rPr>
        <w:t>provided</w:t>
      </w:r>
      <w:r>
        <w:rPr>
          <w:rFonts w:ascii="Calibri" w:cs="Calibri" w:eastAsia="Calibri" w:hAnsi="Calibri"/>
          <w:sz w:val="17"/>
          <w:szCs w:val="17"/>
          <w:color w:val="auto"/>
        </w:rPr>
        <w:t xml:space="preserve"> that such fee shall only be payable if and when the extension of the Revolving Credit Terminaton Date untl December 18, 2029 becomes efectve.</w:t>
      </w:r>
    </w:p>
    <w:p>
      <w:pPr>
        <w:spacing w:after="0" w:line="20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Please insert your insttuton’s name and indicate on the following page whether you consent to the requested extension of the Revolving Credit Terminaton Date for each of the OGE Credit Agreement and the OG&amp;E Credit Agreement untl December 18, 2029, and email a PDF copy of this leter to Ryan Dibilio at Robinson, Bradshaw &amp; Hinson, P.A. (rdibilio@robinsonbradshaw.com).</w:t>
      </w:r>
    </w:p>
    <w:p>
      <w:pPr>
        <w:spacing w:after="0" w:line="219" w:lineRule="exact"/>
        <w:rPr>
          <w:sz w:val="20"/>
          <w:szCs w:val="20"/>
          <w:color w:val="auto"/>
        </w:rPr>
      </w:pPr>
    </w:p>
    <w:p>
      <w:pPr>
        <w:jc w:val="both"/>
        <w:ind w:right="20"/>
        <w:spacing w:after="0" w:line="258" w:lineRule="auto"/>
        <w:rPr>
          <w:sz w:val="20"/>
          <w:szCs w:val="20"/>
          <w:color w:val="auto"/>
        </w:rPr>
      </w:pPr>
      <w:r>
        <w:rPr>
          <w:rFonts w:ascii="Calibri" w:cs="Calibri" w:eastAsia="Calibri" w:hAnsi="Calibri"/>
          <w:sz w:val="17"/>
          <w:szCs w:val="17"/>
          <w:color w:val="auto"/>
        </w:rPr>
        <w:t>The extension of the Revolving Credit Terminaton Date under the OGE Credit Agreement and the Revolving Credit Terminaton Date under the OG&amp;E Credit Agreement to December 18, 2029 shall become efectve with respect to the Commitments of each Lender approving such extension on December 18, 2024.</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Your response is requested </w:t>
      </w:r>
      <w:r>
        <w:rPr>
          <w:rFonts w:ascii="Calibri" w:cs="Calibri" w:eastAsia="Calibri" w:hAnsi="Calibri"/>
          <w:sz w:val="18"/>
          <w:szCs w:val="18"/>
          <w:b w:val="1"/>
          <w:bCs w:val="1"/>
          <w:u w:val="single" w:color="auto"/>
          <w:color w:val="auto"/>
        </w:rPr>
        <w:t>prior to 5:00 p.m. (ET) on December 9, 2024</w:t>
      </w:r>
      <w:r>
        <w:rPr>
          <w:rFonts w:ascii="Calibri" w:cs="Calibri" w:eastAsia="Calibri" w:hAnsi="Calibri"/>
          <w:sz w:val="18"/>
          <w:szCs w:val="18"/>
          <w:color w:val="auto"/>
        </w:rPr>
        <w: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Please contact Travis Balleza (phone: 704-410-4769; email: Travis.Balleza@wellsfargo.com) if you have any questons.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Thank you for your atenton to this mater.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color w:val="auto"/>
        </w:rPr>
        <w:t xml:space="preserve">Wells Fargo, Natonal Associaton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620" w:hanging="612"/>
        <w:spacing w:after="0"/>
        <w:tabs>
          <w:tab w:leader="none" w:pos="62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19" w:lineRule="exact"/>
        <w:rPr>
          <w:rFonts w:ascii="Calibri" w:cs="Calibri" w:eastAsia="Calibri" w:hAnsi="Calibri"/>
          <w:sz w:val="18"/>
          <w:szCs w:val="18"/>
          <w:color w:val="auto"/>
        </w:rPr>
      </w:pPr>
    </w:p>
    <w:p>
      <w:pPr>
        <w:ind w:left="540" w:hanging="532"/>
        <w:spacing w:after="0"/>
        <w:tabs>
          <w:tab w:leader="none" w:pos="5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-836930</wp:posOffset>
            </wp:positionV>
            <wp:extent cx="284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4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Patrick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-19050</wp:posOffset>
            </wp:positionV>
            <wp:extent cx="755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5650" cy="8890"/>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Patrick Engel</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Managing Director</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color w:val="auto"/>
        </w:rPr>
        <w:t xml:space="preserve">JPMorgan Chase Bank N.A.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620" w:hanging="612"/>
        <w:spacing w:after="0"/>
        <w:tabs>
          <w:tab w:leader="none" w:pos="62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19" w:lineRule="exact"/>
        <w:rPr>
          <w:rFonts w:ascii="Calibri" w:cs="Calibri" w:eastAsia="Calibri" w:hAnsi="Calibri"/>
          <w:sz w:val="18"/>
          <w:szCs w:val="18"/>
          <w:color w:val="auto"/>
        </w:rPr>
      </w:pPr>
    </w:p>
    <w:p>
      <w:pPr>
        <w:ind w:left="540" w:hanging="532"/>
        <w:spacing w:after="0"/>
        <w:tabs>
          <w:tab w:leader="none" w:pos="5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-836930</wp:posOffset>
            </wp:positionV>
            <wp:extent cx="284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4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Eduardo Lopez Peiro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-18415</wp:posOffset>
            </wp:positionV>
            <wp:extent cx="11004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Eduardo Lopez Peiro</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Vice President</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9</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color w:val="auto"/>
        </w:rPr>
        <w:t xml:space="preserve">Mizuho Bank, Ltd.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9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-18415</wp:posOffset>
            </wp:positionV>
            <wp:extent cx="78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Edward Sacks</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Managing Director</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color w:val="auto"/>
        </w:rPr>
        <w:t xml:space="preserve">MUFG BANK, LTD.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9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Nietzsche Rodricks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-18415</wp:posOffset>
            </wp:positionV>
            <wp:extent cx="1020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Nietzsche Rodricks</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Managing Director</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9</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color w:val="auto"/>
        </w:rPr>
        <w:t xml:space="preserve">ROYAL BANK OF CANADA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9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Meg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-18415</wp:posOffset>
            </wp:positionV>
            <wp:extent cx="8077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Meg Donnelly</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Authorized Signatory</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8</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color w:val="auto"/>
        </w:rPr>
        <w:t xml:space="preserve">U.S. Bank Natonal Associaton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9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John Prigge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-18415</wp:posOffset>
            </wp:positionV>
            <wp:extent cx="697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7230"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John Prigge</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Senior Vice President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color w:val="auto"/>
        </w:rPr>
        <w:t xml:space="preserve">BANK OF AMERICA, N.A.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59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William Moen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-19050</wp:posOffset>
            </wp:positionV>
            <wp:extent cx="814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William Moen</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Authorized Signatory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color w:val="auto"/>
        </w:rPr>
        <w:t xml:space="preserve">BARCLAYS BANK PLC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59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-19050</wp:posOffset>
            </wp:positionV>
            <wp:extent cx="958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8215" cy="8890"/>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Sydney G. Dennis</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Director</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color w:val="auto"/>
        </w:rPr>
        <w:t xml:space="preserve">MORGAN STANLEY BANK, N.A.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59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-19050</wp:posOffset>
            </wp:positionV>
            <wp:extent cx="7581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Michael King</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Authorized Signatory</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9</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color w:val="auto"/>
        </w:rPr>
        <w:t xml:space="preserve">PNC BANK, NATIONAL ASSOCIATION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9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Joseph McElhinny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-18415</wp:posOffset>
            </wp:positionV>
            <wp:extent cx="9855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Joseph McElhinny</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Senior Vice President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color w:val="auto"/>
        </w:rPr>
        <w:t xml:space="preserve">The Bank of Nova Scota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620" w:hanging="612"/>
        <w:spacing w:after="0"/>
        <w:tabs>
          <w:tab w:leader="none" w:pos="62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44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4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David Dewar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-18415</wp:posOffset>
            </wp:positionV>
            <wp:extent cx="7518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51840"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David Dewar</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Director</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9</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color w:val="auto"/>
        </w:rPr>
        <w:t xml:space="preserve">BOK Financial, NA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9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Parker Dooly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-18415</wp:posOffset>
            </wp:positionV>
            <wp:extent cx="7537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Parker Dooly</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Senior Vice President</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5</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color w:val="auto"/>
        </w:rPr>
        <w:t xml:space="preserve">Bank of Communicatons Co., Ltd., New York Branch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9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Xuetao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-18415</wp:posOffset>
            </wp:positionV>
            <wp:extent cx="7797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Xuetao Wang</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Deputy General Manager</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u w:val="single" w:color="auto"/>
          <w:color w:val="auto"/>
        </w:rPr>
        <w:t>BancFirst</w:t>
      </w:r>
      <w:r>
        <w:rPr>
          <w:rFonts w:ascii="Calibri" w:cs="Calibri" w:eastAsia="Calibri" w:hAnsi="Calibri"/>
          <w:sz w:val="18"/>
          <w:szCs w:val="18"/>
          <w:color w:val="auto"/>
        </w:rPr>
        <w:t xml:space="preserve"> hereby </w:t>
      </w:r>
      <w:r>
        <w:rPr>
          <w:rFonts w:ascii="Calibri" w:cs="Calibri" w:eastAsia="Calibri" w:hAnsi="Calibri"/>
          <w:sz w:val="16"/>
          <w:szCs w:val="16"/>
          <w:color w:val="auto"/>
        </w:rPr>
        <w:t>(select one)</w:t>
      </w:r>
      <w:r>
        <w:rPr>
          <w:rFonts w:ascii="Calibri" w:cs="Calibri" w:eastAsia="Calibri" w:hAnsi="Calibri"/>
          <w:sz w:val="18"/>
          <w:szCs w:val="18"/>
          <w:color w:val="auto"/>
        </w:rPr>
        <w: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Lender Name</w:t>
      </w:r>
    </w:p>
    <w:p>
      <w:pPr>
        <w:spacing w:after="0" w:line="216" w:lineRule="exact"/>
        <w:rPr>
          <w:sz w:val="20"/>
          <w:szCs w:val="20"/>
          <w:color w:val="auto"/>
        </w:rPr>
      </w:pPr>
    </w:p>
    <w:p>
      <w:pPr>
        <w:ind w:left="500" w:hanging="492"/>
        <w:spacing w:after="0"/>
        <w:tabs>
          <w:tab w:leader="none" w:pos="50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9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17"/>
          <w:szCs w:val="17"/>
          <w:color w:val="auto"/>
        </w:rPr>
        <w:t>______ DOES NOT consent to the extension of the Revolving Credit Terminaton Date under the OGE Credit Agreement to December 18, 2029.</w:t>
      </w:r>
    </w:p>
    <w:p>
      <w:pPr>
        <w:spacing w:after="0" w:line="220" w:lineRule="exact"/>
        <w:rPr>
          <w:sz w:val="20"/>
          <w:szCs w:val="20"/>
          <w:color w:val="auto"/>
        </w:rPr>
      </w:pPr>
    </w:p>
    <w:p>
      <w:pPr>
        <w:ind w:left="540" w:hanging="532"/>
        <w:spacing w:after="0"/>
        <w:tabs>
          <w:tab w:leader="none" w:pos="5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CONSENTS to the extension of the Revolving Credit Terminaton Date under the OG&amp;E Credit Agreement to December 18, 2029.</w:t>
      </w:r>
    </w:p>
    <w:p>
      <w:pPr>
        <w:spacing w:after="0" w:line="21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7"/>
          <w:szCs w:val="17"/>
          <w:color w:val="auto"/>
        </w:rPr>
        <w:t>______ DOES NOT consent to the extension of the Revolving Credit Terminaton Date under the OG&amp;E Credit Agreement to December 18,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844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color w:val="auto"/>
        </w:rPr>
        <w:t>By: /s/ Mat Crew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-18415</wp:posOffset>
            </wp:positionV>
            <wp:extent cx="6527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Name: Mat Crew</w:t>
      </w:r>
    </w:p>
    <w:p>
      <w:pPr>
        <w:spacing w:after="0"/>
        <w:tabs>
          <w:tab w:leader="none" w:pos="500" w:val="left"/>
        </w:tabs>
        <w:rPr>
          <w:sz w:val="20"/>
          <w:szCs w:val="20"/>
          <w:color w:val="auto"/>
        </w:rPr>
      </w:pPr>
      <w:r>
        <w:rPr>
          <w:rFonts w:ascii="Calibri" w:cs="Calibri" w:eastAsia="Calibri" w:hAnsi="Calibri"/>
          <w:sz w:val="18"/>
          <w:szCs w:val="18"/>
          <w:color w:val="auto"/>
        </w:rPr>
        <w:t>Title:</w:t>
      </w:r>
      <w:r>
        <w:rPr>
          <w:sz w:val="20"/>
          <w:szCs w:val="20"/>
          <w:color w:val="auto"/>
        </w:rPr>
        <w:tab/>
      </w:r>
      <w:r>
        <w:rPr>
          <w:rFonts w:ascii="Calibri" w:cs="Calibri" w:eastAsia="Calibri" w:hAnsi="Calibri"/>
          <w:sz w:val="17"/>
          <w:szCs w:val="17"/>
          <w:color w:val="auto"/>
        </w:rPr>
        <w:t>Senior Vice President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760" w:right="135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4"/>
    </w:lvl>
  </w:abstractNum>
  <w:abstractNum w:abstractNumId="2">
    <w:nsid w:val="41A7C4C9"/>
    <w:multiLevelType w:val="hybridMultilevel"/>
    <w:lvl w:ilvl="0">
      <w:lvlJc w:val="left"/>
      <w:lvlText w:val="X"/>
      <w:numFmt w:val="bullet"/>
      <w:start w:val="1"/>
    </w:lvl>
  </w:abstractNum>
  <w:abstractNum w:abstractNumId="3">
    <w:nsid w:val="6B68079A"/>
    <w:multiLevelType w:val="hybridMultilevel"/>
    <w:lvl w:ilvl="0">
      <w:lvlJc w:val="left"/>
      <w:lvlText w:val="X"/>
      <w:numFmt w:val="bullet"/>
      <w:start w:val="1"/>
    </w:lvl>
  </w:abstractNum>
  <w:abstractNum w:abstractNumId="4">
    <w:nsid w:val="4E6AFB66"/>
    <w:multiLevelType w:val="hybridMultilevel"/>
    <w:lvl w:ilvl="0">
      <w:lvlJc w:val="left"/>
      <w:lvlText w:val="X"/>
      <w:numFmt w:val="bullet"/>
      <w:start w:val="1"/>
    </w:lvl>
  </w:abstractNum>
  <w:abstractNum w:abstractNumId="5">
    <w:nsid w:val="25E45D32"/>
    <w:multiLevelType w:val="hybridMultilevel"/>
    <w:lvl w:ilvl="0">
      <w:lvlJc w:val="left"/>
      <w:lvlText w:val="X"/>
      <w:numFmt w:val="bullet"/>
      <w:start w:val="1"/>
    </w:lvl>
  </w:abstractNum>
  <w:abstractNum w:abstractNumId="6">
    <w:nsid w:val="519B500D"/>
    <w:multiLevelType w:val="hybridMultilevel"/>
    <w:lvl w:ilvl="0">
      <w:lvlJc w:val="left"/>
      <w:lvlText w:val="X"/>
      <w:numFmt w:val="bullet"/>
      <w:start w:val="1"/>
    </w:lvl>
  </w:abstractNum>
  <w:abstractNum w:abstractNumId="7">
    <w:nsid w:val="431BD7B7"/>
    <w:multiLevelType w:val="hybridMultilevel"/>
    <w:lvl w:ilvl="0">
      <w:lvlJc w:val="left"/>
      <w:lvlText w:val="X"/>
      <w:numFmt w:val="bullet"/>
      <w:start w:val="1"/>
    </w:lvl>
  </w:abstractNum>
  <w:abstractNum w:abstractNumId="8">
    <w:nsid w:val="3F2DBA31"/>
    <w:multiLevelType w:val="hybridMultilevel"/>
    <w:lvl w:ilvl="0">
      <w:lvlJc w:val="left"/>
      <w:lvlText w:val="X"/>
      <w:numFmt w:val="bullet"/>
      <w:start w:val="1"/>
    </w:lvl>
  </w:abstractNum>
  <w:abstractNum w:abstractNumId="9">
    <w:nsid w:val="7C83E458"/>
    <w:multiLevelType w:val="hybridMultilevel"/>
    <w:lvl w:ilvl="0">
      <w:lvlJc w:val="left"/>
      <w:lvlText w:val="X"/>
      <w:numFmt w:val="bullet"/>
      <w:start w:val="1"/>
    </w:lvl>
  </w:abstractNum>
  <w:abstractNum w:abstractNumId="10">
    <w:nsid w:val="257130A3"/>
    <w:multiLevelType w:val="hybridMultilevel"/>
    <w:lvl w:ilvl="0">
      <w:lvlJc w:val="left"/>
      <w:lvlText w:val="X"/>
      <w:numFmt w:val="bullet"/>
      <w:start w:val="1"/>
    </w:lvl>
  </w:abstractNum>
  <w:abstractNum w:abstractNumId="11">
    <w:nsid w:val="62BBD95A"/>
    <w:multiLevelType w:val="hybridMultilevel"/>
    <w:lvl w:ilvl="0">
      <w:lvlJc w:val="left"/>
      <w:lvlText w:val="X"/>
      <w:numFmt w:val="bullet"/>
      <w:start w:val="1"/>
    </w:lvl>
  </w:abstractNum>
  <w:abstractNum w:abstractNumId="12">
    <w:nsid w:val="436C6125"/>
    <w:multiLevelType w:val="hybridMultilevel"/>
    <w:lvl w:ilvl="0">
      <w:lvlJc w:val="left"/>
      <w:lvlText w:val="X"/>
      <w:numFmt w:val="bullet"/>
      <w:start w:val="1"/>
    </w:lvl>
  </w:abstractNum>
  <w:abstractNum w:abstractNumId="13">
    <w:nsid w:val="628C895D"/>
    <w:multiLevelType w:val="hybridMultilevel"/>
    <w:lvl w:ilvl="0">
      <w:lvlJc w:val="left"/>
      <w:lvlText w:val="X"/>
      <w:numFmt w:val="bullet"/>
      <w:start w:val="1"/>
    </w:lvl>
  </w:abstractNum>
  <w:abstractNum w:abstractNumId="14">
    <w:nsid w:val="333AB105"/>
    <w:multiLevelType w:val="hybridMultilevel"/>
    <w:lvl w:ilvl="0">
      <w:lvlJc w:val="left"/>
      <w:lvlText w:val="X"/>
      <w:numFmt w:val="bullet"/>
      <w:start w:val="1"/>
    </w:lvl>
  </w:abstractNum>
  <w:abstractNum w:abstractNumId="15">
    <w:nsid w:val="721DA317"/>
    <w:multiLevelType w:val="hybridMultilevel"/>
    <w:lvl w:ilvl="0">
      <w:lvlJc w:val="left"/>
      <w:lvlText w:val="X"/>
      <w:numFmt w:val="bullet"/>
      <w:start w:val="1"/>
    </w:lvl>
  </w:abstractNum>
  <w:abstractNum w:abstractNumId="16">
    <w:nsid w:val="2443A858"/>
    <w:multiLevelType w:val="hybridMultilevel"/>
    <w:lvl w:ilvl="0">
      <w:lvlJc w:val="left"/>
      <w:lvlText w:val="X"/>
      <w:numFmt w:val="bullet"/>
      <w:start w:val="1"/>
    </w:lvl>
  </w:abstractNum>
  <w:abstractNum w:abstractNumId="17">
    <w:nsid w:val="2D1D5AE9"/>
    <w:multiLevelType w:val="hybridMultilevel"/>
    <w:lvl w:ilvl="0">
      <w:lvlJc w:val="left"/>
      <w:lvlText w:val="X"/>
      <w:numFmt w:val="bullet"/>
      <w:start w:val="1"/>
    </w:lvl>
  </w:abstractNum>
  <w:abstractNum w:abstractNumId="18">
    <w:nsid w:val="6763845E"/>
    <w:multiLevelType w:val="hybridMultilevel"/>
    <w:lvl w:ilvl="0">
      <w:lvlJc w:val="left"/>
      <w:lvlText w:val="X"/>
      <w:numFmt w:val="bullet"/>
      <w:start w:val="1"/>
    </w:lvl>
  </w:abstractNum>
  <w:abstractNum w:abstractNumId="19">
    <w:nsid w:val="75A2A8D4"/>
    <w:multiLevelType w:val="hybridMultilevel"/>
    <w:lvl w:ilvl="0">
      <w:lvlJc w:val="left"/>
      <w:lvlText w:val="X"/>
      <w:numFmt w:val="bullet"/>
      <w:start w:val="1"/>
    </w:lvl>
  </w:abstractNum>
  <w:abstractNum w:abstractNumId="20">
    <w:nsid w:val="8EDBDAB"/>
    <w:multiLevelType w:val="hybridMultilevel"/>
    <w:lvl w:ilvl="0">
      <w:lvlJc w:val="left"/>
      <w:lvlText w:val="X"/>
      <w:numFmt w:val="bullet"/>
      <w:start w:val="1"/>
    </w:lvl>
  </w:abstractNum>
  <w:abstractNum w:abstractNumId="21">
    <w:nsid w:val="79838CB2"/>
    <w:multiLevelType w:val="hybridMultilevel"/>
    <w:lvl w:ilvl="0">
      <w:lvlJc w:val="left"/>
      <w:lvlText w:val="X"/>
      <w:numFmt w:val="bullet"/>
      <w:start w:val="1"/>
    </w:lvl>
  </w:abstractNum>
  <w:abstractNum w:abstractNumId="22">
    <w:nsid w:val="4353D0CD"/>
    <w:multiLevelType w:val="hybridMultilevel"/>
    <w:lvl w:ilvl="0">
      <w:lvlJc w:val="left"/>
      <w:lvlText w:val="X"/>
      <w:numFmt w:val="bullet"/>
      <w:start w:val="1"/>
    </w:lvl>
  </w:abstractNum>
  <w:abstractNum w:abstractNumId="23">
    <w:nsid w:val="B03E0C6"/>
    <w:multiLevelType w:val="hybridMultilevel"/>
    <w:lvl w:ilvl="0">
      <w:lvlJc w:val="left"/>
      <w:lvlText w:val="X"/>
      <w:numFmt w:val="bullet"/>
      <w:start w:val="1"/>
    </w:lvl>
  </w:abstractNum>
  <w:abstractNum w:abstractNumId="24">
    <w:nsid w:val="189A769B"/>
    <w:multiLevelType w:val="hybridMultilevel"/>
    <w:lvl w:ilvl="0">
      <w:lvlJc w:val="left"/>
      <w:lvlText w:val="X"/>
      <w:numFmt w:val="bullet"/>
      <w:start w:val="1"/>
    </w:lvl>
  </w:abstractNum>
  <w:abstractNum w:abstractNumId="25">
    <w:nsid w:val="54E49EB4"/>
    <w:multiLevelType w:val="hybridMultilevel"/>
    <w:lvl w:ilvl="0">
      <w:lvlJc w:val="left"/>
      <w:lvlText w:val="X"/>
      <w:numFmt w:val="bullet"/>
      <w:start w:val="1"/>
    </w:lvl>
  </w:abstractNum>
  <w:abstractNum w:abstractNumId="26">
    <w:nsid w:val="71F32454"/>
    <w:multiLevelType w:val="hybridMultilevel"/>
    <w:lvl w:ilvl="0">
      <w:lvlJc w:val="left"/>
      <w:lvlText w:val="X"/>
      <w:numFmt w:val="bullet"/>
      <w:start w:val="1"/>
    </w:lvl>
  </w:abstractNum>
  <w:abstractNum w:abstractNumId="27">
    <w:nsid w:val="2CA88611"/>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2024-12-19T15:25:28Z</dcterms:created>
  <dcterms:modified xsi:type="dcterms:W3CDTF">2024-12-19T15:25:28Z</dcterms:modified>
</cp:coreProperties>
</file>