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2"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6400" w:type="dxa"/>
            <w:vAlign w:val="bottom"/>
            <w:tcBorders>
              <w:bottom w:val="single" w:sz="8" w:color="auto"/>
            </w:tcBorders>
            <w:gridSpan w:val="3"/>
          </w:tcPr>
          <w:p>
            <w:pPr>
              <w:ind w:left="1240"/>
              <w:spacing w:after="0"/>
              <w:rPr>
                <w:sz w:val="20"/>
                <w:szCs w:val="20"/>
                <w:color w:val="auto"/>
              </w:rPr>
            </w:pPr>
            <w:r>
              <w:rPr>
                <w:rFonts w:ascii="Arial" w:cs="Arial" w:eastAsia="Arial" w:hAnsi="Arial"/>
                <w:sz w:val="18"/>
                <w:szCs w:val="18"/>
                <w:color w:val="auto"/>
              </w:rPr>
              <w:t>Date of report (Date of earliest event reported)</w:t>
            </w:r>
          </w:p>
        </w:tc>
        <w:tc>
          <w:tcPr>
            <w:tcW w:w="140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May 15, 2025</w:t>
            </w:r>
          </w:p>
        </w:tc>
      </w:tr>
      <w:tr>
        <w:trPr>
          <w:trHeight w:val="547"/>
        </w:trPr>
        <w:tc>
          <w:tcPr>
            <w:tcW w:w="23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9"/>
              </w:rPr>
              <w:t>(Commission File Number)</w:t>
            </w:r>
          </w:p>
        </w:tc>
        <w:tc>
          <w:tcPr>
            <w:tcW w:w="5420" w:type="dxa"/>
            <w:vAlign w:val="bottom"/>
            <w:tcBorders>
              <w:bottom w:val="single" w:sz="8" w:color="auto"/>
            </w:tcBorders>
            <w:gridSpan w:val="3"/>
          </w:tcPr>
          <w:p>
            <w:pPr>
              <w:jc w:val="center"/>
              <w:ind w:left="250"/>
              <w:spacing w:after="0"/>
              <w:rPr>
                <w:sz w:val="20"/>
                <w:szCs w:val="20"/>
                <w:color w:val="auto"/>
              </w:rPr>
            </w:pPr>
            <w:r>
              <w:rPr>
                <w:rFonts w:ascii="Arial" w:cs="Arial" w:eastAsia="Arial" w:hAnsi="Arial"/>
                <w:sz w:val="18"/>
                <w:szCs w:val="18"/>
                <w:color w:val="auto"/>
                <w:w w:val="99"/>
              </w:rPr>
              <w:t>(Exact Name of Registrant as Specified in Its Charter)</w:t>
            </w:r>
          </w:p>
        </w:tc>
        <w:tc>
          <w:tcPr>
            <w:tcW w:w="34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(I.R.S. Employer Identification No.)</w:t>
            </w:r>
          </w:p>
        </w:tc>
      </w:tr>
      <w:tr>
        <w:trPr>
          <w:trHeight w:val="299"/>
        </w:trPr>
        <w:tc>
          <w:tcPr>
            <w:tcW w:w="2380" w:type="dxa"/>
            <w:vAlign w:val="bottom"/>
          </w:tcPr>
          <w:p>
            <w:pPr>
              <w:jc w:val="center"/>
              <w:ind w:left="150"/>
              <w:spacing w:after="0"/>
              <w:rPr>
                <w:sz w:val="20"/>
                <w:szCs w:val="20"/>
                <w:color w:val="auto"/>
              </w:rPr>
            </w:pPr>
            <w:r>
              <w:rPr>
                <w:rFonts w:ascii="Arial" w:cs="Arial" w:eastAsia="Arial" w:hAnsi="Arial"/>
                <w:sz w:val="18"/>
                <w:szCs w:val="18"/>
                <w:color w:val="auto"/>
                <w:w w:val="99"/>
              </w:rPr>
              <w:t>1-12579</w:t>
            </w:r>
          </w:p>
        </w:tc>
        <w:tc>
          <w:tcPr>
            <w:tcW w:w="180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rPr>
              <w:t>OGE ENERGY CORP.</w:t>
            </w:r>
          </w:p>
        </w:tc>
        <w:tc>
          <w:tcPr>
            <w:tcW w:w="1400" w:type="dxa"/>
            <w:vAlign w:val="bottom"/>
          </w:tcPr>
          <w:p>
            <w:pPr>
              <w:spacing w:after="0"/>
              <w:rPr>
                <w:sz w:val="24"/>
                <w:szCs w:val="24"/>
                <w:color w:val="auto"/>
              </w:rPr>
            </w:pPr>
          </w:p>
        </w:tc>
        <w:tc>
          <w:tcPr>
            <w:tcW w:w="3440" w:type="dxa"/>
            <w:vAlign w:val="bottom"/>
          </w:tcPr>
          <w:p>
            <w:pPr>
              <w:jc w:val="center"/>
              <w:ind w:left="30"/>
              <w:spacing w:after="0"/>
              <w:rPr>
                <w:sz w:val="20"/>
                <w:szCs w:val="20"/>
                <w:color w:val="auto"/>
              </w:rPr>
            </w:pPr>
            <w:r>
              <w:rPr>
                <w:rFonts w:ascii="Arial" w:cs="Arial" w:eastAsia="Arial" w:hAnsi="Arial"/>
                <w:sz w:val="18"/>
                <w:szCs w:val="18"/>
                <w:color w:val="auto"/>
                <w:w w:val="99"/>
              </w:rPr>
              <w:t>73-1481638</w:t>
            </w:r>
          </w:p>
        </w:tc>
      </w:tr>
      <w:tr>
        <w:trPr>
          <w:trHeight w:val="558"/>
        </w:trPr>
        <w:tc>
          <w:tcPr>
            <w:tcW w:w="23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color w:val="auto"/>
                <w:w w:val="99"/>
              </w:rPr>
              <w:t>Oklahoma</w:t>
            </w:r>
          </w:p>
        </w:tc>
        <w:tc>
          <w:tcPr>
            <w:tcW w:w="14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r>
        <w:trPr>
          <w:trHeight w:val="272"/>
        </w:trPr>
        <w:tc>
          <w:tcPr>
            <w:tcW w:w="2380" w:type="dxa"/>
            <w:vAlign w:val="bottom"/>
          </w:tcPr>
          <w:p>
            <w:pPr>
              <w:spacing w:after="0"/>
              <w:rPr>
                <w:sz w:val="23"/>
                <w:szCs w:val="23"/>
                <w:color w:val="auto"/>
              </w:rPr>
            </w:pPr>
          </w:p>
        </w:tc>
        <w:tc>
          <w:tcPr>
            <w:tcW w:w="5420" w:type="dxa"/>
            <w:vAlign w:val="bottom"/>
            <w:gridSpan w:val="3"/>
          </w:tcPr>
          <w:p>
            <w:pPr>
              <w:jc w:val="center"/>
              <w:ind w:left="990"/>
              <w:spacing w:after="0"/>
              <w:rPr>
                <w:sz w:val="20"/>
                <w:szCs w:val="20"/>
                <w:color w:val="auto"/>
              </w:rPr>
            </w:pPr>
            <w:r>
              <w:rPr>
                <w:rFonts w:ascii="Arial" w:cs="Arial" w:eastAsia="Arial" w:hAnsi="Arial"/>
                <w:sz w:val="18"/>
                <w:szCs w:val="18"/>
                <w:color w:val="auto"/>
                <w:w w:val="99"/>
              </w:rPr>
              <w:t>(State or Other Jurisdiction of Incorporation)</w:t>
            </w:r>
          </w:p>
        </w:tc>
        <w:tc>
          <w:tcPr>
            <w:tcW w:w="3440" w:type="dxa"/>
            <w:vAlign w:val="bottom"/>
          </w:tcPr>
          <w:p>
            <w:pPr>
              <w:spacing w:after="0"/>
              <w:rPr>
                <w:sz w:val="23"/>
                <w:szCs w:val="23"/>
                <w:color w:val="auto"/>
              </w:rPr>
            </w:pPr>
          </w:p>
        </w:tc>
      </w:tr>
      <w:tr>
        <w:trPr>
          <w:trHeight w:val="558"/>
        </w:trPr>
        <w:tc>
          <w:tcPr>
            <w:tcW w:w="23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9"/>
              </w:rPr>
              <w:t>321 North Harvey</w:t>
            </w:r>
          </w:p>
        </w:tc>
        <w:tc>
          <w:tcPr>
            <w:tcW w:w="18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P.O. Box 321</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Oklahoma City</w:t>
            </w:r>
          </w:p>
        </w:tc>
        <w:tc>
          <w:tcPr>
            <w:tcW w:w="1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Oklahoma</w:t>
            </w:r>
          </w:p>
        </w:tc>
        <w:tc>
          <w:tcPr>
            <w:tcW w:w="34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73101-0321</w:t>
            </w:r>
          </w:p>
        </w:tc>
      </w:tr>
      <w:tr>
        <w:trPr>
          <w:trHeight w:val="272"/>
        </w:trPr>
        <w:tc>
          <w:tcPr>
            <w:tcW w:w="238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(Address of Principal Executive Offices)</w:t>
            </w:r>
          </w:p>
        </w:tc>
        <w:tc>
          <w:tcPr>
            <w:tcW w:w="1400" w:type="dxa"/>
            <w:vAlign w:val="bottom"/>
          </w:tcPr>
          <w:p>
            <w:pPr>
              <w:spacing w:after="0"/>
              <w:rPr>
                <w:sz w:val="23"/>
                <w:szCs w:val="23"/>
                <w:color w:val="auto"/>
              </w:rPr>
            </w:pPr>
          </w:p>
        </w:tc>
        <w:tc>
          <w:tcPr>
            <w:tcW w:w="3440" w:type="dxa"/>
            <w:vAlign w:val="bottom"/>
          </w:tcPr>
          <w:p>
            <w:pPr>
              <w:jc w:val="center"/>
              <w:ind w:left="30"/>
              <w:spacing w:after="0"/>
              <w:rPr>
                <w:sz w:val="20"/>
                <w:szCs w:val="20"/>
                <w:color w:val="auto"/>
              </w:rPr>
            </w:pPr>
            <w:r>
              <w:rPr>
                <w:rFonts w:ascii="Arial" w:cs="Arial" w:eastAsia="Arial" w:hAnsi="Arial"/>
                <w:sz w:val="18"/>
                <w:szCs w:val="18"/>
                <w:color w:val="auto"/>
                <w:w w:val="98"/>
              </w:rPr>
              <w:t>(Zip Code)</w:t>
            </w:r>
          </w:p>
        </w:tc>
      </w:tr>
    </w:tbl>
    <w:p>
      <w:pPr>
        <w:spacing w:after="0" w:line="193"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(405) 553-3000</w:t>
      </w:r>
    </w:p>
    <w:p>
      <w:pPr>
        <w:spacing w:after="0" w:line="14"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(Registrant's telephone number, including area code)</w:t>
      </w:r>
    </w:p>
    <w:p>
      <w:pPr>
        <w:spacing w:after="0" w:line="45"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300" w:firstLine="374"/>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33" w:lineRule="exact"/>
        <w:rPr>
          <w:sz w:val="24"/>
          <w:szCs w:val="24"/>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38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306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9"/>
              </w:rPr>
              <w:t>Registrant</w:t>
            </w:r>
          </w:p>
        </w:tc>
        <w:tc>
          <w:tcPr>
            <w:tcW w:w="220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9"/>
              </w:rPr>
              <w:t>Title of each class</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72"/>
        </w:trPr>
        <w:tc>
          <w:tcPr>
            <w:tcW w:w="3060" w:type="dxa"/>
            <w:vAlign w:val="bottom"/>
          </w:tcPr>
          <w:p>
            <w:pPr>
              <w:jc w:val="center"/>
              <w:ind w:left="350"/>
              <w:spacing w:after="0"/>
              <w:rPr>
                <w:sz w:val="20"/>
                <w:szCs w:val="20"/>
                <w:color w:val="auto"/>
              </w:rPr>
            </w:pPr>
            <w:r>
              <w:rPr>
                <w:rFonts w:ascii="Arial" w:cs="Arial" w:eastAsia="Arial" w:hAnsi="Arial"/>
                <w:sz w:val="18"/>
                <w:szCs w:val="18"/>
                <w:color w:val="auto"/>
                <w:w w:val="99"/>
              </w:rPr>
              <w:t>OGE Energy Corp.</w:t>
            </w:r>
          </w:p>
        </w:tc>
        <w:tc>
          <w:tcPr>
            <w:tcW w:w="2200" w:type="dxa"/>
            <w:vAlign w:val="bottom"/>
          </w:tcPr>
          <w:p>
            <w:pPr>
              <w:jc w:val="center"/>
              <w:ind w:left="290"/>
              <w:spacing w:after="0"/>
              <w:rPr>
                <w:sz w:val="20"/>
                <w:szCs w:val="20"/>
                <w:color w:val="auto"/>
              </w:rPr>
            </w:pPr>
            <w:r>
              <w:rPr>
                <w:rFonts w:ascii="Arial" w:cs="Arial" w:eastAsia="Arial" w:hAnsi="Arial"/>
                <w:sz w:val="18"/>
                <w:szCs w:val="18"/>
                <w:color w:val="auto"/>
                <w:w w:val="99"/>
              </w:rPr>
              <w:t>Common Stock</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OGE</w:t>
            </w:r>
          </w:p>
        </w:tc>
        <w:tc>
          <w:tcPr>
            <w:tcW w:w="4060" w:type="dxa"/>
            <w:vAlign w:val="bottom"/>
          </w:tcPr>
          <w:p>
            <w:pPr>
              <w:jc w:val="center"/>
              <w:spacing w:after="0"/>
              <w:rPr>
                <w:sz w:val="20"/>
                <w:szCs w:val="20"/>
                <w:color w:val="auto"/>
              </w:rPr>
            </w:pPr>
            <w:r>
              <w:rPr>
                <w:rFonts w:ascii="Arial" w:cs="Arial" w:eastAsia="Arial" w:hAnsi="Arial"/>
                <w:sz w:val="18"/>
                <w:szCs w:val="18"/>
                <w:color w:val="auto"/>
              </w:rPr>
              <w:t>New York Stock Exchange</w:t>
            </w:r>
          </w:p>
        </w:tc>
      </w:tr>
    </w:tbl>
    <w:p>
      <w:pPr>
        <w:spacing w:after="0" w:line="193" w:lineRule="exact"/>
        <w:rPr>
          <w:sz w:val="24"/>
          <w:szCs w:val="24"/>
          <w:color w:val="auto"/>
        </w:rPr>
      </w:pPr>
    </w:p>
    <w:p>
      <w:pPr>
        <w:jc w:val="both"/>
        <w:ind w:firstLine="374"/>
        <w:spacing w:after="0" w:line="24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 w:lineRule="exact"/>
        <w:rPr>
          <w:sz w:val="24"/>
          <w:szCs w:val="24"/>
          <w:color w:val="auto"/>
        </w:rPr>
      </w:pPr>
    </w:p>
    <w:p>
      <w:pPr>
        <w:ind w:left="88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84" w:lineRule="exact"/>
        <w:rPr>
          <w:sz w:val="24"/>
          <w:szCs w:val="24"/>
          <w:color w:val="auto"/>
        </w:rPr>
      </w:pPr>
    </w:p>
    <w:p>
      <w:pPr>
        <w:ind w:right="680" w:firstLine="374"/>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 the Annual Meeting of Shareholders of OGE Energy Corp. ("OGE Energy") held on May 15, 2025, the shareholders:</w:t>
      </w:r>
    </w:p>
    <w:p>
      <w:pPr>
        <w:spacing w:after="0" w:line="198"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Elected 10 members of the Board of Directors;</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Ratified the appointment of Ernst &amp; Young LLP as OGE Energy's principal independent accountants for 2025;</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Approved, on an advisory basis, the compensation paid to named executive officers; and</w:t>
      </w:r>
    </w:p>
    <w:p>
      <w:pPr>
        <w:spacing w:after="0" w:line="8" w:lineRule="exact"/>
        <w:rPr>
          <w:rFonts w:ascii="Times New Roman" w:cs="Times New Roman" w:eastAsia="Times New Roman" w:hAnsi="Times New Roman"/>
          <w:sz w:val="18"/>
          <w:szCs w:val="18"/>
          <w:color w:val="auto"/>
        </w:rPr>
      </w:pPr>
    </w:p>
    <w:p>
      <w:pPr>
        <w:ind w:left="760" w:hanging="378"/>
        <w:spacing w:after="0" w:line="249"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Did not approve an amendment of the restated certificate of incorporation to eliminate the supermajority voting provisions, as it received less than 80 percent of the outstanding shares of OGE Energy's common stock required for passage.</w:t>
      </w:r>
    </w:p>
    <w:p>
      <w:pPr>
        <w:spacing w:after="0" w:line="159" w:lineRule="exact"/>
        <w:rPr>
          <w:sz w:val="20"/>
          <w:szCs w:val="20"/>
          <w:color w:val="auto"/>
        </w:rPr>
      </w:pPr>
    </w:p>
    <w:p>
      <w:pPr>
        <w:ind w:right="20" w:firstLine="374"/>
        <w:spacing w:after="0" w:line="271" w:lineRule="auto"/>
        <w:rPr>
          <w:sz w:val="20"/>
          <w:szCs w:val="20"/>
          <w:color w:val="auto"/>
        </w:rPr>
      </w:pPr>
      <w:r>
        <w:rPr>
          <w:rFonts w:ascii="Arial" w:cs="Arial" w:eastAsia="Arial" w:hAnsi="Arial"/>
          <w:sz w:val="18"/>
          <w:szCs w:val="18"/>
          <w:color w:val="auto"/>
        </w:rPr>
        <w:t>The number of votes cast for, against or withheld, as well as the number of abstentions and broker non-votes as to each of such matters, were as stated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 No. 1:</w:t>
            </w:r>
          </w:p>
        </w:tc>
        <w:tc>
          <w:tcPr>
            <w:tcW w:w="27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Votes For</w:t>
            </w:r>
          </w:p>
        </w:tc>
        <w:tc>
          <w:tcPr>
            <w:tcW w:w="1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Votes Against</w:t>
            </w:r>
          </w:p>
        </w:tc>
        <w:tc>
          <w:tcPr>
            <w:tcW w:w="1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Abstentions</w:t>
            </w: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Broker Non-Votes</w:t>
            </w:r>
          </w:p>
        </w:tc>
      </w:tr>
      <w:tr>
        <w:trPr>
          <w:trHeight w:val="240"/>
        </w:trPr>
        <w:tc>
          <w:tcPr>
            <w:tcW w:w="3360" w:type="dxa"/>
            <w:vAlign w:val="bottom"/>
          </w:tcPr>
          <w:p>
            <w:pPr>
              <w:spacing w:after="0"/>
              <w:rPr>
                <w:sz w:val="20"/>
                <w:szCs w:val="20"/>
                <w:color w:val="auto"/>
              </w:rPr>
            </w:pPr>
            <w:r>
              <w:rPr>
                <w:rFonts w:ascii="Arial" w:cs="Arial" w:eastAsia="Arial" w:hAnsi="Arial"/>
                <w:sz w:val="18"/>
                <w:szCs w:val="18"/>
                <w:b w:val="1"/>
                <w:bCs w:val="1"/>
                <w:color w:val="auto"/>
              </w:rPr>
              <w:t>Election of Directors</w:t>
            </w:r>
          </w:p>
        </w:tc>
        <w:tc>
          <w:tcPr>
            <w:tcW w:w="27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342"/>
        </w:trPr>
        <w:tc>
          <w:tcPr>
            <w:tcW w:w="3360" w:type="dxa"/>
            <w:vAlign w:val="bottom"/>
          </w:tcPr>
          <w:p>
            <w:pPr>
              <w:spacing w:after="0"/>
              <w:rPr>
                <w:sz w:val="20"/>
                <w:szCs w:val="20"/>
                <w:color w:val="auto"/>
              </w:rPr>
            </w:pPr>
            <w:r>
              <w:rPr>
                <w:rFonts w:ascii="Arial" w:cs="Arial" w:eastAsia="Arial" w:hAnsi="Arial"/>
                <w:sz w:val="18"/>
                <w:szCs w:val="18"/>
                <w:b w:val="1"/>
                <w:bCs w:val="1"/>
                <w:color w:val="auto"/>
              </w:rPr>
              <w:t>Terms Expiring in 2026</w:t>
            </w:r>
          </w:p>
        </w:tc>
        <w:tc>
          <w:tcPr>
            <w:tcW w:w="27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Frank A. Bozich</w:t>
            </w:r>
          </w:p>
        </w:tc>
        <w:tc>
          <w:tcPr>
            <w:tcW w:w="2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142,540,493</w:t>
            </w:r>
          </w:p>
        </w:tc>
        <w:tc>
          <w:tcPr>
            <w:tcW w:w="17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3,285,091</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571,596</w:t>
            </w: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27,351,539</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Peter D. Clarke</w:t>
            </w:r>
          </w:p>
        </w:tc>
        <w:tc>
          <w:tcPr>
            <w:tcW w:w="2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140,436,728</w:t>
            </w:r>
          </w:p>
        </w:tc>
        <w:tc>
          <w:tcPr>
            <w:tcW w:w="17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5,400,721</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559,731</w:t>
            </w: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27,351,539</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Cathy R. Gates</w:t>
            </w:r>
          </w:p>
        </w:tc>
        <w:tc>
          <w:tcPr>
            <w:tcW w:w="2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143,579,692</w:t>
            </w:r>
          </w:p>
        </w:tc>
        <w:tc>
          <w:tcPr>
            <w:tcW w:w="17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2,266,685</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550,803</w:t>
            </w: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27,351,539</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David L. Hauser</w:t>
            </w:r>
          </w:p>
        </w:tc>
        <w:tc>
          <w:tcPr>
            <w:tcW w:w="2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140,512,604</w:t>
            </w:r>
          </w:p>
        </w:tc>
        <w:tc>
          <w:tcPr>
            <w:tcW w:w="17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5,296,955</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587,621</w:t>
            </w: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27,351,539</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Luther C. Kissam, IV</w:t>
            </w:r>
          </w:p>
        </w:tc>
        <w:tc>
          <w:tcPr>
            <w:tcW w:w="2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142,430,479</w:t>
            </w:r>
          </w:p>
        </w:tc>
        <w:tc>
          <w:tcPr>
            <w:tcW w:w="17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3,386,328</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580,373</w:t>
            </w: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27,351,539</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Judy R. McReynolds</w:t>
            </w:r>
          </w:p>
        </w:tc>
        <w:tc>
          <w:tcPr>
            <w:tcW w:w="2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140,785,465</w:t>
            </w:r>
          </w:p>
        </w:tc>
        <w:tc>
          <w:tcPr>
            <w:tcW w:w="17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5,077,770</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533,945</w:t>
            </w: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27,351,539</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David E. Rainbolt</w:t>
            </w:r>
          </w:p>
        </w:tc>
        <w:tc>
          <w:tcPr>
            <w:tcW w:w="2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142,950,449</w:t>
            </w:r>
          </w:p>
        </w:tc>
        <w:tc>
          <w:tcPr>
            <w:tcW w:w="17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2,883,896</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562,835</w:t>
            </w: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27,351,539</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J. Michael Sanner</w:t>
            </w:r>
          </w:p>
        </w:tc>
        <w:tc>
          <w:tcPr>
            <w:tcW w:w="2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143,005,894</w:t>
            </w:r>
          </w:p>
        </w:tc>
        <w:tc>
          <w:tcPr>
            <w:tcW w:w="17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2,801,637</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589,649</w:t>
            </w: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27,351,539</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Sheila G. Talton</w:t>
            </w:r>
          </w:p>
        </w:tc>
        <w:tc>
          <w:tcPr>
            <w:tcW w:w="278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140,689,710</w:t>
            </w:r>
          </w:p>
        </w:tc>
        <w:tc>
          <w:tcPr>
            <w:tcW w:w="174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5,100,732</w:t>
            </w:r>
          </w:p>
        </w:tc>
        <w:tc>
          <w:tcPr>
            <w:tcW w:w="1600" w:type="dxa"/>
            <w:vAlign w:val="bottom"/>
          </w:tcPr>
          <w:p>
            <w:pPr>
              <w:jc w:val="right"/>
              <w:spacing w:after="0" w:line="202" w:lineRule="exact"/>
              <w:rPr>
                <w:sz w:val="20"/>
                <w:szCs w:val="20"/>
                <w:color w:val="auto"/>
              </w:rPr>
            </w:pPr>
            <w:r>
              <w:rPr>
                <w:rFonts w:ascii="Arial" w:cs="Arial" w:eastAsia="Arial" w:hAnsi="Arial"/>
                <w:sz w:val="18"/>
                <w:szCs w:val="18"/>
                <w:color w:val="auto"/>
              </w:rPr>
              <w:t>606,738</w:t>
            </w:r>
          </w:p>
        </w:tc>
        <w:tc>
          <w:tcPr>
            <w:tcW w:w="1760" w:type="dxa"/>
            <w:vAlign w:val="bottom"/>
          </w:tcPr>
          <w:p>
            <w:pPr>
              <w:jc w:val="right"/>
              <w:ind w:right="10"/>
              <w:spacing w:after="0" w:line="202" w:lineRule="exact"/>
              <w:rPr>
                <w:sz w:val="20"/>
                <w:szCs w:val="20"/>
                <w:color w:val="auto"/>
              </w:rPr>
            </w:pPr>
            <w:r>
              <w:rPr>
                <w:rFonts w:ascii="Arial" w:cs="Arial" w:eastAsia="Arial" w:hAnsi="Arial"/>
                <w:sz w:val="18"/>
                <w:szCs w:val="18"/>
                <w:color w:val="auto"/>
              </w:rPr>
              <w:t>27,351,539</w:t>
            </w:r>
          </w:p>
        </w:tc>
      </w:tr>
      <w:tr>
        <w:trPr>
          <w:trHeight w:val="221"/>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Sean Trauschke</w:t>
            </w:r>
          </w:p>
        </w:tc>
        <w:tc>
          <w:tcPr>
            <w:tcW w:w="2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141,121,146</w:t>
            </w:r>
          </w:p>
        </w:tc>
        <w:tc>
          <w:tcPr>
            <w:tcW w:w="1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4,665,245</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610,789</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27,351,539</w:t>
            </w: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 No. 2:</w:t>
            </w:r>
          </w:p>
        </w:tc>
        <w:tc>
          <w:tcPr>
            <w:tcW w:w="19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Votes For</w:t>
            </w:r>
          </w:p>
        </w:tc>
        <w:tc>
          <w:tcPr>
            <w:tcW w:w="1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Votes Against</w:t>
            </w:r>
          </w:p>
        </w:tc>
        <w:tc>
          <w:tcPr>
            <w:tcW w:w="3360" w:type="dxa"/>
            <w:vAlign w:val="bottom"/>
            <w:tcBorders>
              <w:bottom w:val="single" w:sz="8" w:color="auto"/>
            </w:tcBorders>
          </w:tcPr>
          <w:p>
            <w:pPr>
              <w:jc w:val="right"/>
              <w:ind w:right="2030"/>
              <w:spacing w:after="0"/>
              <w:rPr>
                <w:sz w:val="20"/>
                <w:szCs w:val="20"/>
                <w:color w:val="auto"/>
              </w:rPr>
            </w:pPr>
            <w:r>
              <w:rPr>
                <w:rFonts w:ascii="Arial" w:cs="Arial" w:eastAsia="Arial" w:hAnsi="Arial"/>
                <w:sz w:val="18"/>
                <w:szCs w:val="18"/>
                <w:b w:val="1"/>
                <w:bCs w:val="1"/>
                <w:color w:val="auto"/>
              </w:rPr>
              <w:t>Abstentions</w:t>
            </w:r>
          </w:p>
        </w:tc>
      </w:tr>
      <w:tr>
        <w:trPr>
          <w:trHeight w:val="177"/>
        </w:trPr>
        <w:tc>
          <w:tcPr>
            <w:tcW w:w="4160" w:type="dxa"/>
            <w:vAlign w:val="bottom"/>
          </w:tcPr>
          <w:p>
            <w:pPr>
              <w:spacing w:after="0" w:line="177" w:lineRule="exact"/>
              <w:rPr>
                <w:sz w:val="20"/>
                <w:szCs w:val="20"/>
                <w:color w:val="auto"/>
              </w:rPr>
            </w:pPr>
            <w:r>
              <w:rPr>
                <w:rFonts w:ascii="Arial" w:cs="Arial" w:eastAsia="Arial" w:hAnsi="Arial"/>
                <w:sz w:val="18"/>
                <w:szCs w:val="18"/>
                <w:b w:val="1"/>
                <w:bCs w:val="1"/>
                <w:color w:val="auto"/>
              </w:rPr>
              <w:t>Ratification of the appointment of Ernst &amp;</w:t>
            </w:r>
          </w:p>
        </w:tc>
        <w:tc>
          <w:tcPr>
            <w:tcW w:w="19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360" w:type="dxa"/>
            <w:vAlign w:val="bottom"/>
          </w:tcPr>
          <w:p>
            <w:pPr>
              <w:spacing w:after="0"/>
              <w:rPr>
                <w:sz w:val="15"/>
                <w:szCs w:val="15"/>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b w:val="1"/>
                <w:bCs w:val="1"/>
                <w:color w:val="auto"/>
              </w:rPr>
              <w:t>Young LLP as OGE Energy's principal</w:t>
            </w:r>
          </w:p>
        </w:tc>
        <w:tc>
          <w:tcPr>
            <w:tcW w:w="19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21"/>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independent accountants for 2025</w:t>
            </w:r>
          </w:p>
        </w:tc>
        <w:tc>
          <w:tcPr>
            <w:tcW w:w="1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169,427,884</w:t>
            </w:r>
          </w:p>
        </w:tc>
        <w:tc>
          <w:tcPr>
            <w:tcW w:w="1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3,410,728</w:t>
            </w:r>
          </w:p>
        </w:tc>
        <w:tc>
          <w:tcPr>
            <w:tcW w:w="3360" w:type="dxa"/>
            <w:vAlign w:val="bottom"/>
            <w:tcBorders>
              <w:bottom w:val="single" w:sz="8" w:color="auto"/>
            </w:tcBorders>
          </w:tcPr>
          <w:p>
            <w:pPr>
              <w:jc w:val="right"/>
              <w:ind w:right="1750"/>
              <w:spacing w:after="0"/>
              <w:rPr>
                <w:sz w:val="20"/>
                <w:szCs w:val="20"/>
                <w:color w:val="auto"/>
              </w:rPr>
            </w:pPr>
            <w:r>
              <w:rPr>
                <w:rFonts w:ascii="Arial" w:cs="Arial" w:eastAsia="Arial" w:hAnsi="Arial"/>
                <w:sz w:val="18"/>
                <w:szCs w:val="18"/>
                <w:color w:val="auto"/>
              </w:rPr>
              <w:t>910,107</w:t>
            </w: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 No. 3:</w:t>
            </w:r>
          </w:p>
        </w:tc>
        <w:tc>
          <w:tcPr>
            <w:tcW w:w="18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Votes For</w:t>
            </w:r>
          </w:p>
        </w:tc>
        <w:tc>
          <w:tcPr>
            <w:tcW w:w="1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Votes Against</w:t>
            </w:r>
          </w:p>
        </w:tc>
        <w:tc>
          <w:tcPr>
            <w:tcW w:w="1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Abstentions</w:t>
            </w: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Broker Non-Votes</w:t>
            </w:r>
          </w:p>
        </w:tc>
      </w:tr>
      <w:tr>
        <w:trPr>
          <w:trHeight w:val="177"/>
        </w:trPr>
        <w:tc>
          <w:tcPr>
            <w:tcW w:w="4260" w:type="dxa"/>
            <w:vAlign w:val="bottom"/>
          </w:tcPr>
          <w:p>
            <w:pPr>
              <w:spacing w:after="0" w:line="177" w:lineRule="exact"/>
              <w:rPr>
                <w:sz w:val="20"/>
                <w:szCs w:val="20"/>
                <w:color w:val="auto"/>
              </w:rPr>
            </w:pPr>
            <w:r>
              <w:rPr>
                <w:rFonts w:ascii="Arial" w:cs="Arial" w:eastAsia="Arial" w:hAnsi="Arial"/>
                <w:sz w:val="18"/>
                <w:szCs w:val="18"/>
                <w:b w:val="1"/>
                <w:bCs w:val="1"/>
                <w:color w:val="auto"/>
              </w:rPr>
              <w:t>Advisory vote to approve named executive</w:t>
            </w:r>
          </w:p>
        </w:tc>
        <w:tc>
          <w:tcPr>
            <w:tcW w:w="18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21"/>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officer compensation</w:t>
            </w:r>
          </w:p>
        </w:tc>
        <w:tc>
          <w:tcPr>
            <w:tcW w:w="1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136,402,582</w:t>
            </w:r>
          </w:p>
        </w:tc>
        <w:tc>
          <w:tcPr>
            <w:tcW w:w="1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8,638,829</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1,355,769</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27,351,539</w:t>
            </w:r>
          </w:p>
        </w:tc>
      </w:tr>
      <w:tr>
        <w:trPr>
          <w:trHeight w:val="399"/>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 No. 4:</w:t>
            </w:r>
          </w:p>
        </w:tc>
        <w:tc>
          <w:tcPr>
            <w:tcW w:w="18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Votes For</w:t>
            </w:r>
          </w:p>
        </w:tc>
        <w:tc>
          <w:tcPr>
            <w:tcW w:w="17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Votes Against</w:t>
            </w:r>
          </w:p>
        </w:tc>
        <w:tc>
          <w:tcPr>
            <w:tcW w:w="1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Abstentions</w:t>
            </w:r>
          </w:p>
        </w:tc>
        <w:tc>
          <w:tcPr>
            <w:tcW w:w="1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Broker Non-Votes</w:t>
            </w:r>
          </w:p>
        </w:tc>
      </w:tr>
      <w:tr>
        <w:trPr>
          <w:trHeight w:val="177"/>
        </w:trPr>
        <w:tc>
          <w:tcPr>
            <w:tcW w:w="4260" w:type="dxa"/>
            <w:vAlign w:val="bottom"/>
          </w:tcPr>
          <w:p>
            <w:pPr>
              <w:spacing w:after="0" w:line="177" w:lineRule="exact"/>
              <w:rPr>
                <w:sz w:val="20"/>
                <w:szCs w:val="20"/>
                <w:color w:val="auto"/>
              </w:rPr>
            </w:pPr>
            <w:r>
              <w:rPr>
                <w:rFonts w:ascii="Arial" w:cs="Arial" w:eastAsia="Arial" w:hAnsi="Arial"/>
                <w:sz w:val="18"/>
                <w:szCs w:val="18"/>
                <w:b w:val="1"/>
                <w:bCs w:val="1"/>
                <w:color w:val="auto"/>
              </w:rPr>
              <w:t>Amendment of the restated certificate of</w:t>
            </w:r>
          </w:p>
        </w:tc>
        <w:tc>
          <w:tcPr>
            <w:tcW w:w="18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03"/>
        </w:trPr>
        <w:tc>
          <w:tcPr>
            <w:tcW w:w="4260" w:type="dxa"/>
            <w:vAlign w:val="bottom"/>
          </w:tcPr>
          <w:p>
            <w:pPr>
              <w:spacing w:after="0" w:line="202" w:lineRule="exact"/>
              <w:rPr>
                <w:sz w:val="20"/>
                <w:szCs w:val="20"/>
                <w:color w:val="auto"/>
              </w:rPr>
            </w:pPr>
            <w:r>
              <w:rPr>
                <w:rFonts w:ascii="Arial" w:cs="Arial" w:eastAsia="Arial" w:hAnsi="Arial"/>
                <w:sz w:val="18"/>
                <w:szCs w:val="18"/>
                <w:b w:val="1"/>
                <w:bCs w:val="1"/>
                <w:color w:val="auto"/>
              </w:rPr>
              <w:t>incorporation to eliminate the supermajority</w:t>
            </w:r>
          </w:p>
        </w:tc>
        <w:tc>
          <w:tcPr>
            <w:tcW w:w="18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760" w:type="dxa"/>
            <w:vAlign w:val="bottom"/>
          </w:tcPr>
          <w:p>
            <w:pPr>
              <w:spacing w:after="0"/>
              <w:rPr>
                <w:sz w:val="17"/>
                <w:szCs w:val="17"/>
                <w:color w:val="auto"/>
              </w:rPr>
            </w:pPr>
          </w:p>
        </w:tc>
      </w:tr>
      <w:tr>
        <w:trPr>
          <w:trHeight w:val="221"/>
        </w:trPr>
        <w:tc>
          <w:tcPr>
            <w:tcW w:w="4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voting provisions</w:t>
            </w:r>
          </w:p>
        </w:tc>
        <w:tc>
          <w:tcPr>
            <w:tcW w:w="18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142,608,493</w:t>
            </w:r>
          </w:p>
        </w:tc>
        <w:tc>
          <w:tcPr>
            <w:tcW w:w="1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3,000,247</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788,440</w:t>
            </w: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27,351,539</w:t>
            </w:r>
          </w:p>
        </w:tc>
      </w:tr>
      <w:tr>
        <w:trPr>
          <w:trHeight w:val="424"/>
        </w:trPr>
        <w:tc>
          <w:tcPr>
            <w:tcW w:w="4260" w:type="dxa"/>
            <w:vAlign w:val="bottom"/>
          </w:tcPr>
          <w:p>
            <w:pPr>
              <w:spacing w:after="0"/>
              <w:rPr>
                <w:sz w:val="20"/>
                <w:szCs w:val="20"/>
                <w:color w:val="auto"/>
              </w:rPr>
            </w:pPr>
            <w:r>
              <w:rPr>
                <w:rFonts w:ascii="Arial" w:cs="Arial" w:eastAsia="Arial" w:hAnsi="Arial"/>
                <w:sz w:val="18"/>
                <w:szCs w:val="18"/>
                <w:b w:val="1"/>
                <w:bCs w:val="1"/>
                <w:color w:val="auto"/>
              </w:rPr>
              <w:t>Item 8.01. Other Events</w:t>
            </w:r>
          </w:p>
        </w:tc>
        <w:tc>
          <w:tcPr>
            <w:tcW w:w="18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760" w:type="dxa"/>
            <w:vAlign w:val="bottom"/>
          </w:tcPr>
          <w:p>
            <w:pPr>
              <w:spacing w:after="0"/>
              <w:rPr>
                <w:sz w:val="24"/>
                <w:szCs w:val="24"/>
                <w:color w:val="auto"/>
              </w:rPr>
            </w:pPr>
          </w:p>
        </w:tc>
      </w:tr>
    </w:tbl>
    <w:p>
      <w:pPr>
        <w:spacing w:after="0" w:line="158"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8"/>
          <w:szCs w:val="18"/>
          <w:color w:val="auto"/>
        </w:rPr>
        <w:t>OGE Energy's Board of Directors declared a third quarter dividend of $0.42125 per common share of stock, to be paid July 25, 2025, to shareholders of record July 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98" w:lineRule="exact"/>
        <w:rPr>
          <w:sz w:val="20"/>
          <w:szCs w:val="20"/>
          <w:color w:val="auto"/>
        </w:rPr>
      </w:pPr>
    </w:p>
    <w:p>
      <w:pPr>
        <w:ind w:firstLine="374"/>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4900"/>
        <w:spacing w:after="0"/>
        <w:rPr>
          <w:sz w:val="20"/>
          <w:szCs w:val="20"/>
          <w:color w:val="auto"/>
        </w:rPr>
      </w:pPr>
      <w:r>
        <w:rPr>
          <w:rFonts w:ascii="Arial" w:cs="Arial" w:eastAsia="Arial" w:hAnsi="Arial"/>
          <w:sz w:val="18"/>
          <w:szCs w:val="18"/>
          <w:b w:val="1"/>
          <w:bCs w:val="1"/>
          <w:color w:val="auto"/>
        </w:rPr>
        <w:t>OGE ENERGY CORP.</w:t>
      </w:r>
    </w:p>
    <w:p>
      <w:pPr>
        <w:spacing w:after="0" w:line="90" w:lineRule="exact"/>
        <w:rPr>
          <w:sz w:val="20"/>
          <w:szCs w:val="20"/>
          <w:color w:val="auto"/>
        </w:rPr>
      </w:pPr>
    </w:p>
    <w:p>
      <w:pPr>
        <w:jc w:val="center"/>
        <w:ind w:left="490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4620"/>
        <w:spacing w:after="0"/>
        <w:tabs>
          <w:tab w:leader="none" w:pos="7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Sarah R. Stafford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26035</wp:posOffset>
            </wp:positionV>
            <wp:extent cx="40119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11930" cy="8890"/>
                    </a:xfrm>
                    <a:prstGeom prst="rect">
                      <a:avLst/>
                    </a:prstGeom>
                    <a:noFill/>
                  </pic:spPr>
                </pic:pic>
              </a:graphicData>
            </a:graphic>
          </wp:anchor>
        </w:drawing>
      </w:r>
    </w:p>
    <w:p>
      <w:pPr>
        <w:spacing w:after="0" w:line="70" w:lineRule="exact"/>
        <w:rPr>
          <w:sz w:val="20"/>
          <w:szCs w:val="20"/>
          <w:color w:val="auto"/>
        </w:rPr>
      </w:pPr>
    </w:p>
    <w:p>
      <w:pPr>
        <w:jc w:val="center"/>
        <w:ind w:left="4900"/>
        <w:spacing w:after="0"/>
        <w:rPr>
          <w:sz w:val="20"/>
          <w:szCs w:val="20"/>
          <w:color w:val="auto"/>
        </w:rPr>
      </w:pPr>
      <w:r>
        <w:rPr>
          <w:rFonts w:ascii="Arial" w:cs="Arial" w:eastAsia="Arial" w:hAnsi="Arial"/>
          <w:sz w:val="18"/>
          <w:szCs w:val="18"/>
          <w:color w:val="auto"/>
        </w:rPr>
        <w:t>Sarah R. Stafford</w:t>
      </w:r>
    </w:p>
    <w:p>
      <w:pPr>
        <w:spacing w:after="0" w:line="90"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May 15,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2025-05-15T15:46:19Z</dcterms:created>
  <dcterms:modified xsi:type="dcterms:W3CDTF">2025-05-15T15:46:19Z</dcterms:modified>
</cp:coreProperties>
</file>