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27"/>
          <w:szCs w:val="27"/>
          <w:color w:val="auto"/>
        </w:rPr>
        <w:t>UNITED STATES</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27"/>
          <w:szCs w:val="27"/>
          <w:color w:val="auto"/>
        </w:rPr>
        <w:t>SECURITIES AND EXCHANGE COMMISSION</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Washington, D.C. 20549</w:t>
      </w:r>
    </w:p>
    <w:p>
      <w:pPr>
        <w:spacing w:after="0" w:line="368" w:lineRule="exact"/>
        <w:rPr>
          <w:sz w:val="24"/>
          <w:szCs w:val="24"/>
          <w:color w:val="auto"/>
        </w:rPr>
      </w:pPr>
    </w:p>
    <w:p>
      <w:pPr>
        <w:ind w:left="4700"/>
        <w:spacing w:after="0"/>
        <w:rPr>
          <w:sz w:val="20"/>
          <w:szCs w:val="20"/>
          <w:color w:val="auto"/>
        </w:rPr>
      </w:pPr>
      <w:r>
        <w:rPr>
          <w:rFonts w:ascii="Arial" w:cs="Arial" w:eastAsia="Arial" w:hAnsi="Arial"/>
          <w:sz w:val="34"/>
          <w:szCs w:val="34"/>
          <w:b w:val="1"/>
          <w:bCs w:val="1"/>
          <w:color w:val="auto"/>
        </w:rPr>
        <w:t>FORM 11-K</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20"/>
          <w:szCs w:val="20"/>
          <w:color w:val="auto"/>
        </w:rPr>
        <w:t>(Mark One)</w:t>
      </w:r>
    </w:p>
    <w:p>
      <w:pPr>
        <w:spacing w:after="0" w:line="12" w:lineRule="exact"/>
        <w:rPr>
          <w:sz w:val="24"/>
          <w:szCs w:val="24"/>
          <w:color w:val="auto"/>
        </w:rPr>
      </w:pPr>
    </w:p>
    <w:p>
      <w:pPr>
        <w:ind w:left="720" w:right="3979" w:hanging="717"/>
        <w:spacing w:after="0" w:line="254" w:lineRule="auto"/>
        <w:rPr>
          <w:sz w:val="20"/>
          <w:szCs w:val="20"/>
          <w:color w:val="auto"/>
        </w:rPr>
      </w:pPr>
      <w:r>
        <w:rPr>
          <w:rFonts w:ascii="Wingdings" w:cs="Wingdings" w:eastAsia="Wingdings" w:hAnsi="Wingdings"/>
          <w:sz w:val="23"/>
          <w:szCs w:val="23"/>
          <w:b w:val="1"/>
          <w:bCs w:val="1"/>
          <w:color w:val="auto"/>
        </w:rPr>
        <w:t xml:space="preserve">x </w:t>
      </w:r>
      <w:r>
        <w:rPr>
          <w:rFonts w:ascii="Arial" w:cs="Arial" w:eastAsia="Arial" w:hAnsi="Arial"/>
          <w:sz w:val="23"/>
          <w:szCs w:val="23"/>
          <w:color w:val="auto"/>
        </w:rPr>
        <w:t>ANNUAL REPORT PURSUANT TO SECTION 15(d) OF</w:t>
      </w:r>
      <w:r>
        <w:rPr>
          <w:rFonts w:ascii="Wingdings" w:cs="Wingdings" w:eastAsia="Wingdings" w:hAnsi="Wingdings"/>
          <w:sz w:val="23"/>
          <w:szCs w:val="23"/>
          <w:b w:val="1"/>
          <w:bCs w:val="1"/>
          <w:color w:val="auto"/>
        </w:rPr>
        <w:t xml:space="preserve"> </w:t>
      </w:r>
      <w:r>
        <w:rPr>
          <w:rFonts w:ascii="Arial" w:cs="Arial" w:eastAsia="Arial" w:hAnsi="Arial"/>
          <w:sz w:val="23"/>
          <w:szCs w:val="23"/>
          <w:color w:val="auto"/>
        </w:rPr>
        <w:t>THE SECURITIES EXCHANGE ACT OF 1934</w:t>
      </w:r>
    </w:p>
    <w:p>
      <w:pPr>
        <w:spacing w:after="0" w:line="2" w:lineRule="exact"/>
        <w:rPr>
          <w:sz w:val="24"/>
          <w:szCs w:val="24"/>
          <w:color w:val="auto"/>
        </w:rPr>
      </w:pPr>
    </w:p>
    <w:p>
      <w:pPr>
        <w:ind w:left="740"/>
        <w:spacing w:after="0"/>
        <w:rPr>
          <w:sz w:val="20"/>
          <w:szCs w:val="20"/>
          <w:color w:val="auto"/>
        </w:rPr>
      </w:pPr>
      <w:r>
        <w:rPr>
          <w:rFonts w:ascii="Arial" w:cs="Arial" w:eastAsia="Arial" w:hAnsi="Arial"/>
          <w:sz w:val="18"/>
          <w:szCs w:val="18"/>
          <w:color w:val="auto"/>
        </w:rPr>
        <w:t>For the fiscal year ended December 31, 2025</w:t>
      </w:r>
    </w:p>
    <w:p>
      <w:pPr>
        <w:spacing w:after="0" w:line="179" w:lineRule="exact"/>
        <w:rPr>
          <w:sz w:val="24"/>
          <w:szCs w:val="24"/>
          <w:color w:val="auto"/>
        </w:rPr>
      </w:pPr>
    </w:p>
    <w:p>
      <w:pPr>
        <w:ind w:left="5440"/>
        <w:spacing w:after="0"/>
        <w:rPr>
          <w:sz w:val="20"/>
          <w:szCs w:val="20"/>
          <w:color w:val="auto"/>
        </w:rPr>
      </w:pPr>
      <w:r>
        <w:rPr>
          <w:rFonts w:ascii="Arial" w:cs="Arial" w:eastAsia="Arial" w:hAnsi="Arial"/>
          <w:sz w:val="23"/>
          <w:szCs w:val="23"/>
          <w:b w:val="1"/>
          <w:bCs w:val="1"/>
          <w:color w:val="auto"/>
        </w:rPr>
        <w:t>OR</w:t>
      </w:r>
    </w:p>
    <w:p>
      <w:pPr>
        <w:spacing w:after="0" w:line="237" w:lineRule="exact"/>
        <w:rPr>
          <w:sz w:val="24"/>
          <w:szCs w:val="24"/>
          <w:color w:val="auto"/>
        </w:rPr>
      </w:pPr>
    </w:p>
    <w:p>
      <w:pPr>
        <w:ind w:left="720" w:right="3559" w:hanging="714"/>
        <w:spacing w:after="0" w:line="264" w:lineRule="auto"/>
        <w:rPr>
          <w:sz w:val="20"/>
          <w:szCs w:val="20"/>
          <w:color w:val="auto"/>
        </w:rPr>
      </w:pPr>
      <w:r>
        <w:rPr>
          <w:rFonts w:ascii="Wingdings" w:cs="Wingdings" w:eastAsia="Wingdings" w:hAnsi="Wingdings"/>
          <w:sz w:val="23"/>
          <w:szCs w:val="23"/>
          <w:b w:val="1"/>
          <w:bCs w:val="1"/>
          <w:color w:val="auto"/>
        </w:rPr>
        <w:t xml:space="preserve">o </w:t>
      </w:r>
      <w:r>
        <w:rPr>
          <w:rFonts w:ascii="Arial" w:cs="Arial" w:eastAsia="Arial" w:hAnsi="Arial"/>
          <w:sz w:val="23"/>
          <w:szCs w:val="23"/>
          <w:color w:val="auto"/>
        </w:rPr>
        <w:t>TRANSITION REPORT PURSUANT TO SECTION 15(d) OF</w:t>
      </w:r>
      <w:r>
        <w:rPr>
          <w:rFonts w:ascii="Wingdings" w:cs="Wingdings" w:eastAsia="Wingdings" w:hAnsi="Wingdings"/>
          <w:sz w:val="23"/>
          <w:szCs w:val="23"/>
          <w:b w:val="1"/>
          <w:bCs w:val="1"/>
          <w:color w:val="auto"/>
        </w:rPr>
        <w:t xml:space="preserve"> </w:t>
      </w:r>
      <w:r>
        <w:rPr>
          <w:rFonts w:ascii="Arial" w:cs="Arial" w:eastAsia="Arial" w:hAnsi="Arial"/>
          <w:sz w:val="23"/>
          <w:szCs w:val="23"/>
          <w:color w:val="auto"/>
        </w:rPr>
        <w:t>THE SECURITIES EXCHANGE ACT OF 1934</w:t>
      </w:r>
    </w:p>
    <w:p>
      <w:pPr>
        <w:spacing w:after="0" w:line="2" w:lineRule="exact"/>
        <w:rPr>
          <w:sz w:val="24"/>
          <w:szCs w:val="24"/>
          <w:color w:val="auto"/>
        </w:rPr>
      </w:pPr>
    </w:p>
    <w:p>
      <w:pPr>
        <w:ind w:left="740"/>
        <w:spacing w:after="0"/>
        <w:rPr>
          <w:sz w:val="20"/>
          <w:szCs w:val="20"/>
          <w:color w:val="auto"/>
        </w:rPr>
      </w:pPr>
      <w:r>
        <w:rPr>
          <w:rFonts w:ascii="Arial" w:cs="Arial" w:eastAsia="Arial" w:hAnsi="Arial"/>
          <w:sz w:val="18"/>
          <w:szCs w:val="18"/>
          <w:color w:val="auto"/>
        </w:rPr>
        <w:t>For the transition period from _________ to __________</w:t>
      </w:r>
    </w:p>
    <w:p>
      <w:pPr>
        <w:spacing w:after="0" w:line="383"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Commission File Number: 1-12579</w:t>
      </w:r>
    </w:p>
    <w:p>
      <w:pPr>
        <w:spacing w:after="0" w:line="385" w:lineRule="exact"/>
        <w:rPr>
          <w:sz w:val="24"/>
          <w:szCs w:val="24"/>
          <w:color w:val="auto"/>
        </w:rPr>
      </w:pPr>
    </w:p>
    <w:p>
      <w:pPr>
        <w:ind w:left="4160"/>
        <w:spacing w:after="0"/>
        <w:rPr>
          <w:sz w:val="20"/>
          <w:szCs w:val="20"/>
          <w:color w:val="auto"/>
        </w:rPr>
      </w:pPr>
      <w:r>
        <w:rPr>
          <w:rFonts w:ascii="Arial" w:cs="Arial" w:eastAsia="Arial" w:hAnsi="Arial"/>
          <w:sz w:val="29"/>
          <w:szCs w:val="29"/>
          <w:b w:val="1"/>
          <w:bCs w:val="1"/>
          <w:color w:val="auto"/>
        </w:rPr>
        <w:t>OGE ENERGY CORP.</w:t>
      </w:r>
    </w:p>
    <w:p>
      <w:pPr>
        <w:spacing w:after="0" w:line="34" w:lineRule="exact"/>
        <w:rPr>
          <w:sz w:val="24"/>
          <w:szCs w:val="24"/>
          <w:color w:val="auto"/>
        </w:rPr>
      </w:pPr>
    </w:p>
    <w:p>
      <w:pPr>
        <w:ind w:left="2840"/>
        <w:spacing w:after="0"/>
        <w:rPr>
          <w:sz w:val="20"/>
          <w:szCs w:val="20"/>
          <w:color w:val="auto"/>
        </w:rPr>
      </w:pPr>
      <w:r>
        <w:rPr>
          <w:rFonts w:ascii="Arial" w:cs="Arial" w:eastAsia="Arial" w:hAnsi="Arial"/>
          <w:sz w:val="29"/>
          <w:szCs w:val="29"/>
          <w:b w:val="1"/>
          <w:bCs w:val="1"/>
          <w:color w:val="auto"/>
        </w:rPr>
        <w:t>EMPLOYEES' STOCK OWNERSHIP AND</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9"/>
          <w:szCs w:val="29"/>
          <w:b w:val="1"/>
          <w:bCs w:val="1"/>
          <w:color w:val="auto"/>
        </w:rPr>
        <w:t>RETIREMENT SAVINGS PLAN</w:t>
      </w:r>
    </w:p>
    <w:p>
      <w:pPr>
        <w:spacing w:after="0" w:line="184" w:lineRule="exact"/>
        <w:rPr>
          <w:sz w:val="24"/>
          <w:szCs w:val="24"/>
          <w:color w:val="auto"/>
        </w:rPr>
      </w:pPr>
    </w:p>
    <w:p>
      <w:pPr>
        <w:ind w:left="4640"/>
        <w:spacing w:after="0"/>
        <w:rPr>
          <w:sz w:val="20"/>
          <w:szCs w:val="20"/>
          <w:color w:val="auto"/>
        </w:rPr>
      </w:pPr>
      <w:r>
        <w:rPr>
          <w:rFonts w:ascii="Arial" w:cs="Arial" w:eastAsia="Arial" w:hAnsi="Arial"/>
          <w:sz w:val="22"/>
          <w:szCs w:val="22"/>
          <w:i w:val="1"/>
          <w:iCs w:val="1"/>
          <w:color w:val="auto"/>
        </w:rPr>
        <w:t>(Full title of the Plan)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OGE ENERGY CORP.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321 North Harvey</w:t>
      </w:r>
    </w:p>
    <w:p>
      <w:pPr>
        <w:jc w:val="center"/>
        <w:ind w:right="-1100"/>
        <w:spacing w:after="0" w:line="234" w:lineRule="auto"/>
        <w:rPr>
          <w:sz w:val="20"/>
          <w:szCs w:val="20"/>
          <w:color w:val="auto"/>
        </w:rPr>
      </w:pPr>
      <w:r>
        <w:rPr>
          <w:rFonts w:ascii="Arial" w:cs="Arial" w:eastAsia="Arial" w:hAnsi="Arial"/>
          <w:sz w:val="18"/>
          <w:szCs w:val="18"/>
          <w:b w:val="1"/>
          <w:bCs w:val="1"/>
          <w:color w:val="auto"/>
        </w:rPr>
        <w:t>P.O. Box 321</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Oklahoma City, Oklahoma 73101-0321</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7"/>
          <w:szCs w:val="17"/>
          <w:i w:val="1"/>
          <w:iCs w:val="1"/>
          <w:color w:val="auto"/>
        </w:rPr>
        <w:t>(Name of issuer of the securities held pursuant to the Plan and the address</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1322070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STOCK OWNERSHIP AND RETIREMENT SAVINGS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11-K</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YEAR ENDED DECEMBER 31, 2025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34"/>
        </w:trPr>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43"/>
        </w:trPr>
        <w:tc>
          <w:tcPr>
            <w:tcW w:w="120" w:type="dxa"/>
            <w:vAlign w:val="bottom"/>
            <w:shd w:val="clear" w:color="auto" w:fill="CCEEFF"/>
          </w:tcPr>
          <w:p>
            <w:pPr>
              <w:spacing w:after="0"/>
              <w:rPr>
                <w:sz w:val="21"/>
                <w:szCs w:val="21"/>
                <w:color w:val="auto"/>
              </w:rPr>
            </w:pPr>
          </w:p>
        </w:tc>
        <w:tc>
          <w:tcPr>
            <w:tcW w:w="10460" w:type="dxa"/>
            <w:vAlign w:val="bottom"/>
            <w:gridSpan w:val="9"/>
            <w:shd w:val="clear" w:color="auto" w:fill="CCEEFF"/>
          </w:tcPr>
          <w:p>
            <w:pPr>
              <w:spacing w:after="0"/>
              <w:rPr>
                <w:sz w:val="20"/>
                <w:szCs w:val="20"/>
                <w:color w:val="auto"/>
              </w:rPr>
            </w:pPr>
            <w:r>
              <w:rPr>
                <w:rFonts w:ascii="Arial" w:cs="Arial" w:eastAsia="Arial" w:hAnsi="Arial"/>
                <w:sz w:val="18"/>
                <w:szCs w:val="18"/>
                <w:color w:val="0000FF"/>
              </w:rPr>
              <w:t>Report of Independent Registered Public Accounting Firm (Successor Auditor)</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21"/>
                <w:szCs w:val="21"/>
                <w:color w:val="auto"/>
              </w:rPr>
            </w:pP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right w:val="single" w:sz="8" w:color="CCEEFF"/>
            </w:tcBorders>
            <w:shd w:val="clear" w:color="auto" w:fill="CCEEFF"/>
          </w:tcPr>
          <w:p>
            <w:pPr>
              <w:spacing w:after="0"/>
              <w:rPr>
                <w:sz w:val="2"/>
                <w:szCs w:val="2"/>
                <w:color w:val="auto"/>
              </w:rPr>
            </w:pPr>
          </w:p>
        </w:tc>
        <w:tc>
          <w:tcPr>
            <w:tcW w:w="2320" w:type="dxa"/>
            <w:vAlign w:val="bottom"/>
            <w:tcBorders>
              <w:top w:val="single" w:sz="8" w:color="0000FF"/>
            </w:tcBorders>
            <w:shd w:val="clear" w:color="auto" w:fill="CCEEFF"/>
          </w:tcPr>
          <w:p>
            <w:pPr>
              <w:spacing w:after="0"/>
              <w:rPr>
                <w:sz w:val="2"/>
                <w:szCs w:val="2"/>
                <w:color w:val="auto"/>
              </w:rPr>
            </w:pPr>
          </w:p>
        </w:tc>
        <w:tc>
          <w:tcPr>
            <w:tcW w:w="13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right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243"/>
        </w:trPr>
        <w:tc>
          <w:tcPr>
            <w:tcW w:w="120" w:type="dxa"/>
            <w:vAlign w:val="bottom"/>
          </w:tcPr>
          <w:p>
            <w:pPr>
              <w:spacing w:after="0"/>
              <w:rPr>
                <w:sz w:val="21"/>
                <w:szCs w:val="21"/>
                <w:color w:val="auto"/>
              </w:rPr>
            </w:pPr>
          </w:p>
        </w:tc>
        <w:tc>
          <w:tcPr>
            <w:tcW w:w="64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Report of Independent Registered Public Accounting Firm (Predecessor Auditor)</w:t>
            </w:r>
          </w:p>
        </w:tc>
        <w:tc>
          <w:tcPr>
            <w:tcW w:w="406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21"/>
                <w:szCs w:val="21"/>
                <w:color w:val="auto"/>
              </w:rPr>
            </w:pPr>
          </w:p>
        </w:tc>
      </w:tr>
      <w:tr>
        <w:trPr>
          <w:trHeight w:val="34"/>
        </w:trPr>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43"/>
        </w:trPr>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92"/>
        </w:trPr>
        <w:tc>
          <w:tcPr>
            <w:tcW w:w="120" w:type="dxa"/>
            <w:vAlign w:val="bottom"/>
          </w:tcPr>
          <w:p>
            <w:pPr>
              <w:spacing w:after="0"/>
              <w:rPr>
                <w:sz w:val="24"/>
                <w:szCs w:val="24"/>
                <w:color w:val="auto"/>
              </w:rPr>
            </w:pPr>
          </w:p>
        </w:tc>
        <w:tc>
          <w:tcPr>
            <w:tcW w:w="10460" w:type="dxa"/>
            <w:vAlign w:val="bottom"/>
            <w:gridSpan w:val="9"/>
          </w:tcPr>
          <w:p>
            <w:pPr>
              <w:spacing w:after="0"/>
              <w:rPr>
                <w:sz w:val="20"/>
                <w:szCs w:val="20"/>
                <w:color w:val="auto"/>
              </w:rPr>
            </w:pPr>
            <w:r>
              <w:rPr>
                <w:rFonts w:ascii="Arial" w:cs="Arial" w:eastAsia="Arial" w:hAnsi="Arial"/>
                <w:sz w:val="18"/>
                <w:szCs w:val="18"/>
                <w:color w:val="auto"/>
              </w:rPr>
              <w:t>Audited Financial Statements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2"/>
        </w:trPr>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3780" w:type="dxa"/>
            <w:vAlign w:val="bottom"/>
            <w:tcBorders>
              <w:bottom w:val="single" w:sz="8" w:color="0000FF"/>
            </w:tcBorders>
            <w:gridSpan w:val="3"/>
            <w:shd w:val="clear" w:color="auto" w:fill="CCEEFF"/>
          </w:tcPr>
          <w:p>
            <w:pPr>
              <w:spacing w:after="0"/>
              <w:rPr>
                <w:sz w:val="20"/>
                <w:szCs w:val="20"/>
                <w:color w:val="auto"/>
              </w:rPr>
            </w:pPr>
            <w:r>
              <w:rPr>
                <w:rFonts w:ascii="Arial" w:cs="Arial" w:eastAsia="Arial" w:hAnsi="Arial"/>
                <w:sz w:val="18"/>
                <w:szCs w:val="18"/>
                <w:color w:val="0000FF"/>
                <w:w w:val="99"/>
              </w:rPr>
              <w:t>Statements of Net Assets Available for Benefits</w:t>
            </w:r>
          </w:p>
        </w:tc>
        <w:tc>
          <w:tcPr>
            <w:tcW w:w="6040" w:type="dxa"/>
            <w:vAlign w:val="bottom"/>
            <w:tcBorders>
              <w:bottom w:val="single" w:sz="8" w:color="CCEEFF"/>
            </w:tcBorders>
            <w:gridSpan w:val="5"/>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0460" w:type="dxa"/>
            <w:vAlign w:val="bottom"/>
            <w:gridSpan w:val="9"/>
          </w:tcPr>
          <w:p>
            <w:pPr>
              <w:ind w:left="640"/>
              <w:spacing w:after="0"/>
              <w:rPr>
                <w:sz w:val="20"/>
                <w:szCs w:val="20"/>
                <w:color w:val="auto"/>
              </w:rPr>
            </w:pPr>
            <w:r>
              <w:rPr>
                <w:rFonts w:ascii="Arial" w:cs="Arial" w:eastAsia="Arial" w:hAnsi="Arial"/>
                <w:sz w:val="18"/>
                <w:szCs w:val="18"/>
                <w:color w:val="0000FF"/>
              </w:rPr>
              <w:t>Statement of Changes in Net Assets Available for Benefits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21"/>
                <w:szCs w:val="21"/>
                <w:color w:val="auto"/>
              </w:rPr>
            </w:pPr>
          </w:p>
        </w:tc>
      </w:tr>
      <w:tr>
        <w:trPr>
          <w:trHeight w:val="34"/>
        </w:trPr>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3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7"/>
        </w:trPr>
        <w:tc>
          <w:tcPr>
            <w:tcW w:w="120" w:type="dxa"/>
            <w:vAlign w:val="bottom"/>
            <w:shd w:val="clear" w:color="auto" w:fill="CCEEFF"/>
          </w:tcPr>
          <w:p>
            <w:pPr>
              <w:spacing w:after="0"/>
              <w:rPr>
                <w:sz w:val="24"/>
                <w:szCs w:val="24"/>
                <w:color w:val="auto"/>
              </w:rPr>
            </w:pPr>
          </w:p>
        </w:tc>
        <w:tc>
          <w:tcPr>
            <w:tcW w:w="10460" w:type="dxa"/>
            <w:vAlign w:val="bottom"/>
            <w:gridSpan w:val="9"/>
            <w:shd w:val="clear" w:color="auto" w:fill="CCEEFF"/>
          </w:tcPr>
          <w:p>
            <w:pPr>
              <w:ind w:left="640"/>
              <w:spacing w:after="0"/>
              <w:rPr>
                <w:sz w:val="20"/>
                <w:szCs w:val="20"/>
                <w:color w:val="auto"/>
              </w:rPr>
            </w:pPr>
            <w:r>
              <w:rPr>
                <w:rFonts w:ascii="Arial" w:cs="Arial" w:eastAsia="Arial" w:hAnsi="Arial"/>
                <w:sz w:val="18"/>
                <w:szCs w:val="18"/>
                <w:color w:val="0000FF"/>
              </w:rPr>
              <w:t>Notes to Financial Statements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24"/>
                <w:szCs w:val="24"/>
                <w:color w:val="auto"/>
              </w:rPr>
            </w:pPr>
          </w:p>
        </w:tc>
      </w:tr>
      <w:tr>
        <w:trPr>
          <w:trHeight w:val="243"/>
        </w:trPr>
        <w:tc>
          <w:tcPr>
            <w:tcW w:w="1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320" w:type="dxa"/>
            <w:vAlign w:val="bottom"/>
            <w:tcBorders>
              <w:top w:val="single" w:sz="8" w:color="0000FF"/>
            </w:tcBorders>
          </w:tcPr>
          <w:p>
            <w:pPr>
              <w:spacing w:after="0"/>
              <w:rPr>
                <w:sz w:val="21"/>
                <w:szCs w:val="21"/>
                <w:color w:val="auto"/>
              </w:rPr>
            </w:pPr>
          </w:p>
        </w:tc>
        <w:tc>
          <w:tcPr>
            <w:tcW w:w="138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r>
      <w:tr>
        <w:trPr>
          <w:trHeight w:val="297"/>
        </w:trPr>
        <w:tc>
          <w:tcPr>
            <w:tcW w:w="120" w:type="dxa"/>
            <w:vAlign w:val="bottom"/>
            <w:shd w:val="clear" w:color="auto" w:fill="CCEEFF"/>
          </w:tcPr>
          <w:p>
            <w:pPr>
              <w:spacing w:after="0"/>
              <w:rPr>
                <w:sz w:val="24"/>
                <w:szCs w:val="24"/>
                <w:color w:val="auto"/>
              </w:rPr>
            </w:pPr>
          </w:p>
        </w:tc>
        <w:tc>
          <w:tcPr>
            <w:tcW w:w="104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Supplemental Schedule</w:t>
            </w:r>
          </w:p>
        </w:tc>
        <w:tc>
          <w:tcPr>
            <w:tcW w:w="4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740" w:type="dxa"/>
            <w:vAlign w:val="bottom"/>
            <w:gridSpan w:val="7"/>
          </w:tcPr>
          <w:p>
            <w:pPr>
              <w:spacing w:after="0"/>
              <w:rPr>
                <w:sz w:val="20"/>
                <w:szCs w:val="20"/>
                <w:color w:val="auto"/>
              </w:rPr>
            </w:pPr>
            <w:r>
              <w:rPr>
                <w:rFonts w:ascii="Arial" w:cs="Arial" w:eastAsia="Arial" w:hAnsi="Arial"/>
                <w:sz w:val="18"/>
                <w:szCs w:val="18"/>
                <w:color w:val="0000FF"/>
              </w:rPr>
              <w:t>Schedule H, Line 4i - Schedule of Assets (Held at End of Year)</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24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 (Successor Auditor)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the Plan Administrator of OGE Energy Corp. Employees’ Stock Ownership and Retirement Savings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statement of net assets available for benefits of OGE Energy Corp. Employees’ Stock Ownership and Retirement Savings Plan (the Plan) as of December 31, 2025, the related statement of changes in net assets available for benefits for the year then ended, and the related notes to the financial statements (collectively, the financial statements). In our opinion, the financial statements present fairly, in all material respects, the net assets available for benefits of the Plan as of December 31, 2025 and the changes in net assets available for benefits for the year then ended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Supplemental Information</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HoganTaylor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4" w:lineRule="auto"/>
        <w:rPr>
          <w:sz w:val="20"/>
          <w:szCs w:val="20"/>
          <w:color w:val="auto"/>
        </w:rPr>
      </w:pPr>
      <w:r>
        <w:rPr>
          <w:rFonts w:ascii="Arial" w:cs="Arial" w:eastAsia="Arial" w:hAnsi="Arial"/>
          <w:sz w:val="18"/>
          <w:szCs w:val="18"/>
          <w:color w:val="auto"/>
        </w:rPr>
        <w:t>June 17, 2026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the Plan Administrator of OGE Energy Corp. Employees' Stock Ownership and Retirement Savings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audited the accompanying statement of net assets available for benefits of OGE Energy Corp. Employees' Stock Ownership and Retirement Savings Plan (the “Plan”) as of December 31, 2024, and the related notes (collectively referred to as the "financial statements"). In our opinion, the financial statements present fairly, in all material respects, the net assets available for benefits of the Plan at December 31, 2024,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Plan’s auditor from 2002 to 2025.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June 23, 2025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STOCK OWNERSHIP AND RETIREMENT SAVINGS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 AND 2024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2024</w:t>
            </w: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 at fair value</w:t>
            </w:r>
          </w:p>
        </w:tc>
        <w:tc>
          <w:tcPr>
            <w:tcW w:w="268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917,364,518</w:t>
            </w:r>
          </w:p>
        </w:tc>
        <w:tc>
          <w:tcPr>
            <w:tcW w:w="46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820,765,348</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Non-interest bearing cash</w:t>
            </w:r>
          </w:p>
        </w:tc>
        <w:tc>
          <w:tcPr>
            <w:tcW w:w="26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104,197</w:t>
            </w: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Notes receivable from participants</w:t>
            </w:r>
          </w:p>
        </w:tc>
        <w:tc>
          <w:tcPr>
            <w:tcW w:w="26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13,072,943</w:t>
            </w:r>
          </w:p>
        </w:tc>
        <w:tc>
          <w:tcPr>
            <w:tcW w:w="4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12,364,863</w:t>
            </w:r>
          </w:p>
        </w:tc>
      </w:tr>
      <w:tr>
        <w:trPr>
          <w:trHeight w:val="203"/>
        </w:trPr>
        <w:tc>
          <w:tcPr>
            <w:tcW w:w="5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Participant contributions receivable</w:t>
            </w:r>
          </w:p>
        </w:tc>
        <w:tc>
          <w:tcPr>
            <w:tcW w:w="2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908,891</w:t>
            </w:r>
          </w:p>
        </w:tc>
      </w:tr>
      <w:tr>
        <w:trPr>
          <w:trHeight w:val="236"/>
        </w:trPr>
        <w:tc>
          <w:tcPr>
            <w:tcW w:w="5100" w:type="dxa"/>
            <w:vAlign w:val="bottom"/>
            <w:tcBorders>
              <w:bottom w:val="single" w:sz="8" w:color="auto"/>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assets available for benefits</w:t>
            </w:r>
          </w:p>
        </w:tc>
        <w:tc>
          <w:tcPr>
            <w:tcW w:w="268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930,437,461</w:t>
            </w:r>
          </w:p>
        </w:tc>
        <w:tc>
          <w:tcPr>
            <w:tcW w:w="46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834,143,299</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Financial Statements are an integral part hereof.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920" w:type="dxa"/>
            <w:vAlign w:val="bottom"/>
          </w:tcPr>
          <w:p>
            <w:pPr>
              <w:jc w:val="center"/>
              <w:ind w:left="2230"/>
              <w:spacing w:after="0"/>
              <w:rPr>
                <w:sz w:val="20"/>
                <w:szCs w:val="20"/>
                <w:color w:val="auto"/>
              </w:rPr>
            </w:pPr>
            <w:r>
              <w:rPr>
                <w:rFonts w:ascii="Arial" w:cs="Arial" w:eastAsia="Arial" w:hAnsi="Arial"/>
                <w:sz w:val="18"/>
                <w:szCs w:val="18"/>
                <w:b w:val="1"/>
                <w:bCs w:val="1"/>
                <w:color w:val="auto"/>
              </w:rPr>
              <w:t>OGE ENERGY CORP.</w:t>
            </w:r>
          </w:p>
        </w:tc>
        <w:tc>
          <w:tcPr>
            <w:tcW w:w="7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97"/>
        </w:trPr>
        <w:tc>
          <w:tcPr>
            <w:tcW w:w="892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EMPLOYEES' STOCK OWNERSHIP AND RETIREMENT SAVINGS PLAN</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40"/>
        </w:trPr>
        <w:tc>
          <w:tcPr>
            <w:tcW w:w="8920" w:type="dxa"/>
            <w:vAlign w:val="bottom"/>
          </w:tcPr>
          <w:p>
            <w:pPr>
              <w:jc w:val="center"/>
              <w:ind w:left="2230"/>
              <w:spacing w:after="0"/>
              <w:rPr>
                <w:sz w:val="20"/>
                <w:szCs w:val="20"/>
                <w:color w:val="auto"/>
              </w:rPr>
            </w:pPr>
            <w:r>
              <w:rPr>
                <w:rFonts w:ascii="Arial" w:cs="Arial" w:eastAsia="Arial" w:hAnsi="Arial"/>
                <w:sz w:val="18"/>
                <w:szCs w:val="18"/>
                <w:b w:val="1"/>
                <w:bCs w:val="1"/>
                <w:color w:val="auto"/>
                <w:w w:val="99"/>
              </w:rPr>
              <w:t>STATEMENT OF CHANGES IN NET ASSETS AVAILABLE FOR BENEFITS</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7"/>
        </w:trPr>
        <w:tc>
          <w:tcPr>
            <w:tcW w:w="8920" w:type="dxa"/>
            <w:vAlign w:val="bottom"/>
          </w:tcPr>
          <w:p>
            <w:pPr>
              <w:jc w:val="center"/>
              <w:ind w:left="2230"/>
              <w:spacing w:after="0"/>
              <w:rPr>
                <w:sz w:val="20"/>
                <w:szCs w:val="20"/>
                <w:color w:val="auto"/>
              </w:rPr>
            </w:pPr>
            <w:r>
              <w:rPr>
                <w:rFonts w:ascii="Arial" w:cs="Arial" w:eastAsia="Arial" w:hAnsi="Arial"/>
                <w:sz w:val="18"/>
                <w:szCs w:val="18"/>
                <w:b w:val="1"/>
                <w:bCs w:val="1"/>
                <w:color w:val="auto"/>
                <w:w w:val="99"/>
              </w:rPr>
              <w:t>FOR THE YEAR ENDED DECEMBER 31, 2025</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8"/>
        </w:trPr>
        <w:tc>
          <w:tcPr>
            <w:tcW w:w="8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96"/>
        </w:trPr>
        <w:tc>
          <w:tcPr>
            <w:tcW w:w="8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ADDITIONS</w:t>
            </w:r>
          </w:p>
        </w:tc>
        <w:tc>
          <w:tcPr>
            <w:tcW w:w="7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r>
      <w:tr>
        <w:trPr>
          <w:trHeight w:val="203"/>
        </w:trPr>
        <w:tc>
          <w:tcPr>
            <w:tcW w:w="8920" w:type="dxa"/>
            <w:vAlign w:val="bottom"/>
          </w:tcPr>
          <w:p>
            <w:pPr>
              <w:spacing w:after="0" w:line="202" w:lineRule="exact"/>
              <w:rPr>
                <w:sz w:val="20"/>
                <w:szCs w:val="20"/>
                <w:color w:val="auto"/>
              </w:rPr>
            </w:pPr>
            <w:r>
              <w:rPr>
                <w:rFonts w:ascii="Arial" w:cs="Arial" w:eastAsia="Arial" w:hAnsi="Arial"/>
                <w:sz w:val="18"/>
                <w:szCs w:val="18"/>
                <w:color w:val="auto"/>
              </w:rPr>
              <w:t>Contributions:</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89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Participants</w:t>
            </w:r>
          </w:p>
        </w:tc>
        <w:tc>
          <w:tcPr>
            <w:tcW w:w="74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30,255,101</w:t>
            </w:r>
          </w:p>
        </w:tc>
      </w:tr>
      <w:tr>
        <w:trPr>
          <w:trHeight w:val="203"/>
        </w:trPr>
        <w:tc>
          <w:tcPr>
            <w:tcW w:w="8920" w:type="dxa"/>
            <w:vAlign w:val="bottom"/>
          </w:tcPr>
          <w:p>
            <w:pPr>
              <w:ind w:left="100"/>
              <w:spacing w:after="0" w:line="202" w:lineRule="exact"/>
              <w:rPr>
                <w:sz w:val="20"/>
                <w:szCs w:val="20"/>
                <w:color w:val="auto"/>
              </w:rPr>
            </w:pPr>
            <w:r>
              <w:rPr>
                <w:rFonts w:ascii="Arial" w:cs="Arial" w:eastAsia="Arial" w:hAnsi="Arial"/>
                <w:sz w:val="18"/>
                <w:szCs w:val="18"/>
                <w:color w:val="auto"/>
              </w:rPr>
              <w:t>Company</w:t>
            </w:r>
          </w:p>
        </w:tc>
        <w:tc>
          <w:tcPr>
            <w:tcW w:w="74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22,226,031</w:t>
            </w:r>
          </w:p>
        </w:tc>
      </w:tr>
      <w:tr>
        <w:trPr>
          <w:trHeight w:val="203"/>
        </w:trPr>
        <w:tc>
          <w:tcPr>
            <w:tcW w:w="89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Rollovers</w:t>
            </w:r>
          </w:p>
        </w:tc>
        <w:tc>
          <w:tcPr>
            <w:tcW w:w="7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1,763,471</w:t>
            </w:r>
          </w:p>
        </w:tc>
      </w:tr>
      <w:tr>
        <w:trPr>
          <w:trHeight w:val="203"/>
        </w:trPr>
        <w:tc>
          <w:tcPr>
            <w:tcW w:w="8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8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7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38,645,925</w:t>
            </w:r>
          </w:p>
        </w:tc>
      </w:tr>
      <w:tr>
        <w:trPr>
          <w:trHeight w:val="203"/>
        </w:trPr>
        <w:tc>
          <w:tcPr>
            <w:tcW w:w="8920" w:type="dxa"/>
            <w:vAlign w:val="bottom"/>
          </w:tcPr>
          <w:p>
            <w:pPr>
              <w:spacing w:after="0" w:line="202" w:lineRule="exact"/>
              <w:rPr>
                <w:sz w:val="20"/>
                <w:szCs w:val="20"/>
                <w:color w:val="auto"/>
              </w:rPr>
            </w:pPr>
            <w:r>
              <w:rPr>
                <w:rFonts w:ascii="Arial" w:cs="Arial" w:eastAsia="Arial" w:hAnsi="Arial"/>
                <w:sz w:val="18"/>
                <w:szCs w:val="18"/>
                <w:color w:val="auto"/>
              </w:rPr>
              <w:t>Interest on notes receivable from participants</w:t>
            </w:r>
          </w:p>
        </w:tc>
        <w:tc>
          <w:tcPr>
            <w:tcW w:w="74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1,074,606</w:t>
            </w:r>
          </w:p>
        </w:tc>
      </w:tr>
      <w:tr>
        <w:trPr>
          <w:trHeight w:val="203"/>
        </w:trPr>
        <w:tc>
          <w:tcPr>
            <w:tcW w:w="8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r>
      <w:tr>
        <w:trPr>
          <w:trHeight w:val="203"/>
        </w:trPr>
        <w:tc>
          <w:tcPr>
            <w:tcW w:w="8920" w:type="dxa"/>
            <w:vAlign w:val="bottom"/>
          </w:tcPr>
          <w:p>
            <w:pPr>
              <w:spacing w:after="0" w:line="202" w:lineRule="exact"/>
              <w:rPr>
                <w:sz w:val="20"/>
                <w:szCs w:val="20"/>
                <w:color w:val="auto"/>
              </w:rPr>
            </w:pPr>
            <w:r>
              <w:rPr>
                <w:rFonts w:ascii="Arial" w:cs="Arial" w:eastAsia="Arial" w:hAnsi="Arial"/>
                <w:sz w:val="18"/>
                <w:szCs w:val="18"/>
                <w:color w:val="auto"/>
              </w:rPr>
              <w:t>Net appreciation in fair value of investments</w:t>
            </w:r>
          </w:p>
        </w:tc>
        <w:tc>
          <w:tcPr>
            <w:tcW w:w="74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87,558,595</w:t>
            </w:r>
          </w:p>
        </w:tc>
      </w:tr>
      <w:tr>
        <w:trPr>
          <w:trHeight w:val="203"/>
        </w:trPr>
        <w:tc>
          <w:tcPr>
            <w:tcW w:w="89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spacing w:after="0"/>
              <w:rPr>
                <w:sz w:val="17"/>
                <w:szCs w:val="17"/>
                <w:color w:val="auto"/>
              </w:rPr>
            </w:pPr>
          </w:p>
        </w:tc>
      </w:tr>
      <w:tr>
        <w:trPr>
          <w:trHeight w:val="196"/>
        </w:trPr>
        <w:tc>
          <w:tcPr>
            <w:tcW w:w="89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additions</w:t>
            </w:r>
          </w:p>
        </w:tc>
        <w:tc>
          <w:tcPr>
            <w:tcW w:w="7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181,523,729</w:t>
            </w:r>
          </w:p>
        </w:tc>
      </w:tr>
      <w:tr>
        <w:trPr>
          <w:trHeight w:val="196"/>
        </w:trPr>
        <w:tc>
          <w:tcPr>
            <w:tcW w:w="8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r>
      <w:tr>
        <w:trPr>
          <w:trHeight w:val="203"/>
        </w:trPr>
        <w:tc>
          <w:tcPr>
            <w:tcW w:w="8920" w:type="dxa"/>
            <w:vAlign w:val="bottom"/>
          </w:tcPr>
          <w:p>
            <w:pPr>
              <w:spacing w:after="0" w:line="202" w:lineRule="exact"/>
              <w:rPr>
                <w:sz w:val="20"/>
                <w:szCs w:val="20"/>
                <w:color w:val="auto"/>
              </w:rPr>
            </w:pPr>
            <w:r>
              <w:rPr>
                <w:rFonts w:ascii="Arial" w:cs="Arial" w:eastAsia="Arial" w:hAnsi="Arial"/>
                <w:sz w:val="18"/>
                <w:szCs w:val="18"/>
                <w:color w:val="auto"/>
              </w:rPr>
              <w:t>DEDUCTIONS</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8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Distributions to participants</w:t>
            </w:r>
          </w:p>
        </w:tc>
        <w:tc>
          <w:tcPr>
            <w:tcW w:w="7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84,748,228</w:t>
            </w:r>
          </w:p>
        </w:tc>
      </w:tr>
      <w:tr>
        <w:trPr>
          <w:trHeight w:val="203"/>
        </w:trPr>
        <w:tc>
          <w:tcPr>
            <w:tcW w:w="8920" w:type="dxa"/>
            <w:vAlign w:val="bottom"/>
          </w:tcPr>
          <w:p>
            <w:pPr>
              <w:spacing w:after="0" w:line="202" w:lineRule="exact"/>
              <w:rPr>
                <w:sz w:val="20"/>
                <w:szCs w:val="20"/>
                <w:color w:val="auto"/>
              </w:rPr>
            </w:pPr>
            <w:r>
              <w:rPr>
                <w:rFonts w:ascii="Arial" w:cs="Arial" w:eastAsia="Arial" w:hAnsi="Arial"/>
                <w:sz w:val="18"/>
                <w:szCs w:val="18"/>
                <w:color w:val="auto"/>
              </w:rPr>
              <w:t>Administrative expenses</w:t>
            </w:r>
          </w:p>
        </w:tc>
        <w:tc>
          <w:tcPr>
            <w:tcW w:w="74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481,339</w:t>
            </w:r>
          </w:p>
        </w:tc>
      </w:tr>
      <w:tr>
        <w:trPr>
          <w:trHeight w:val="203"/>
        </w:trPr>
        <w:tc>
          <w:tcPr>
            <w:tcW w:w="89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spacing w:after="0"/>
              <w:rPr>
                <w:sz w:val="17"/>
                <w:szCs w:val="17"/>
                <w:color w:val="auto"/>
              </w:rPr>
            </w:pPr>
          </w:p>
        </w:tc>
      </w:tr>
      <w:tr>
        <w:trPr>
          <w:trHeight w:val="196"/>
        </w:trPr>
        <w:tc>
          <w:tcPr>
            <w:tcW w:w="89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deductions</w:t>
            </w:r>
          </w:p>
        </w:tc>
        <w:tc>
          <w:tcPr>
            <w:tcW w:w="7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85,229,567</w:t>
            </w:r>
          </w:p>
        </w:tc>
      </w:tr>
      <w:tr>
        <w:trPr>
          <w:trHeight w:val="196"/>
        </w:trPr>
        <w:tc>
          <w:tcPr>
            <w:tcW w:w="8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r>
      <w:tr>
        <w:trPr>
          <w:trHeight w:val="203"/>
        </w:trPr>
        <w:tc>
          <w:tcPr>
            <w:tcW w:w="8920" w:type="dxa"/>
            <w:vAlign w:val="bottom"/>
          </w:tcPr>
          <w:p>
            <w:pPr>
              <w:spacing w:after="0" w:line="202" w:lineRule="exact"/>
              <w:rPr>
                <w:sz w:val="20"/>
                <w:szCs w:val="20"/>
                <w:color w:val="auto"/>
              </w:rPr>
            </w:pPr>
            <w:r>
              <w:rPr>
                <w:rFonts w:ascii="Arial" w:cs="Arial" w:eastAsia="Arial" w:hAnsi="Arial"/>
                <w:sz w:val="18"/>
                <w:szCs w:val="18"/>
                <w:color w:val="auto"/>
              </w:rPr>
              <w:t>NET INCREASE IN NET ASSETS AVAILABLE FOR BENEFITS</w:t>
            </w:r>
          </w:p>
        </w:tc>
        <w:tc>
          <w:tcPr>
            <w:tcW w:w="74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96,294,162</w:t>
            </w:r>
          </w:p>
        </w:tc>
      </w:tr>
      <w:tr>
        <w:trPr>
          <w:trHeight w:val="203"/>
        </w:trPr>
        <w:tc>
          <w:tcPr>
            <w:tcW w:w="8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r>
      <w:tr>
        <w:trPr>
          <w:trHeight w:val="203"/>
        </w:trPr>
        <w:tc>
          <w:tcPr>
            <w:tcW w:w="8920" w:type="dxa"/>
            <w:vAlign w:val="bottom"/>
          </w:tcPr>
          <w:p>
            <w:pPr>
              <w:spacing w:after="0" w:line="202" w:lineRule="exact"/>
              <w:rPr>
                <w:sz w:val="20"/>
                <w:szCs w:val="20"/>
                <w:color w:val="auto"/>
              </w:rPr>
            </w:pPr>
            <w:r>
              <w:rPr>
                <w:rFonts w:ascii="Arial" w:cs="Arial" w:eastAsia="Arial" w:hAnsi="Arial"/>
                <w:sz w:val="18"/>
                <w:szCs w:val="18"/>
                <w:color w:val="auto"/>
              </w:rPr>
              <w:t>NET ASSETS AVAILABLE FOR BENEFITS</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892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Beginning of year</w:t>
            </w:r>
          </w:p>
        </w:tc>
        <w:tc>
          <w:tcPr>
            <w:tcW w:w="7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834,143,299</w:t>
            </w:r>
          </w:p>
        </w:tc>
      </w:tr>
      <w:tr>
        <w:trPr>
          <w:trHeight w:val="196"/>
        </w:trPr>
        <w:tc>
          <w:tcPr>
            <w:tcW w:w="89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End of year</w:t>
            </w:r>
          </w:p>
        </w:tc>
        <w:tc>
          <w:tcPr>
            <w:tcW w:w="7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930,437,461</w:t>
            </w:r>
          </w:p>
        </w:tc>
      </w:tr>
      <w:tr>
        <w:trPr>
          <w:trHeight w:val="20"/>
        </w:trPr>
        <w:tc>
          <w:tcPr>
            <w:tcW w:w="8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Financial Statements are an integral part hereof.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STOCK OWNERSHIP AND RETIREMENT SAVINGS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2" w:lineRule="exact"/>
        <w:rPr>
          <w:sz w:val="20"/>
          <w:szCs w:val="20"/>
          <w:color w:val="auto"/>
        </w:rPr>
      </w:pPr>
    </w:p>
    <w:p>
      <w:pPr>
        <w:ind w:left="380" w:hanging="372"/>
        <w:spacing w:after="0"/>
        <w:tabs>
          <w:tab w:leader="none" w:pos="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Plan Description</w:t>
      </w:r>
    </w:p>
    <w:p>
      <w:pPr>
        <w:spacing w:after="0" w:line="198"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The OGE Energy Corp. Employees' Stock Ownership and Retirement Savings Plan ("Plan"), originally the Oklahoma Gas and Electric Company Employees' Thrift Plan, was adopted in 1981 and became effective January 1, 1982. By action of OGE Energy Corp.'s Board of Directors taken on July 15, 1998, the Oklahoma Gas and Electric Company Employees' Stock Ownership Plan ("ESOP") and participants' ESOP accounts thereunder were merged into the Plan, effective October 1, 1998. The Plan is a defined contribution trusteed plan. Fidelity Management Trust Company ("Fidelity") serves as the Trustee of the Plan and is responsible for the safekeeping and investment of all contributions made to the trust in accordance with the Trust Agreement between OGE Energy Corp. ("Company") and the Trustee. Fidelity Workplace Services LLC processes and maintains the records of the participant data. The following description of the Plan describes the terms of the Plan on December 31, 2025, unless otherwise noted, and provides only general information about the Plan's provisions. Participants should refer to the Plan document for a more complete description of the Plan's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8"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Participation in the Plan is voluntary. The Plan is administered by the Company's Plan Administration Committee, which consists of at least three members appointed by the Company's Benefits Oversight Committee. The Plan Administration Committee is responsible for the general administration of the Plan including, among other things, establishing Plan procedures and governmental reporting and disclosures for the Plan. The Benefits Oversight Committee is responsible for appointing, monitoring, and removing the members of the Plan Administration Committee. The Investment Committee, appointed by the Company's Board of Directors, is responsible for the appointment and removal of investment managers, overseeing the performance of the Trustee and establishing an investment policy for the Plan. The Plan is subject to the provisions of the Employee Retirement Income Security Act of 1974, as amended ("ERISA").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98"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Each regular, full-time employee of the Company or a participating affiliate is eligible to participate in the Plan immediately. All other employees of the Company or a participating affiliate are eligible to become participants in the Plan after completing one year of service, as defined in the Plan document. Effective January 1, 2025, the eligibility service requirement for long-term part-time employees was changed to 500 hours of service in the previous two consecutive years. The following individuals are not eligible to participate in the Plan: leased employees, individuals classified by the employer as independent contractors, and employees covered by a collective bargaining agreement that does not provide for their participation in the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Contributions</w:t>
      </w:r>
    </w:p>
    <w:p>
      <w:pPr>
        <w:spacing w:after="0" w:line="198"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Each pay period, participants may contribute any whole percentage between two percent and 75 percent of their compensation, as defined in the Plan document, for that pay period. Participants may change contribution percentages in advance of any pay period. Participants may designate, at their discretion, all or any portion of their contributions as: (i) before-tax contributions under Section 401(k) of the Internal Revenue Code ("Code"), subject to the limitations thereof, designated as “Tax-Deferred Contributions”; (ii) contributions made on a non-Roth after-tax basis; or (iii) after-tax “Roth Contributions.” Tax-Deferred Contributions are not subject to federal income tax until such portion is withdrawn or distributed from the Plan. Roth Contributions are subject to federal income tax at the time the employee would have otherwise received the amount in cash but earn income tax-free if certain conditions are met.</w:t>
      </w:r>
    </w:p>
    <w:p>
      <w:pPr>
        <w:spacing w:after="0" w:line="171"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The Plan allows “In-Plan Roth Rollover Contributions” which are a direct rollover from a participant’s Tax-Deferred Contribution account to an account established for the purpose of separately accounting for the participant’s In-Plan Roth Rollover Contributions. For all purposes, funds in a participant’s In-Plan Roth Rollover Contribution account will be treated in the same manner as funds in their Roth Contribution account.</w:t>
      </w:r>
    </w:p>
    <w:p>
      <w:pPr>
        <w:spacing w:after="0" w:line="160" w:lineRule="exact"/>
        <w:rPr>
          <w:sz w:val="20"/>
          <w:szCs w:val="20"/>
          <w:color w:val="auto"/>
        </w:rPr>
      </w:pPr>
    </w:p>
    <w:p>
      <w:pPr>
        <w:jc w:val="both"/>
        <w:ind w:right="20" w:firstLine="374"/>
        <w:spacing w:after="0" w:line="245" w:lineRule="auto"/>
        <w:rPr>
          <w:sz w:val="20"/>
          <w:szCs w:val="20"/>
          <w:color w:val="auto"/>
        </w:rPr>
      </w:pPr>
      <w:r>
        <w:rPr>
          <w:rFonts w:ascii="Arial" w:cs="Arial" w:eastAsia="Arial" w:hAnsi="Arial"/>
          <w:sz w:val="18"/>
          <w:szCs w:val="18"/>
          <w:color w:val="auto"/>
        </w:rPr>
        <w:t>Participants who have attained age 50 before the close of a calendar year are allowed to make additional contributions, defined in the Plan as "Catch-Up Contributions," for the year in accordance with and subject to the limitations of Section 414(v)</w:t>
      </w: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8"/>
          <w:szCs w:val="18"/>
          <w:color w:val="auto"/>
        </w:rPr>
        <w:t>of the Code. Catch-Up Contributions may be designated as Tax-Deferred or Roth Contributions. All contributions are subject to certain limitations of the Code.</w:t>
      </w:r>
    </w:p>
    <w:p>
      <w:pPr>
        <w:spacing w:after="0" w:line="140"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Participants can direct that their contributions be invested in multiples of one percent in any one or all of the investment options available, including the OGE Energy Corp. Common Stock Fund which invests exclusively in the Company's common stock. Participants may change investment allocations of contributions on any business day. A managed account option is offered under the Plan which provides participants an option, for a fee, to have funds in their account invested by an investment manager among the investment options available under the Plan (excluding the OGE Energy Corp. Common Stock Fund and self-directed brokerage option). Under the managed account option, the amounts invested by an investment manager exclude amounts participants elect to be retained in the OGE Energy Corp. Common Stock Fund. The investment manager appointed for this purpose is Strategic Advisers, Inc., an affiliate of the Trustee. Another option available to participants is Fidelity BrokerageLink®, which is a self-directed brokerage option that allows an electing participant to invest in individual stocks and bonds as well as mutual funds beyond the current Plan investment options. A participant's self-directed brokerage account is adjusted solely to reflect dividends, earnings, losses, gains, expenses and changes attributable to their self-directed brokerage account. Any investments held in a participant's self-directed brokerage account for which the participant does not provide investment direction will be invested in the American Funds Target Date Retirement Fund</w:t>
      </w:r>
      <w:r>
        <w:rPr>
          <w:rFonts w:ascii="Arial" w:cs="Arial" w:eastAsia="Arial" w:hAnsi="Arial"/>
          <w:sz w:val="16"/>
          <w:szCs w:val="16"/>
          <w:color w:val="auto"/>
        </w:rPr>
        <w:t>®</w:t>
      </w:r>
      <w:r>
        <w:rPr>
          <w:rFonts w:ascii="Arial" w:cs="Arial" w:eastAsia="Arial" w:hAnsi="Arial"/>
          <w:sz w:val="18"/>
          <w:szCs w:val="18"/>
          <w:color w:val="auto"/>
        </w:rPr>
        <w:t xml:space="preserve"> based upon the participant’s date of birth until the participant makes a proper direction.</w:t>
      </w:r>
    </w:p>
    <w:p>
      <w:pPr>
        <w:spacing w:after="0" w:line="167"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18"/>
          <w:szCs w:val="18"/>
          <w:color w:val="auto"/>
        </w:rPr>
        <w:t>Eligible employees who do not affirmatively elect to either participate or not participate in the Plan are automatically enrolled in the Plan to contribute three percent of their compensation per pay period as a Tax-Deferred Contribution. Enrollment is effective as of the 30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the date the eligible employee satisfies the eligibility requirements of the Plan. In the absence of an investment election, the participant's Tax-Deferred Contributions will be invested in the applicable American Funds Target Date Retirement Fund</w:t>
      </w:r>
      <w:r>
        <w:rPr>
          <w:rFonts w:ascii="Arial" w:cs="Arial" w:eastAsia="Arial" w:hAnsi="Arial"/>
          <w:sz w:val="16"/>
          <w:szCs w:val="16"/>
          <w:color w:val="auto"/>
        </w:rPr>
        <w:t>®</w:t>
      </w:r>
      <w:r>
        <w:rPr>
          <w:rFonts w:ascii="Arial" w:cs="Arial" w:eastAsia="Arial" w:hAnsi="Arial"/>
          <w:sz w:val="18"/>
          <w:szCs w:val="18"/>
          <w:color w:val="auto"/>
        </w:rPr>
        <w:t xml:space="preserve"> based upon the participant's date of birth. If an eligible employee ceases to be eligible by reason of termination of employment or otherwise, the automatic enrollment will not apply to such eligible employee on any subsequent re-employment with the Company or on otherwise again becoming an eligible employee.</w:t>
      </w:r>
    </w:p>
    <w:p>
      <w:pPr>
        <w:spacing w:after="0" w:line="166"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A participant may elect, in accordance with the Plan's procedures, to have their rate of Tax-Deferred Contributions automatically increased annually on a date and in an amount as specified by the participant in such election, which amount will be one percent, two percent, or three percent of their compensation per pay period. Such election will remain in effect until cancelled by the participant in accordance with the Plan's procedures.</w:t>
      </w:r>
    </w:p>
    <w:p>
      <w:pPr>
        <w:spacing w:after="0" w:line="160"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The Plan also allows rollovers from other eligible retirement plans, defined in the Plan as "Rollover Contributions." Participants may invest their Rollover Contributions into the OGE Energy Corp. Common Stock Fund or any of the other investment options available under the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198"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For any employee whose employment or re-employment date occurs on or after December 1, 2009, the Company will contribute 200 percent of the participant's contributions, up to five percent of compensation, as defined by the Plan. For employees whose employment or re-employment date occurred before December 1, 2009, the Company will contribute, depending on certain elections made by the employees with respect to their participation in the Company's qualified defined benefit retirement plan ("Pension Plan"), the amounts described below.</w:t>
      </w:r>
    </w:p>
    <w:p>
      <w:pPr>
        <w:spacing w:after="0" w:line="163"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For participants whose employment or re-employment date occurred before February 1, 2000 and who elected to continue to earn additional benefits under the Pension Plan, the Company contributes to the Plan each pay period an amount equal to 50 percent of the participant's contributions up to six percent of compensation if the participant has less than 20 years of service, as defined in the Plan, and an amount equal to 75 percent of the participant's contributions up to six percent of compensation if the participant has 20 or more years of service, as defined in the Plan. If such participants elected to freeze their accruals under the Pension Plan, depending on the freeze options they elected, the Company contributes either 100 percent of the participant's contributions up to six percent of compensation or 200 percent of the participant's contributions up to five percent of compensation.</w:t>
      </w:r>
    </w:p>
    <w:p>
      <w:pPr>
        <w:spacing w:after="0" w:line="17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For participants whose employment or re-employment date occurred on or after February 1, 2000 and before December 1, 2009, the Company contributes 100 percent of the participant's contributions up to six percent of compensation if the participant elected to participate in the Pension Plan or 200 percent of the participant's contributions up to five percent of compensation if the participant elected not to participate in the Pension Plan.</w:t>
      </w: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both"/>
        <w:ind w:firstLine="374"/>
        <w:spacing w:after="0" w:line="253" w:lineRule="auto"/>
        <w:rPr>
          <w:sz w:val="20"/>
          <w:szCs w:val="20"/>
          <w:color w:val="auto"/>
        </w:rPr>
      </w:pPr>
      <w:r>
        <w:rPr>
          <w:rFonts w:ascii="Arial" w:cs="Arial" w:eastAsia="Arial" w:hAnsi="Arial"/>
          <w:sz w:val="18"/>
          <w:szCs w:val="18"/>
          <w:color w:val="auto"/>
        </w:rPr>
        <w:t>The Company's contributions may be directed to any available investment option in the Plan. In the absence of an investment election, the participant's Company matching contributions will be invested in the applicable American Funds Target Date Retirement Fund</w:t>
      </w:r>
      <w:r>
        <w:rPr>
          <w:rFonts w:ascii="Arial" w:cs="Arial" w:eastAsia="Arial" w:hAnsi="Arial"/>
          <w:sz w:val="16"/>
          <w:szCs w:val="16"/>
          <w:color w:val="auto"/>
        </w:rPr>
        <w:t>®</w:t>
      </w:r>
      <w:r>
        <w:rPr>
          <w:rFonts w:ascii="Arial" w:cs="Arial" w:eastAsia="Arial" w:hAnsi="Arial"/>
          <w:sz w:val="18"/>
          <w:szCs w:val="18"/>
          <w:color w:val="auto"/>
        </w:rPr>
        <w:t xml:space="preserve"> based upon the participant's date of birth. During 2025, there were no non-cash Company contributions made to the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98"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Participants' contributions, Rollover Contributions and Catch-Up Contributions are fully vested and non-forfeitable, as are participants' ESOP contribution accounts. Participants become 20 percent vested in their Company contribution account after two years of service and become fully vested after three years of service. In addition, participants fully vest when they are eligible for normal or early retirement under the Company's Pension Plan, in the event of their termination due to death or permanent disability, or upon attainment of age 65 while employed by the Company or its affiliates. Participants who die while performing qualified military service will be treated as if they had resumed and then terminated employment on account of death.</w:t>
      </w:r>
    </w:p>
    <w:p>
      <w:pPr>
        <w:spacing w:after="0" w:line="165"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Participants' non-vested balances are forfeited upon termination of employment. Such forfeitures can be used to reduce employer contributions. Forfeited non-vested participant balances totaled $605,960 during 2025, which the Company intends to use to reduce its future contributions. At December 31, 2025, there were $15,891 in forfeited and unallocated assets compared to $497,032 at December 31, 2024. Forfeitures are reinstated if the participant is re-employed by the Company or an affiliate thereof within five years of the date of termination.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Withdrawals</w:t>
      </w:r>
    </w:p>
    <w:p>
      <w:pPr>
        <w:spacing w:after="0" w:line="198"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During employment, participants may not withdraw Tax-Deferred Contributions, Roth Contributions, Catch-Up Contributions or Company matching contributions and income earned thereon until attainment of age 59½, except in the event of financial hardship where a participant may withdraw the participant's Tax-Deferred Contributions, Roth Contributions, Catch-Up Contributions and Company matching contributions and except in the event of a "permissible withdrawal" as described below. In-service withdrawals are made in cash. Participants can generally make one withdrawal per calendar year. Subject to the foregoing, a withdrawal can be comprised of after-tax contributions, vested Company contributions, Catch-Up Contributions and Tax-Deferred Contributions, Roth Contributions and any income earned thereon. As of the last business day of any quarter, participants may also withdraw in cash or in Company common stock all amounts allocated to their ESOP accounts. Participants may withdraw their Rollover Contributions at any time.</w:t>
      </w:r>
    </w:p>
    <w:p>
      <w:pPr>
        <w:spacing w:after="0" w:line="167"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Eligible employees who are automatically enrolled in the Plan may no later than 90 days after the first Tax-Deferred Contribution is deducted from their compensation elect to make a "permissible withdrawal" from the Plan of all of their Tax-Deferred Contributions (and any earnings (or losses) attributable thereto). Any Company matching contributions (as adjusted for earnings (or losses) attributable thereto) that are attributable to amounts distributed to a participant by reason of a permissible withdrawal will be forfeited and be considered a forfeiture as of the date the distribution is made. Also, the participant's automatic enrollment agreement will terminate upon electing to make a permissible withdrawal, and no further Tax-Deferred Contributions will be made on the participant's behalf unless and until the participant makes an election to resume making Tax-Deferred Contributions.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98"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8"/>
          <w:szCs w:val="18"/>
          <w:color w:val="auto"/>
        </w:rPr>
        <w:t>Participants may request distribution of their vested accounts upon termination of employment with the Company and its affiliates for any reason. If a participant's vested account balance is less than or equal to $1,000, it will automatically be distributed in a lump-sum payment to the participant as soon as administratively possible following termination. If a participant's vested account balance is greater than $1,000, it may be distributed in a lump-sum payment, installment payments or a combination thereof at the participant's election, and participants who are under age 73 (72 for participants who attained that age before January 1, 2023 and 70½ for participants who attained that age on or before December 31, 2019) may defer commencement of their distributions to not later than April 1 of the year after the year in which they reach age 73 (72 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participants who attained that age before January 1, 2023 and 70½ for participants who attained that age on or before December 31, 2019).</w:t>
      </w:r>
    </w:p>
    <w:p>
      <w:pPr>
        <w:spacing w:after="0" w:line="198"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All distributions after termination of employment are made in cash or in kind as the participant elects. All amounts invested in the OGE Energy Corp. Common Stock Fund, whether purchased with participant or Company contributions, may be paid in cash, in full shares of the Company's common stock with fractional shares being paid in cash or a combination thereof at the participant's election. The Plan implements a dividend pass-through program in which all dividends allocable to shares of the Company’s common stock in participants' accounts are automatically paid in cash to participants based on the number of shares allocated to their accounts as of the ex-dividend date for such dividend unless otherwise requested. Any dividends not distributed in cash are used to purchase additional shares of the Company's common stock, which are allocated to the respective participants' accounts in the form of additional shares which are fully vested regardless of the participants' years of service. Participants or spouse beneficiaries receiving distributions or withdrawals which are eligible rollover distributions, as defined in the Plan, may elect to make rollovers to an eligible retirement plan provided that such eligible retirement plan accepts direct rollovers. The Plan also allows a non-spouse beneficiary to directly roll over an eligible rollover distribution to an eligible individual retirement account or individual retirement annuity.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 (Participant Loans)</w:t>
      </w:r>
    </w:p>
    <w:p>
      <w:pPr>
        <w:spacing w:after="0" w:line="198"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The maximum amount that a participant may borrow is the lesser of either $50,000 or 50 percent of the participant's vested account balance. No amounts may be borrowed from a participant's ESOP account. A participant may have no more than two loans outstanding at one time. The loans are secured by the participant's vested account balance. All loans granted must be repaid pursuant to a written repayment schedule not to exceed five years and evidenced by a written promissory note signed by the borrower. Borrowed amounts do not share in the earnings and losses of the investment funds. Rather, interest payments on the loan are credited to the participant's account in the Plan. If a participant should terminate employment, the participant may repay the entire loan amount at that time or, if distribution is deferred, may elect to continue repayments by check. If a participant defaults in the payment of principal or interest under the terms of the loan at the time the participant is entitled to a distribution, the participant's account will be offset by the outstanding loan amount. If a participant ceases to make loan repayments and the Plan administrator deems the participant loan to be a distribution, the participant loan balance is reduced, and a benefit payment is recorded. Loans made to participants will be liquidated from a participant's account in accordance with rules established by the Plan Administration Committee.</w:t>
      </w:r>
    </w:p>
    <w:p>
      <w:pPr>
        <w:spacing w:after="0" w:line="172"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 xml:space="preserve">The interest rate for loans, as established by the Plan Administration Committee, is equal to the "prime rate," as published in the </w:t>
      </w:r>
      <w:r>
        <w:rPr>
          <w:rFonts w:ascii="Arial" w:cs="Arial" w:eastAsia="Arial" w:hAnsi="Arial"/>
          <w:sz w:val="18"/>
          <w:szCs w:val="18"/>
          <w:i w:val="1"/>
          <w:iCs w:val="1"/>
          <w:color w:val="auto"/>
        </w:rPr>
        <w:t>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on the first business day of the month preceding the date the loan is made, plus one percent. For loans initiated during 2025,</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interest rate ranged from 8.00 percent to 8.50 percent. For loans initiated during 2024, the interest rate ranged from 8.75 percent to 9.50 percent.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98"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Certain expenses of administering the Plan are expected to be paid by the participants. Participants obtaining a loan are charged $35 to initiate the loan and $15 annually for maintenance. Investment management fees for participants electing to participate in the managed account option are also paid by electing participants. All fees, commissions, charges and penalties incurred by a participant in connection with investments made through Fidelity BrokerageLink® are paid from the electing participant's account. All other administrative expenses of the Plan, including legal, accounting and trustee fees, are paid by the Plan except to the extent paid by the Company.</w:t>
      </w:r>
    </w:p>
    <w:p>
      <w:pPr>
        <w:spacing w:after="0" w:line="163"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8"/>
          <w:szCs w:val="18"/>
          <w:color w:val="auto"/>
        </w:rPr>
        <w:t>Investment fees are generally assessed by an investment option and are deducted from the option's investment returns. Any transaction-based fees charged by an investment option will be charged directly by the investment option to applicable participant accounts.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Termination</w:t>
      </w:r>
    </w:p>
    <w:p>
      <w:pPr>
        <w:spacing w:after="0" w:line="198"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Company intends to continue the Plan indefinitely but reserves the right to alter, amend or modify the Plan at any time upon the direction of the Company's Board of Directors or the Company's Benefits Oversight Committee, as provided in the Plan. In addition, the Company's Board of Directors may discontinue contributions to the Plan or terminate the Plan at any time. If the Plan is terminated for any reason, the interests of all affected participants will be fully vested, and the Plan Administration</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18"/>
          <w:szCs w:val="18"/>
          <w:color w:val="auto"/>
        </w:rPr>
        <w:t>Committee will direct that the participants' account balances be distributed as provided in the Plan. The Company has no continuing liability under the Plan after the final disposition of the assets of the Plan.</w:t>
      </w:r>
    </w:p>
    <w:p>
      <w:pPr>
        <w:spacing w:after="0" w:line="140" w:lineRule="exact"/>
        <w:rPr>
          <w:sz w:val="20"/>
          <w:szCs w:val="20"/>
          <w:color w:val="auto"/>
        </w:rPr>
      </w:pPr>
    </w:p>
    <w:p>
      <w:pPr>
        <w:ind w:right="7080" w:firstLine="8"/>
        <w:spacing w:after="0" w:line="469" w:lineRule="auto"/>
        <w:tabs>
          <w:tab w:leader="none" w:pos="37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Accounting</w:t>
      </w:r>
    </w:p>
    <w:p>
      <w:pPr>
        <w:spacing w:after="0" w:line="1"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The accompanying financial statements have been prepared on the accrual basis of accounting in accordance with U.S. generally accepted accounting principles ("GAAP"). Distributions to participants are recorded when paid.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8"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accompanying notes and supplemental schedule.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98"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The Plan's investments are stated at fair value. Fair value is the price that would be received to sell an asset or paid to transfer a liability in an orderly transaction between market participants at the measurement date. Common stocks are of U.S. companies and are valued at published market prices. Mutual funds are valued at published market prices, which represent the net asset value of shares held by the Plan at year-end. Self-directed brokerage accounts primarily consist of common stock and interest-bearing cash that is comprised of U.S. dollars. The stable value collective trust in which the Plan invests, the Fidelity Managed Income Portfolio II ("MIP"), is valued by the trustee thereof at the net asset value on the last business day of the Plan's year-end as determined by the sponsor of such trust based on the fair value of the underlying assets of the fund. Participant-directed redemptions in the MIP have no restrictions; however, the Plan is required to provide a 12-month redemption notice to liquidate its entire share in the MIP. The primary strategy of the MIP is to seek the preservation of capital as well as provide a competitive level of income over time consistent with the preservation of capital. 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67"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 Net appreciation/depreciation includes the Plan's gains and losses on investments bought and sold as well as held during the year.</w:t>
      </w:r>
    </w:p>
    <w:p>
      <w:pPr>
        <w:spacing w:after="0" w:line="155"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 of investment securities will occur in the near term and that such changes could materially affect participants' account balances and the amounts reported in the Statements of Net Assets Available for Benefits.</w:t>
      </w:r>
    </w:p>
    <w:p>
      <w:pPr>
        <w:spacing w:after="0" w:line="160"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During 2025, the Plan exited three Fidelity Asset Manager mutual funds and substantially exited the Fidelity Freedom K® Funds and allocated the funds to various American Funds Target Date Retirement Funds based on the Investment Committee’s overall investment review process. This change did not have an effect on overall investment strategy or risk.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 (Participant Loans)</w:t>
      </w:r>
    </w:p>
    <w:p>
      <w:pPr>
        <w:spacing w:after="0" w:line="198"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Related fees are recorded as administrative expenses and are expensed when they are incurred. No allowance for credit losses has been recorded at December 31, 2025 or 2024.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Share Valuation - OGE Energy Corp. Common Stock Fund</w:t>
      </w:r>
    </w:p>
    <w:p>
      <w:pPr>
        <w:spacing w:after="0" w:line="198"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The Plan utilizes the share method of valuation for the OGE Energy Corp. Common Stock Fund. Under the share method of valuation, the price per share of common stock is based on the quoted market value of the Company's common stock. The Company's common stock price is readily available to the participants and is printed in many publications.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Benefit payments are recorded when paid. There were no benefits requested before year-end that were not paid.</w:t>
      </w:r>
    </w:p>
    <w:p>
      <w:pPr>
        <w:spacing w:after="0" w:line="198"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8"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The classification of the Plan's fair value measurements requires judgment regarding the degree to which market data are observable or corroborated by observable market data. GAAP establishes a fair value hierarchy that prioritizes the inputs used to measure fair value based on observable and unobservable data. The hierarchy categorizes the inputs into three levels, with the highest priority given to quoted prices in active markets for identical unrestricted assets or liabilities (Level 1) and the lowest priority given to unobservable inputs (Level 3). Financial assets and liabilities are classified in their entirety based on the lowest level of input that is significant to the fair value measurement. The three levels defined in the fair value hierarchy and examples of each are as follows:</w:t>
      </w:r>
    </w:p>
    <w:p>
      <w:pPr>
        <w:spacing w:after="0" w:line="165"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Level 1 inputs are unadjusted quoted prices in active markets for identical unrestricted assets or liabilities that are accessible by the Plan at the measurement date. Instruments classified as Level 1 include investments in common stocks, mutual funds, interest-bearing cash and the stable value collective trust.</w:t>
      </w:r>
    </w:p>
    <w:p>
      <w:pPr>
        <w:spacing w:after="0" w:line="155"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Level 2 inputs are inputs other than quoted prices in active markets included within Level 1 that are either directly or indirectly observable at the reporting date for the asset or liability for substantially the full term of the asset or liability. Level 2 inputs include quoted prices for similar assets or liabilities in active markets and quoted prices for identical or similar assets or liabilities in markets that are not active. The Plan holds no Level 2 investments.</w:t>
      </w:r>
    </w:p>
    <w:p>
      <w:pPr>
        <w:spacing w:after="0" w:line="160"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Level 3 inputs are prices or valuation techniques for the asset or liability that require inputs that are both significant to the fair value measurement and unobservable (i.e., supported by little or no market activity). Unobservable inputs reflect the Plan's own assumptions about the assumptions that market participants would use in pricing the asset or liability (including assumptions about risk). The Plan holds no Level 3 investments.</w:t>
      </w:r>
    </w:p>
    <w:p>
      <w:pPr>
        <w:spacing w:after="0" w:line="160"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8"/>
          <w:szCs w:val="18"/>
          <w:color w:val="auto"/>
        </w:rPr>
        <w:t>The following tables summarize the Plan's investments that are measured at fair value on a recurring basis at December 31, 2025 and 2024.</w:t>
      </w:r>
    </w:p>
    <w:tbl>
      <w:tblPr>
        <w:tblLayout w:type="fixed"/>
        <w:tblInd w:w="0" w:type="dxa"/>
        <w:tblCellMar>
          <w:top w:w="0" w:type="dxa"/>
          <w:left w:w="0" w:type="dxa"/>
          <w:bottom w:w="0" w:type="dxa"/>
          <w:right w:w="0" w:type="dxa"/>
        </w:tblCellMar>
      </w:tblPr>
      <w:tr>
        <w:trPr>
          <w:trHeight w:val="168"/>
        </w:trPr>
        <w:tc>
          <w:tcPr>
            <w:tcW w:w="4040" w:type="dxa"/>
            <w:vAlign w:val="bottom"/>
            <w:tcBorders>
              <w:top w:val="single" w:sz="8" w:color="auto"/>
            </w:tcBorders>
          </w:tcPr>
          <w:p>
            <w:pPr>
              <w:spacing w:after="0"/>
              <w:rPr>
                <w:sz w:val="14"/>
                <w:szCs w:val="14"/>
                <w:color w:val="auto"/>
              </w:rPr>
            </w:pPr>
          </w:p>
        </w:tc>
        <w:tc>
          <w:tcPr>
            <w:tcW w:w="360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center"/>
              <w:ind w:right="230"/>
              <w:spacing w:after="0" w:line="168" w:lineRule="exact"/>
              <w:rPr>
                <w:sz w:val="20"/>
                <w:szCs w:val="20"/>
                <w:color w:val="auto"/>
              </w:rPr>
            </w:pPr>
            <w:r>
              <w:rPr>
                <w:rFonts w:ascii="Arial" w:cs="Arial" w:eastAsia="Arial" w:hAnsi="Arial"/>
                <w:sz w:val="18"/>
                <w:szCs w:val="18"/>
                <w:b w:val="1"/>
                <w:bCs w:val="1"/>
                <w:color w:val="auto"/>
                <w:w w:val="99"/>
              </w:rPr>
              <w:t>December 31,</w:t>
            </w:r>
          </w:p>
        </w:tc>
        <w:tc>
          <w:tcPr>
            <w:tcW w:w="4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221"/>
        </w:trPr>
        <w:tc>
          <w:tcPr>
            <w:tcW w:w="40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2025</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1</w:t>
            </w: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w:t>
            </w:r>
          </w:p>
        </w:tc>
        <w:tc>
          <w:tcPr>
            <w:tcW w:w="36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134,020,028</w:t>
            </w:r>
          </w:p>
        </w:tc>
        <w:tc>
          <w:tcPr>
            <w:tcW w:w="4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134,020,028</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Mutual funds</w:t>
            </w:r>
          </w:p>
        </w:tc>
        <w:tc>
          <w:tcPr>
            <w:tcW w:w="360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701,437,101</w:t>
            </w:r>
          </w:p>
        </w:tc>
        <w:tc>
          <w:tcPr>
            <w:tcW w:w="420" w:type="dxa"/>
            <w:vAlign w:val="bottom"/>
          </w:tcPr>
          <w:p>
            <w:pPr>
              <w:spacing w:after="0"/>
              <w:rPr>
                <w:sz w:val="17"/>
                <w:szCs w:val="17"/>
                <w:color w:val="auto"/>
              </w:rPr>
            </w:pP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701,437,101</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Self-directed brokerage account</w:t>
            </w:r>
          </w:p>
        </w:tc>
        <w:tc>
          <w:tcPr>
            <w:tcW w:w="360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59,786,588</w:t>
            </w:r>
          </w:p>
        </w:tc>
        <w:tc>
          <w:tcPr>
            <w:tcW w:w="4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59,786,588</w:t>
            </w:r>
          </w:p>
        </w:tc>
      </w:tr>
      <w:tr>
        <w:trPr>
          <w:trHeight w:val="202"/>
        </w:trPr>
        <w:tc>
          <w:tcPr>
            <w:tcW w:w="4040" w:type="dxa"/>
            <w:vAlign w:val="bottom"/>
          </w:tcPr>
          <w:p>
            <w:pPr>
              <w:spacing w:after="0" w:line="202" w:lineRule="exact"/>
              <w:rPr>
                <w:sz w:val="20"/>
                <w:szCs w:val="20"/>
                <w:color w:val="auto"/>
              </w:rPr>
            </w:pPr>
            <w:r>
              <w:rPr>
                <w:rFonts w:ascii="Arial" w:cs="Arial" w:eastAsia="Arial" w:hAnsi="Arial"/>
                <w:sz w:val="18"/>
                <w:szCs w:val="18"/>
                <w:color w:val="auto"/>
              </w:rPr>
              <w:t>Interest-bearing cash</w:t>
            </w:r>
          </w:p>
        </w:tc>
        <w:tc>
          <w:tcPr>
            <w:tcW w:w="360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172,172</w:t>
            </w:r>
          </w:p>
        </w:tc>
        <w:tc>
          <w:tcPr>
            <w:tcW w:w="420" w:type="dxa"/>
            <w:vAlign w:val="bottom"/>
          </w:tcPr>
          <w:p>
            <w:pPr>
              <w:spacing w:after="0"/>
              <w:rPr>
                <w:sz w:val="17"/>
                <w:szCs w:val="17"/>
                <w:color w:val="auto"/>
              </w:rPr>
            </w:pP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172,172</w:t>
            </w:r>
          </w:p>
        </w:tc>
      </w:tr>
      <w:tr>
        <w:trPr>
          <w:trHeight w:val="203"/>
        </w:trPr>
        <w:tc>
          <w:tcPr>
            <w:tcW w:w="404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Stable value collective trust</w:t>
            </w:r>
          </w:p>
        </w:tc>
        <w:tc>
          <w:tcPr>
            <w:tcW w:w="36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21,948,629</w:t>
            </w:r>
          </w:p>
        </w:tc>
        <w:tc>
          <w:tcPr>
            <w:tcW w:w="4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21,948,629</w:t>
            </w:r>
          </w:p>
        </w:tc>
      </w:tr>
      <w:tr>
        <w:trPr>
          <w:trHeight w:val="196"/>
        </w:trPr>
        <w:tc>
          <w:tcPr>
            <w:tcW w:w="404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Total investments at fair value</w:t>
            </w:r>
          </w:p>
        </w:tc>
        <w:tc>
          <w:tcPr>
            <w:tcW w:w="3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917,364,518</w:t>
            </w:r>
          </w:p>
        </w:tc>
        <w:tc>
          <w:tcPr>
            <w:tcW w:w="4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917,364,518</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75"/>
        </w:trPr>
        <w:tc>
          <w:tcPr>
            <w:tcW w:w="4040" w:type="dxa"/>
            <w:vAlign w:val="bottom"/>
            <w:tcBorders>
              <w:bottom w:val="single" w:sz="8" w:color="auto"/>
            </w:tcBorders>
          </w:tcPr>
          <w:p>
            <w:pPr>
              <w:spacing w:after="0"/>
              <w:rPr>
                <w:sz w:val="6"/>
                <w:szCs w:val="6"/>
                <w:color w:val="auto"/>
              </w:rPr>
            </w:pPr>
          </w:p>
        </w:tc>
        <w:tc>
          <w:tcPr>
            <w:tcW w:w="36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177"/>
        </w:trPr>
        <w:tc>
          <w:tcPr>
            <w:tcW w:w="40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720" w:type="dxa"/>
            <w:vAlign w:val="bottom"/>
          </w:tcPr>
          <w:p>
            <w:pPr>
              <w:jc w:val="center"/>
              <w:ind w:right="230"/>
              <w:spacing w:after="0" w:line="177" w:lineRule="exact"/>
              <w:rPr>
                <w:sz w:val="20"/>
                <w:szCs w:val="20"/>
                <w:color w:val="auto"/>
              </w:rPr>
            </w:pPr>
            <w:r>
              <w:rPr>
                <w:rFonts w:ascii="Arial" w:cs="Arial" w:eastAsia="Arial" w:hAnsi="Arial"/>
                <w:sz w:val="18"/>
                <w:szCs w:val="18"/>
                <w:b w:val="1"/>
                <w:bCs w:val="1"/>
                <w:color w:val="auto"/>
                <w:w w:val="99"/>
              </w:rPr>
              <w:t>December 31,</w:t>
            </w: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21"/>
        </w:trPr>
        <w:tc>
          <w:tcPr>
            <w:tcW w:w="40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2024</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1</w:t>
            </w: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w:t>
            </w:r>
          </w:p>
        </w:tc>
        <w:tc>
          <w:tcPr>
            <w:tcW w:w="36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136,959,515</w:t>
            </w:r>
          </w:p>
        </w:tc>
        <w:tc>
          <w:tcPr>
            <w:tcW w:w="4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136,959,515</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Mutual funds</w:t>
            </w:r>
          </w:p>
        </w:tc>
        <w:tc>
          <w:tcPr>
            <w:tcW w:w="3600" w:type="dxa"/>
            <w:vAlign w:val="bottom"/>
          </w:tcPr>
          <w:p>
            <w:pPr>
              <w:spacing w:after="0"/>
              <w:rPr>
                <w:sz w:val="17"/>
                <w:szCs w:val="17"/>
                <w:color w:val="auto"/>
              </w:rPr>
            </w:pPr>
          </w:p>
        </w:tc>
        <w:tc>
          <w:tcPr>
            <w:tcW w:w="1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607,762,363</w:t>
            </w:r>
          </w:p>
        </w:tc>
        <w:tc>
          <w:tcPr>
            <w:tcW w:w="420" w:type="dxa"/>
            <w:vAlign w:val="bottom"/>
          </w:tcPr>
          <w:p>
            <w:pPr>
              <w:spacing w:after="0"/>
              <w:rPr>
                <w:sz w:val="17"/>
                <w:szCs w:val="17"/>
                <w:color w:val="auto"/>
              </w:rPr>
            </w:pP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607,762,363</w:t>
            </w: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Self-directed brokerage account</w:t>
            </w:r>
          </w:p>
        </w:tc>
        <w:tc>
          <w:tcPr>
            <w:tcW w:w="360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48,225,625</w:t>
            </w:r>
          </w:p>
        </w:tc>
        <w:tc>
          <w:tcPr>
            <w:tcW w:w="4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48,225,625</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Interest-bearing cash</w:t>
            </w:r>
          </w:p>
        </w:tc>
        <w:tc>
          <w:tcPr>
            <w:tcW w:w="3600" w:type="dxa"/>
            <w:vAlign w:val="bottom"/>
          </w:tcPr>
          <w:p>
            <w:pPr>
              <w:spacing w:after="0"/>
              <w:rPr>
                <w:sz w:val="17"/>
                <w:szCs w:val="17"/>
                <w:color w:val="auto"/>
              </w:rPr>
            </w:pPr>
          </w:p>
        </w:tc>
        <w:tc>
          <w:tcPr>
            <w:tcW w:w="1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167,919</w:t>
            </w:r>
          </w:p>
        </w:tc>
        <w:tc>
          <w:tcPr>
            <w:tcW w:w="420" w:type="dxa"/>
            <w:vAlign w:val="bottom"/>
          </w:tcPr>
          <w:p>
            <w:pPr>
              <w:spacing w:after="0"/>
              <w:rPr>
                <w:sz w:val="17"/>
                <w:szCs w:val="17"/>
                <w:color w:val="auto"/>
              </w:rPr>
            </w:pP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167,919</w:t>
            </w:r>
          </w:p>
        </w:tc>
      </w:tr>
      <w:tr>
        <w:trPr>
          <w:trHeight w:val="203"/>
        </w:trPr>
        <w:tc>
          <w:tcPr>
            <w:tcW w:w="404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Stable value collective trust</w:t>
            </w:r>
          </w:p>
        </w:tc>
        <w:tc>
          <w:tcPr>
            <w:tcW w:w="36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27,649,926</w:t>
            </w:r>
          </w:p>
        </w:tc>
        <w:tc>
          <w:tcPr>
            <w:tcW w:w="4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27,649,926</w:t>
            </w:r>
          </w:p>
        </w:tc>
      </w:tr>
      <w:tr>
        <w:trPr>
          <w:trHeight w:val="196"/>
        </w:trPr>
        <w:tc>
          <w:tcPr>
            <w:tcW w:w="404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Total investments at fair value</w:t>
            </w:r>
          </w:p>
        </w:tc>
        <w:tc>
          <w:tcPr>
            <w:tcW w:w="3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820,765,348</w:t>
            </w:r>
          </w:p>
        </w:tc>
        <w:tc>
          <w:tcPr>
            <w:tcW w:w="4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820,765,348</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16"/>
        </w:trPr>
        <w:tc>
          <w:tcPr>
            <w:tcW w:w="4040" w:type="dxa"/>
            <w:vAlign w:val="bottom"/>
          </w:tcPr>
          <w:p>
            <w:pPr>
              <w:spacing w:after="0"/>
              <w:rPr>
                <w:sz w:val="24"/>
                <w:szCs w:val="24"/>
                <w:color w:val="auto"/>
              </w:rPr>
            </w:pPr>
          </w:p>
        </w:tc>
        <w:tc>
          <w:tcPr>
            <w:tcW w:w="3600" w:type="dxa"/>
            <w:vAlign w:val="bottom"/>
          </w:tcPr>
          <w:p>
            <w:pPr>
              <w:jc w:val="right"/>
              <w:ind w:right="1830"/>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45"/>
        </w:trPr>
        <w:tc>
          <w:tcPr>
            <w:tcW w:w="40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Status</w:t>
      </w:r>
    </w:p>
    <w:p>
      <w:pPr>
        <w:spacing w:after="0" w:line="198"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The Company received a favorable determination letter dated August 12, 2014, which stated that the Plan is qualified under Section 401(a) of the Code; therefore, the related trust is exempt from taxation. Subsequent to the issuance of the determination letter, the Plan was amended and restated. To maintain its qualified status, the Plan is required to operate in conformity with the Code. The Plan's administrator believes the Plan, as amended and restated, is being operated in compliance with the applicable requirements of the Code.</w:t>
      </w:r>
    </w:p>
    <w:p>
      <w:pPr>
        <w:spacing w:after="0" w:line="160"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At December 31, 2025, the Plan had no unrecognized tax benefits related to uncertain tax positions. The Plan recognizes interest related to unrecognized tax benefits in interest expense and recognizes penalties in other expense, of which there were none for 2025. The Plan is subject to routine audits by taxing jurisdictions; however, there are currently no audits for any tax periods in progress.</w:t>
      </w:r>
    </w:p>
    <w:p>
      <w:pPr>
        <w:spacing w:after="0" w:line="16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and Party-in-Interest Transactions</w:t>
      </w:r>
    </w:p>
    <w:p>
      <w:pPr>
        <w:spacing w:after="0" w:line="198"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Certain Plan investments are in mutual funds, interest-bearing cash and a collective trust managed by Fidelity. Fidelity also serves as the Trustee of the Plan; therefore, Plan transactions involving these mutual funds, interest-bearing cash or collective trust qualify as party-in-interest transactions under ERISA and the Code. Additionally, a portion of the Plan's assets are invested in the Company's common stock. Because the Company is the Plan sponsor, Plan transactions involving the Company's common stock qualify as party-in-interest transactions. Finally, the engagement of Strategic Advisers, Inc. to provide investment management services under the managed account option and its investment in mutual funds and a collective trust managed by Fidelity are party-in-interest transactions under ERISA and the Code because Strategic Advisers, Inc. is an affiliate of the Trustee. The Plan also holds receivables from participants. These transactions qualify as party-in-interest transactions. All of the foregoing transactions are exempt from the prohibited transaction rules of ERISA and the Code under statutory or governmental agency exemptions.</w:t>
      </w:r>
    </w:p>
    <w:p>
      <w:pPr>
        <w:spacing w:after="0" w:line="183"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As of December 31, 2025 and 2024, The Vanguard Group held approximately 10 percent and 11 percent, respectively, of the Company’s outstanding shares of common stock. As of both December 31, 2025 and 2024, BlackRock, Inc. held approximately 12 percent of the Company’s outstanding shares of common stock. Both The Vanguard Group and BlackRock, Inc. are considered related parties to the Plan. Within the self-directed brokerage account, the Plan held $5.5 million and $2.6 million in The Vanguard Group funds as of December 31, 2025 and 2024, respectively, and held approximately $18,000 and $15,000 in BlackRock, Inc. funds as of December 31, 2025 and 2024,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left="4360"/>
        <w:spacing w:after="0"/>
        <w:rPr>
          <w:sz w:val="20"/>
          <w:szCs w:val="20"/>
          <w:color w:val="auto"/>
        </w:rPr>
      </w:pPr>
      <w:r>
        <w:rPr>
          <w:rFonts w:ascii="Arial" w:cs="Arial" w:eastAsia="Arial" w:hAnsi="Arial"/>
          <w:sz w:val="18"/>
          <w:szCs w:val="18"/>
          <w:b w:val="1"/>
          <w:bCs w:val="1"/>
          <w:color w:val="auto"/>
        </w:rPr>
        <w:t>SUPPLEMENTAL SCHEDULE</w:t>
      </w:r>
    </w:p>
    <w:p>
      <w:pPr>
        <w:spacing w:after="0" w:line="19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OGE ENERGY CORP.</w:t>
      </w:r>
    </w:p>
    <w:p>
      <w:pPr>
        <w:spacing w:after="0" w:line="1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EMPLOYEES' STOCK OWNERSHIP AND RETIREMENT SAVINGS PLAN</w:t>
      </w:r>
    </w:p>
    <w:p>
      <w:pPr>
        <w:spacing w:after="0" w:line="180"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EMPLOYER IDENTIFICATION NUMBER: 73-1481638</w:t>
      </w:r>
    </w:p>
    <w:p>
      <w:pPr>
        <w:jc w:val="center"/>
        <w:spacing w:after="0"/>
        <w:rPr>
          <w:sz w:val="20"/>
          <w:szCs w:val="20"/>
          <w:color w:val="auto"/>
        </w:rPr>
      </w:pPr>
      <w:r>
        <w:rPr>
          <w:rFonts w:ascii="Arial" w:cs="Arial" w:eastAsia="Arial" w:hAnsi="Arial"/>
          <w:sz w:val="18"/>
          <w:szCs w:val="18"/>
          <w:b w:val="1"/>
          <w:bCs w:val="1"/>
          <w:color w:val="auto"/>
        </w:rPr>
        <w:t>PLAN NUMBER: 003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0" w:type="dxa"/>
            <w:vAlign w:val="bottom"/>
            <w:tcBorders>
              <w:top w:val="single" w:sz="8" w:color="auto"/>
            </w:tcBorders>
          </w:tcPr>
          <w:p>
            <w:pPr>
              <w:jc w:val="right"/>
              <w:ind w:right="50"/>
              <w:spacing w:after="0" w:line="177" w:lineRule="exact"/>
              <w:rPr>
                <w:sz w:val="20"/>
                <w:szCs w:val="20"/>
                <w:color w:val="auto"/>
              </w:rPr>
            </w:pPr>
            <w:r>
              <w:rPr>
                <w:rFonts w:ascii="Arial" w:cs="Arial" w:eastAsia="Arial" w:hAnsi="Arial"/>
                <w:sz w:val="18"/>
                <w:szCs w:val="18"/>
                <w:b w:val="1"/>
                <w:bCs w:val="1"/>
                <w:color w:val="auto"/>
              </w:rPr>
              <w:t>(a)</w:t>
            </w:r>
          </w:p>
        </w:tc>
        <w:tc>
          <w:tcPr>
            <w:tcW w:w="2360" w:type="dxa"/>
            <w:vAlign w:val="bottom"/>
            <w:tcBorders>
              <w:top w:val="single" w:sz="8" w:color="auto"/>
            </w:tcBorders>
          </w:tcPr>
          <w:p>
            <w:pPr>
              <w:ind w:left="1180"/>
              <w:spacing w:after="0" w:line="177" w:lineRule="exact"/>
              <w:rPr>
                <w:sz w:val="20"/>
                <w:szCs w:val="20"/>
                <w:color w:val="auto"/>
              </w:rPr>
            </w:pPr>
            <w:r>
              <w:rPr>
                <w:rFonts w:ascii="Arial" w:cs="Arial" w:eastAsia="Arial" w:hAnsi="Arial"/>
                <w:sz w:val="18"/>
                <w:szCs w:val="18"/>
                <w:b w:val="1"/>
                <w:bCs w:val="1"/>
                <w:color w:val="auto"/>
              </w:rPr>
              <w:t>(b)</w:t>
            </w:r>
          </w:p>
        </w:tc>
        <w:tc>
          <w:tcPr>
            <w:tcW w:w="5940" w:type="dxa"/>
            <w:vAlign w:val="bottom"/>
            <w:tcBorders>
              <w:top w:val="single" w:sz="8" w:color="auto"/>
            </w:tcBorders>
          </w:tcPr>
          <w:p>
            <w:pPr>
              <w:ind w:left="3080"/>
              <w:spacing w:after="0" w:line="177" w:lineRule="exact"/>
              <w:rPr>
                <w:sz w:val="20"/>
                <w:szCs w:val="20"/>
                <w:color w:val="auto"/>
              </w:rPr>
            </w:pPr>
            <w:r>
              <w:rPr>
                <w:rFonts w:ascii="Arial" w:cs="Arial" w:eastAsia="Arial" w:hAnsi="Arial"/>
                <w:sz w:val="18"/>
                <w:szCs w:val="18"/>
                <w:b w:val="1"/>
                <w:bCs w:val="1"/>
                <w:color w:val="auto"/>
              </w:rPr>
              <w:t>(c)</w:t>
            </w:r>
          </w:p>
        </w:tc>
        <w:tc>
          <w:tcPr>
            <w:tcW w:w="920" w:type="dxa"/>
            <w:vAlign w:val="bottom"/>
            <w:tcBorders>
              <w:top w:val="single" w:sz="8" w:color="auto"/>
            </w:tcBorders>
          </w:tcPr>
          <w:p>
            <w:pPr>
              <w:jc w:val="right"/>
              <w:ind w:right="170"/>
              <w:spacing w:after="0" w:line="177" w:lineRule="exact"/>
              <w:rPr>
                <w:sz w:val="20"/>
                <w:szCs w:val="20"/>
                <w:color w:val="auto"/>
              </w:rPr>
            </w:pPr>
            <w:r>
              <w:rPr>
                <w:rFonts w:ascii="Arial" w:cs="Arial" w:eastAsia="Arial" w:hAnsi="Arial"/>
                <w:sz w:val="18"/>
                <w:szCs w:val="18"/>
                <w:b w:val="1"/>
                <w:bCs w:val="1"/>
                <w:color w:val="auto"/>
              </w:rPr>
              <w:t>(d)</w:t>
            </w: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70"/>
              <w:spacing w:after="0" w:line="177" w:lineRule="exact"/>
              <w:rPr>
                <w:sz w:val="20"/>
                <w:szCs w:val="20"/>
                <w:color w:val="auto"/>
              </w:rPr>
            </w:pPr>
            <w:r>
              <w:rPr>
                <w:rFonts w:ascii="Arial" w:cs="Arial" w:eastAsia="Arial" w:hAnsi="Arial"/>
                <w:sz w:val="18"/>
                <w:szCs w:val="18"/>
                <w:b w:val="1"/>
                <w:bCs w:val="1"/>
                <w:color w:val="auto"/>
              </w:rPr>
              <w:t>(e)</w:t>
            </w:r>
          </w:p>
        </w:tc>
      </w:tr>
      <w:tr>
        <w:trPr>
          <w:trHeight w:val="221"/>
        </w:trPr>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Issuer</w:t>
            </w:r>
          </w:p>
        </w:tc>
        <w:tc>
          <w:tcPr>
            <w:tcW w:w="594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Description of Investment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Cost</w:t>
            </w:r>
          </w:p>
        </w:tc>
        <w:tc>
          <w:tcPr>
            <w:tcW w:w="15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Current Value</w:t>
            </w:r>
          </w:p>
        </w:tc>
      </w:tr>
      <w:tr>
        <w:trPr>
          <w:trHeight w:val="196"/>
        </w:trPr>
        <w:tc>
          <w:tcPr>
            <w:tcW w:w="46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84"/>
              </w:rPr>
              <w:t>*</w:t>
            </w:r>
          </w:p>
        </w:tc>
        <w:tc>
          <w:tcPr>
            <w:tcW w:w="23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OGE Energy Corp.</w:t>
            </w:r>
          </w:p>
        </w:tc>
        <w:tc>
          <w:tcPr>
            <w:tcW w:w="594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Common stock, $0.01 par value</w:t>
            </w:r>
          </w:p>
        </w:tc>
        <w:tc>
          <w:tcPr>
            <w:tcW w:w="9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134,020,028</w:t>
            </w:r>
          </w:p>
        </w:tc>
      </w:tr>
      <w:tr>
        <w:trPr>
          <w:trHeight w:val="216"/>
        </w:trPr>
        <w:tc>
          <w:tcPr>
            <w:tcW w:w="46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American Funds</w:t>
            </w:r>
          </w:p>
        </w:tc>
        <w:tc>
          <w:tcPr>
            <w:tcW w:w="5940" w:type="dxa"/>
            <w:vAlign w:val="bottom"/>
          </w:tcPr>
          <w:p>
            <w:pPr>
              <w:ind w:left="300"/>
              <w:spacing w:after="0"/>
              <w:rPr>
                <w:sz w:val="20"/>
                <w:szCs w:val="20"/>
                <w:color w:val="auto"/>
              </w:rPr>
            </w:pPr>
            <w:r>
              <w:rPr>
                <w:rFonts w:ascii="Arial" w:cs="Arial" w:eastAsia="Arial" w:hAnsi="Arial"/>
                <w:sz w:val="18"/>
                <w:szCs w:val="18"/>
                <w:color w:val="auto"/>
              </w:rPr>
              <w:t>EuroPacific Growth Fund (Class R6), mutual fund</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17,308,439</w:t>
            </w:r>
          </w:p>
        </w:tc>
      </w:tr>
      <w:tr>
        <w:trPr>
          <w:trHeight w:val="216"/>
        </w:trPr>
        <w:tc>
          <w:tcPr>
            <w:tcW w:w="460" w:type="dxa"/>
            <w:vAlign w:val="bottom"/>
            <w:shd w:val="clear" w:color="auto" w:fill="CFF0FC"/>
          </w:tcPr>
          <w:p>
            <w:pPr>
              <w:spacing w:after="0"/>
              <w:rPr>
                <w:sz w:val="18"/>
                <w:szCs w:val="18"/>
                <w:color w:val="auto"/>
              </w:rPr>
            </w:pPr>
          </w:p>
        </w:tc>
        <w:tc>
          <w:tcPr>
            <w:tcW w:w="23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American Funds</w:t>
            </w:r>
          </w:p>
        </w:tc>
        <w:tc>
          <w:tcPr>
            <w:tcW w:w="59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American Mutual Fund (Class R6), mutual fund</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15,254,875</w:t>
            </w:r>
          </w:p>
        </w:tc>
      </w:tr>
      <w:tr>
        <w:trPr>
          <w:trHeight w:val="216"/>
        </w:trPr>
        <w:tc>
          <w:tcPr>
            <w:tcW w:w="46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Conestoga</w:t>
            </w:r>
          </w:p>
        </w:tc>
        <w:tc>
          <w:tcPr>
            <w:tcW w:w="5940" w:type="dxa"/>
            <w:vAlign w:val="bottom"/>
          </w:tcPr>
          <w:p>
            <w:pPr>
              <w:ind w:left="300"/>
              <w:spacing w:after="0"/>
              <w:rPr>
                <w:sz w:val="20"/>
                <w:szCs w:val="20"/>
                <w:color w:val="auto"/>
              </w:rPr>
            </w:pPr>
            <w:r>
              <w:rPr>
                <w:rFonts w:ascii="Arial" w:cs="Arial" w:eastAsia="Arial" w:hAnsi="Arial"/>
                <w:sz w:val="18"/>
                <w:szCs w:val="18"/>
                <w:color w:val="auto"/>
              </w:rPr>
              <w:t>Conestoga Small Cap Stock Fund, mutual fund</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4,957,117</w:t>
            </w:r>
          </w:p>
        </w:tc>
      </w:tr>
      <w:tr>
        <w:trPr>
          <w:trHeight w:val="203"/>
        </w:trPr>
        <w:tc>
          <w:tcPr>
            <w:tcW w:w="46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Blue Chip Growth Fund (Class K6),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109,602,344</w:t>
            </w:r>
          </w:p>
        </w:tc>
      </w:tr>
      <w:tr>
        <w:trPr>
          <w:trHeight w:val="203"/>
        </w:trPr>
        <w:tc>
          <w:tcPr>
            <w:tcW w:w="46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BrokerageLink®, self-directed brokerage account</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59,786,588</w:t>
            </w:r>
          </w:p>
        </w:tc>
      </w:tr>
      <w:tr>
        <w:trPr>
          <w:trHeight w:val="203"/>
        </w:trPr>
        <w:tc>
          <w:tcPr>
            <w:tcW w:w="46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Contrafund (Class K6),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103,655,237</w:t>
            </w:r>
          </w:p>
        </w:tc>
      </w:tr>
      <w:tr>
        <w:trPr>
          <w:trHeight w:val="203"/>
        </w:trPr>
        <w:tc>
          <w:tcPr>
            <w:tcW w:w="46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Freedom K® Income Fund (Class K6),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3,840</w:t>
            </w:r>
          </w:p>
        </w:tc>
      </w:tr>
      <w:tr>
        <w:trPr>
          <w:trHeight w:val="203"/>
        </w:trPr>
        <w:tc>
          <w:tcPr>
            <w:tcW w:w="46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Freedom K® Retirement Fund (Class K6),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3,551</w:t>
            </w:r>
          </w:p>
        </w:tc>
      </w:tr>
      <w:tr>
        <w:trPr>
          <w:trHeight w:val="203"/>
        </w:trPr>
        <w:tc>
          <w:tcPr>
            <w:tcW w:w="460" w:type="dxa"/>
            <w:vAlign w:val="bottom"/>
          </w:tcPr>
          <w:p>
            <w:pPr>
              <w:spacing w:after="0"/>
              <w:rPr>
                <w:sz w:val="17"/>
                <w:szCs w:val="17"/>
                <w:color w:val="auto"/>
              </w:rPr>
            </w:pP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2010 Target Date Retirement Fund (Class R6),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1,803,997</w:t>
            </w:r>
          </w:p>
        </w:tc>
      </w:tr>
      <w:tr>
        <w:trPr>
          <w:trHeight w:val="203"/>
        </w:trPr>
        <w:tc>
          <w:tcPr>
            <w:tcW w:w="460" w:type="dxa"/>
            <w:vAlign w:val="bottom"/>
            <w:shd w:val="clear" w:color="auto" w:fill="CFF0FC"/>
          </w:tcPr>
          <w:p>
            <w:pPr>
              <w:spacing w:after="0"/>
              <w:rPr>
                <w:sz w:val="17"/>
                <w:szCs w:val="17"/>
                <w:color w:val="auto"/>
              </w:rPr>
            </w:pP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2015 Target Date Retirement Fund (Class R6),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1,841,698</w:t>
            </w:r>
          </w:p>
        </w:tc>
      </w:tr>
      <w:tr>
        <w:trPr>
          <w:trHeight w:val="203"/>
        </w:trPr>
        <w:tc>
          <w:tcPr>
            <w:tcW w:w="460" w:type="dxa"/>
            <w:vAlign w:val="bottom"/>
          </w:tcPr>
          <w:p>
            <w:pPr>
              <w:spacing w:after="0"/>
              <w:rPr>
                <w:sz w:val="17"/>
                <w:szCs w:val="17"/>
                <w:color w:val="auto"/>
              </w:rPr>
            </w:pP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2020 Target Date Retirement Fund (Class R6),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6,824,335</w:t>
            </w:r>
          </w:p>
        </w:tc>
      </w:tr>
      <w:tr>
        <w:trPr>
          <w:trHeight w:val="203"/>
        </w:trPr>
        <w:tc>
          <w:tcPr>
            <w:tcW w:w="460" w:type="dxa"/>
            <w:vAlign w:val="bottom"/>
            <w:shd w:val="clear" w:color="auto" w:fill="CFF0FC"/>
          </w:tcPr>
          <w:p>
            <w:pPr>
              <w:spacing w:after="0"/>
              <w:rPr>
                <w:sz w:val="17"/>
                <w:szCs w:val="17"/>
                <w:color w:val="auto"/>
              </w:rPr>
            </w:pP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2025 Target Date Retirement Fund (Class R6),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11,867,908</w:t>
            </w:r>
          </w:p>
        </w:tc>
      </w:tr>
      <w:tr>
        <w:trPr>
          <w:trHeight w:val="203"/>
        </w:trPr>
        <w:tc>
          <w:tcPr>
            <w:tcW w:w="460" w:type="dxa"/>
            <w:vAlign w:val="bottom"/>
          </w:tcPr>
          <w:p>
            <w:pPr>
              <w:spacing w:after="0"/>
              <w:rPr>
                <w:sz w:val="17"/>
                <w:szCs w:val="17"/>
                <w:color w:val="auto"/>
              </w:rPr>
            </w:pP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2030 Target Date Retirement Fund (Class R6),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30,067,794</w:t>
            </w:r>
          </w:p>
        </w:tc>
      </w:tr>
      <w:tr>
        <w:trPr>
          <w:trHeight w:val="203"/>
        </w:trPr>
        <w:tc>
          <w:tcPr>
            <w:tcW w:w="460" w:type="dxa"/>
            <w:vAlign w:val="bottom"/>
            <w:shd w:val="clear" w:color="auto" w:fill="CFF0FC"/>
          </w:tcPr>
          <w:p>
            <w:pPr>
              <w:spacing w:after="0"/>
              <w:rPr>
                <w:sz w:val="17"/>
                <w:szCs w:val="17"/>
                <w:color w:val="auto"/>
              </w:rPr>
            </w:pP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2035 Target Date Retirement Fund (Class R6),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31,961,720</w:t>
            </w:r>
          </w:p>
        </w:tc>
      </w:tr>
      <w:tr>
        <w:trPr>
          <w:trHeight w:val="202"/>
        </w:trPr>
        <w:tc>
          <w:tcPr>
            <w:tcW w:w="460" w:type="dxa"/>
            <w:vAlign w:val="bottom"/>
          </w:tcPr>
          <w:p>
            <w:pPr>
              <w:spacing w:after="0"/>
              <w:rPr>
                <w:sz w:val="17"/>
                <w:szCs w:val="17"/>
                <w:color w:val="auto"/>
              </w:rPr>
            </w:pP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2040 Target Date Retirement Fund (Class R6),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37,788,677</w:t>
            </w:r>
          </w:p>
        </w:tc>
      </w:tr>
      <w:tr>
        <w:trPr>
          <w:trHeight w:val="203"/>
        </w:trPr>
        <w:tc>
          <w:tcPr>
            <w:tcW w:w="460" w:type="dxa"/>
            <w:vAlign w:val="bottom"/>
            <w:shd w:val="clear" w:color="auto" w:fill="CFF0FC"/>
          </w:tcPr>
          <w:p>
            <w:pPr>
              <w:spacing w:after="0"/>
              <w:rPr>
                <w:sz w:val="17"/>
                <w:szCs w:val="17"/>
                <w:color w:val="auto"/>
              </w:rPr>
            </w:pP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2045 Target Date Retirement Fund (Class R6),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34,760,691</w:t>
            </w:r>
          </w:p>
        </w:tc>
      </w:tr>
      <w:tr>
        <w:trPr>
          <w:trHeight w:val="203"/>
        </w:trPr>
        <w:tc>
          <w:tcPr>
            <w:tcW w:w="460" w:type="dxa"/>
            <w:vAlign w:val="bottom"/>
          </w:tcPr>
          <w:p>
            <w:pPr>
              <w:spacing w:after="0"/>
              <w:rPr>
                <w:sz w:val="17"/>
                <w:szCs w:val="17"/>
                <w:color w:val="auto"/>
              </w:rPr>
            </w:pP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2050 Target Date Retirement Fund (Class R6),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34,074,073</w:t>
            </w:r>
          </w:p>
        </w:tc>
      </w:tr>
      <w:tr>
        <w:trPr>
          <w:trHeight w:val="203"/>
        </w:trPr>
        <w:tc>
          <w:tcPr>
            <w:tcW w:w="460" w:type="dxa"/>
            <w:vAlign w:val="bottom"/>
            <w:shd w:val="clear" w:color="auto" w:fill="CFF0FC"/>
          </w:tcPr>
          <w:p>
            <w:pPr>
              <w:spacing w:after="0"/>
              <w:rPr>
                <w:sz w:val="17"/>
                <w:szCs w:val="17"/>
                <w:color w:val="auto"/>
              </w:rPr>
            </w:pP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2055 Target Date Retirement Fund (Class R6),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26,357,129</w:t>
            </w:r>
          </w:p>
        </w:tc>
      </w:tr>
      <w:tr>
        <w:trPr>
          <w:trHeight w:val="203"/>
        </w:trPr>
        <w:tc>
          <w:tcPr>
            <w:tcW w:w="460" w:type="dxa"/>
            <w:vAlign w:val="bottom"/>
          </w:tcPr>
          <w:p>
            <w:pPr>
              <w:spacing w:after="0"/>
              <w:rPr>
                <w:sz w:val="17"/>
                <w:szCs w:val="17"/>
                <w:color w:val="auto"/>
              </w:rPr>
            </w:pP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2060 Target Date Retirement Fund (Class R6),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14,796,899</w:t>
            </w:r>
          </w:p>
        </w:tc>
      </w:tr>
      <w:tr>
        <w:trPr>
          <w:trHeight w:val="203"/>
        </w:trPr>
        <w:tc>
          <w:tcPr>
            <w:tcW w:w="460" w:type="dxa"/>
            <w:vAlign w:val="bottom"/>
            <w:shd w:val="clear" w:color="auto" w:fill="CFF0FC"/>
          </w:tcPr>
          <w:p>
            <w:pPr>
              <w:spacing w:after="0"/>
              <w:rPr>
                <w:sz w:val="17"/>
                <w:szCs w:val="17"/>
                <w:color w:val="auto"/>
              </w:rPr>
            </w:pP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2065 Target Date Retirement Fund (Class R6),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6,216,818</w:t>
            </w:r>
          </w:p>
        </w:tc>
      </w:tr>
      <w:tr>
        <w:trPr>
          <w:trHeight w:val="203"/>
        </w:trPr>
        <w:tc>
          <w:tcPr>
            <w:tcW w:w="460" w:type="dxa"/>
            <w:vAlign w:val="bottom"/>
          </w:tcPr>
          <w:p>
            <w:pPr>
              <w:spacing w:after="0"/>
              <w:rPr>
                <w:sz w:val="17"/>
                <w:szCs w:val="17"/>
                <w:color w:val="auto"/>
              </w:rPr>
            </w:pP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American Funds</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2070 Target Date Retirement Fund (Class R6),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246,568</w:t>
            </w:r>
          </w:p>
        </w:tc>
      </w:tr>
      <w:tr>
        <w:trPr>
          <w:trHeight w:val="203"/>
        </w:trPr>
        <w:tc>
          <w:tcPr>
            <w:tcW w:w="46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Low-Priced Stock Fund (Class K),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10,719,550</w:t>
            </w:r>
          </w:p>
        </w:tc>
      </w:tr>
      <w:tr>
        <w:trPr>
          <w:trHeight w:val="203"/>
        </w:trPr>
        <w:tc>
          <w:tcPr>
            <w:tcW w:w="46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Managed Income Portfolio II, collective trust</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21,948,629</w:t>
            </w:r>
          </w:p>
        </w:tc>
      </w:tr>
      <w:tr>
        <w:trPr>
          <w:trHeight w:val="203"/>
        </w:trPr>
        <w:tc>
          <w:tcPr>
            <w:tcW w:w="46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Retirement Money Market, interest-bearing cash</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172,172</w:t>
            </w:r>
          </w:p>
        </w:tc>
      </w:tr>
      <w:tr>
        <w:trPr>
          <w:trHeight w:val="203"/>
        </w:trPr>
        <w:tc>
          <w:tcPr>
            <w:tcW w:w="46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U.S. Bond Index Fund,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13,935,831</w:t>
            </w:r>
          </w:p>
        </w:tc>
      </w:tr>
      <w:tr>
        <w:trPr>
          <w:trHeight w:val="203"/>
        </w:trPr>
        <w:tc>
          <w:tcPr>
            <w:tcW w:w="46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Small Cap Index Fund,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770,852</w:t>
            </w:r>
          </w:p>
        </w:tc>
      </w:tr>
      <w:tr>
        <w:trPr>
          <w:trHeight w:val="203"/>
        </w:trPr>
        <w:tc>
          <w:tcPr>
            <w:tcW w:w="46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Mid Cap Index Fund,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14,568,176</w:t>
            </w:r>
          </w:p>
        </w:tc>
      </w:tr>
      <w:tr>
        <w:trPr>
          <w:trHeight w:val="203"/>
        </w:trPr>
        <w:tc>
          <w:tcPr>
            <w:tcW w:w="46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500 Index Fund,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73,994,931</w:t>
            </w:r>
          </w:p>
        </w:tc>
      </w:tr>
      <w:tr>
        <w:trPr>
          <w:trHeight w:val="203"/>
        </w:trPr>
        <w:tc>
          <w:tcPr>
            <w:tcW w:w="46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84"/>
              </w:rPr>
              <w:t>*</w:t>
            </w: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Fidelity Mgmt. Trust Co.</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Global ex U.S. Index Fund,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31,210,291</w:t>
            </w:r>
          </w:p>
        </w:tc>
      </w:tr>
      <w:tr>
        <w:trPr>
          <w:trHeight w:val="203"/>
        </w:trPr>
        <w:tc>
          <w:tcPr>
            <w:tcW w:w="460" w:type="dxa"/>
            <w:vAlign w:val="bottom"/>
            <w:shd w:val="clear" w:color="auto" w:fill="CFF0FC"/>
          </w:tcPr>
          <w:p>
            <w:pPr>
              <w:spacing w:after="0"/>
              <w:rPr>
                <w:sz w:val="17"/>
                <w:szCs w:val="17"/>
                <w:color w:val="auto"/>
              </w:rPr>
            </w:pP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Glenmede</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Small Cap Equity Portfolio (Institutional Class),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9,161,557</w:t>
            </w:r>
          </w:p>
        </w:tc>
      </w:tr>
      <w:tr>
        <w:trPr>
          <w:trHeight w:val="203"/>
        </w:trPr>
        <w:tc>
          <w:tcPr>
            <w:tcW w:w="460" w:type="dxa"/>
            <w:vAlign w:val="bottom"/>
          </w:tcPr>
          <w:p>
            <w:pPr>
              <w:spacing w:after="0"/>
              <w:rPr>
                <w:sz w:val="17"/>
                <w:szCs w:val="17"/>
                <w:color w:val="auto"/>
              </w:rPr>
            </w:pPr>
          </w:p>
        </w:tc>
        <w:tc>
          <w:tcPr>
            <w:tcW w:w="2360" w:type="dxa"/>
            <w:vAlign w:val="bottom"/>
          </w:tcPr>
          <w:p>
            <w:pPr>
              <w:ind w:left="160"/>
              <w:spacing w:after="0" w:line="202" w:lineRule="exact"/>
              <w:rPr>
                <w:sz w:val="20"/>
                <w:szCs w:val="20"/>
                <w:color w:val="auto"/>
              </w:rPr>
            </w:pPr>
            <w:r>
              <w:rPr>
                <w:rFonts w:ascii="Arial" w:cs="Arial" w:eastAsia="Arial" w:hAnsi="Arial"/>
                <w:sz w:val="18"/>
                <w:szCs w:val="18"/>
                <w:color w:val="auto"/>
              </w:rPr>
              <w:t>Loomis Sayles</w:t>
            </w:r>
          </w:p>
        </w:tc>
        <w:tc>
          <w:tcPr>
            <w:tcW w:w="5940" w:type="dxa"/>
            <w:vAlign w:val="bottom"/>
          </w:tcPr>
          <w:p>
            <w:pPr>
              <w:ind w:left="300"/>
              <w:spacing w:after="0" w:line="202" w:lineRule="exact"/>
              <w:rPr>
                <w:sz w:val="20"/>
                <w:szCs w:val="20"/>
                <w:color w:val="auto"/>
              </w:rPr>
            </w:pPr>
            <w:r>
              <w:rPr>
                <w:rFonts w:ascii="Arial" w:cs="Arial" w:eastAsia="Arial" w:hAnsi="Arial"/>
                <w:sz w:val="18"/>
                <w:szCs w:val="18"/>
                <w:color w:val="auto"/>
              </w:rPr>
              <w:t>Core Plus Bond Fund, mutual fund</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18,770,099</w:t>
            </w:r>
          </w:p>
        </w:tc>
      </w:tr>
      <w:tr>
        <w:trPr>
          <w:trHeight w:val="203"/>
        </w:trPr>
        <w:tc>
          <w:tcPr>
            <w:tcW w:w="460" w:type="dxa"/>
            <w:vAlign w:val="bottom"/>
            <w:shd w:val="clear" w:color="auto" w:fill="CFF0FC"/>
          </w:tcPr>
          <w:p>
            <w:pPr>
              <w:spacing w:after="0"/>
              <w:rPr>
                <w:sz w:val="17"/>
                <w:szCs w:val="17"/>
                <w:color w:val="auto"/>
              </w:rPr>
            </w:pP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 Rowe Price</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Mid Cap Growth Fund,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11,513,855</w:t>
            </w:r>
          </w:p>
        </w:tc>
      </w:tr>
      <w:tr>
        <w:trPr>
          <w:trHeight w:val="216"/>
        </w:trPr>
        <w:tc>
          <w:tcPr>
            <w:tcW w:w="46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Touchstone</w:t>
            </w:r>
          </w:p>
        </w:tc>
        <w:tc>
          <w:tcPr>
            <w:tcW w:w="5940" w:type="dxa"/>
            <w:vAlign w:val="bottom"/>
          </w:tcPr>
          <w:p>
            <w:pPr>
              <w:ind w:left="300"/>
              <w:spacing w:after="0"/>
              <w:rPr>
                <w:sz w:val="20"/>
                <w:szCs w:val="20"/>
                <w:color w:val="auto"/>
              </w:rPr>
            </w:pPr>
            <w:r>
              <w:rPr>
                <w:rFonts w:ascii="Arial" w:cs="Arial" w:eastAsia="Arial" w:hAnsi="Arial"/>
                <w:sz w:val="18"/>
                <w:szCs w:val="18"/>
                <w:color w:val="auto"/>
              </w:rPr>
              <w:t>Large Cap Fund, mutual fund</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19,056,586</w:t>
            </w:r>
          </w:p>
        </w:tc>
      </w:tr>
      <w:tr>
        <w:trPr>
          <w:trHeight w:val="203"/>
        </w:trPr>
        <w:tc>
          <w:tcPr>
            <w:tcW w:w="460" w:type="dxa"/>
            <w:vAlign w:val="bottom"/>
            <w:shd w:val="clear" w:color="auto" w:fill="CFF0FC"/>
          </w:tcPr>
          <w:p>
            <w:pPr>
              <w:spacing w:after="0"/>
              <w:rPr>
                <w:sz w:val="17"/>
                <w:szCs w:val="17"/>
                <w:color w:val="auto"/>
              </w:rPr>
            </w:pPr>
          </w:p>
        </w:tc>
        <w:tc>
          <w:tcPr>
            <w:tcW w:w="2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Victory</w:t>
            </w:r>
          </w:p>
        </w:tc>
        <w:tc>
          <w:tcPr>
            <w:tcW w:w="59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Sycamore Established Value Fund (Class R6), mutual fund</w:t>
            </w:r>
          </w:p>
        </w:tc>
        <w:tc>
          <w:tcPr>
            <w:tcW w:w="9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8,341,663</w:t>
            </w:r>
          </w:p>
        </w:tc>
      </w:tr>
      <w:tr>
        <w:trPr>
          <w:trHeight w:val="184"/>
        </w:trPr>
        <w:tc>
          <w:tcPr>
            <w:tcW w:w="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940" w:type="dxa"/>
            <w:vAlign w:val="bottom"/>
          </w:tcPr>
          <w:p>
            <w:pPr>
              <w:ind w:left="300"/>
              <w:spacing w:after="0" w:line="183" w:lineRule="exact"/>
              <w:rPr>
                <w:sz w:val="20"/>
                <w:szCs w:val="20"/>
                <w:color w:val="auto"/>
              </w:rPr>
            </w:pPr>
            <w:r>
              <w:rPr>
                <w:rFonts w:ascii="Arial" w:cs="Arial" w:eastAsia="Arial" w:hAnsi="Arial"/>
                <w:sz w:val="18"/>
                <w:szCs w:val="18"/>
                <w:color w:val="auto"/>
              </w:rPr>
              <w:t>Notes receivable from participants, with various maturity dates and</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1"/>
        </w:trPr>
        <w:tc>
          <w:tcPr>
            <w:tcW w:w="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w:t>
            </w:r>
          </w:p>
        </w:tc>
        <w:tc>
          <w:tcPr>
            <w:tcW w:w="2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Participants</w:t>
            </w:r>
          </w:p>
        </w:tc>
        <w:tc>
          <w:tcPr>
            <w:tcW w:w="59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interest rates ranging from 4.25% to 9.50%</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13,072,943</w:t>
            </w:r>
          </w:p>
        </w:tc>
      </w:tr>
      <w:tr>
        <w:trPr>
          <w:trHeight w:val="236"/>
        </w:trPr>
        <w:tc>
          <w:tcPr>
            <w:tcW w:w="460" w:type="dxa"/>
            <w:vAlign w:val="bottom"/>
            <w:tcBorders>
              <w:bottom w:val="single" w:sz="8" w:color="auto"/>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spacing w:after="0"/>
              <w:rPr>
                <w:sz w:val="20"/>
                <w:szCs w:val="20"/>
                <w:color w:val="auto"/>
              </w:rPr>
            </w:pPr>
          </w:p>
        </w:tc>
        <w:tc>
          <w:tcPr>
            <w:tcW w:w="5940" w:type="dxa"/>
            <w:vAlign w:val="bottom"/>
            <w:tcBorders>
              <w:bottom w:val="single" w:sz="8" w:color="auto"/>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investments and notes receivable from participants</w:t>
            </w:r>
          </w:p>
        </w:tc>
        <w:tc>
          <w:tcPr>
            <w:tcW w:w="92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930,437,461</w:t>
            </w:r>
          </w:p>
        </w:tc>
      </w:tr>
    </w:tbl>
    <w:p>
      <w:pPr>
        <w:spacing w:after="0" w:line="143" w:lineRule="exact"/>
        <w:rPr>
          <w:sz w:val="20"/>
          <w:szCs w:val="20"/>
          <w:color w:val="auto"/>
        </w:rPr>
      </w:pPr>
    </w:p>
    <w:p>
      <w:pPr>
        <w:ind w:left="620" w:hanging="564"/>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90" w:lineRule="exact"/>
        <w:rPr>
          <w:sz w:val="20"/>
          <w:szCs w:val="20"/>
          <w:color w:val="auto"/>
        </w:rPr>
      </w:pPr>
    </w:p>
    <w:p>
      <w:pPr>
        <w:ind w:left="5520" w:right="4600" w:hanging="5464"/>
        <w:spacing w:after="0" w:line="553" w:lineRule="auto"/>
        <w:tabs>
          <w:tab w:leader="none" w:pos="619"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are participant-directed, thus cost information is not applicable.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800" w:type="dxa"/>
            <w:vAlign w:val="bottom"/>
            <w:gridSpan w:val="4"/>
          </w:tcPr>
          <w:p>
            <w:pPr>
              <w:jc w:val="center"/>
              <w:ind w:right="2440"/>
              <w:spacing w:after="0"/>
              <w:rPr>
                <w:sz w:val="20"/>
                <w:szCs w:val="20"/>
                <w:color w:val="auto"/>
              </w:rPr>
            </w:pPr>
            <w:r>
              <w:rPr>
                <w:rFonts w:ascii="Arial" w:cs="Arial" w:eastAsia="Arial" w:hAnsi="Arial"/>
                <w:sz w:val="18"/>
                <w:szCs w:val="18"/>
                <w:b w:val="1"/>
                <w:bCs w:val="1"/>
                <w:color w:val="auto"/>
              </w:rPr>
              <w:t>EXHIBITS</w:t>
            </w:r>
          </w:p>
        </w:tc>
      </w:tr>
      <w:tr>
        <w:trPr>
          <w:trHeight w:val="271"/>
        </w:trPr>
        <w:tc>
          <w:tcPr>
            <w:tcW w:w="180" w:type="dxa"/>
            <w:vAlign w:val="bottom"/>
          </w:tcPr>
          <w:p>
            <w:pPr>
              <w:spacing w:after="0"/>
              <w:rPr>
                <w:sz w:val="23"/>
                <w:szCs w:val="23"/>
                <w:color w:val="auto"/>
              </w:rPr>
            </w:pPr>
          </w:p>
        </w:tc>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Exhibit No.</w:t>
            </w:r>
          </w:p>
        </w:tc>
        <w:tc>
          <w:tcPr>
            <w:tcW w:w="8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3"/>
                <w:szCs w:val="23"/>
                <w:color w:val="auto"/>
              </w:rPr>
            </w:pPr>
          </w:p>
        </w:tc>
      </w:tr>
      <w:tr>
        <w:trPr>
          <w:trHeight w:val="224"/>
        </w:trPr>
        <w:tc>
          <w:tcPr>
            <w:tcW w:w="2440" w:type="dxa"/>
            <w:vAlign w:val="bottom"/>
            <w:gridSpan w:val="2"/>
          </w:tcPr>
          <w:p>
            <w:pPr>
              <w:ind w:left="220"/>
              <w:spacing w:after="0"/>
              <w:rPr>
                <w:sz w:val="20"/>
                <w:szCs w:val="20"/>
                <w:color w:val="auto"/>
              </w:rPr>
            </w:pPr>
            <w:r>
              <w:rPr>
                <w:rFonts w:ascii="Arial" w:cs="Arial" w:eastAsia="Arial" w:hAnsi="Arial"/>
                <w:sz w:val="18"/>
                <w:szCs w:val="18"/>
                <w:color w:val="auto"/>
              </w:rPr>
              <w:t>23.01</w:t>
            </w:r>
          </w:p>
        </w:tc>
        <w:tc>
          <w:tcPr>
            <w:tcW w:w="8800" w:type="dxa"/>
            <w:vAlign w:val="bottom"/>
            <w:gridSpan w:val="4"/>
          </w:tcPr>
          <w:p>
            <w:pPr>
              <w:spacing w:after="0"/>
              <w:rPr>
                <w:sz w:val="20"/>
                <w:szCs w:val="20"/>
                <w:color w:val="auto"/>
              </w:rPr>
            </w:pPr>
            <w:r>
              <w:rPr>
                <w:rFonts w:ascii="Arial" w:cs="Arial" w:eastAsia="Arial" w:hAnsi="Arial"/>
                <w:sz w:val="18"/>
                <w:szCs w:val="18"/>
                <w:color w:val="0000FF"/>
              </w:rPr>
              <w:t>Consent of Independent Registered Public Accounting Firm (Successor Auditor).</w:t>
            </w:r>
          </w:p>
        </w:tc>
      </w:tr>
      <w:tr>
        <w:trPr>
          <w:trHeight w:val="20"/>
        </w:trPr>
        <w:tc>
          <w:tcPr>
            <w:tcW w:w="2440" w:type="dxa"/>
            <w:vAlign w:val="bottom"/>
            <w:tcBorders>
              <w:right w:val="single" w:sz="8" w:color="0000EE"/>
            </w:tcBorders>
            <w:gridSpan w:val="2"/>
          </w:tcPr>
          <w:p>
            <w:pPr>
              <w:spacing w:after="0" w:line="20" w:lineRule="exact"/>
              <w:rPr>
                <w:sz w:val="1"/>
                <w:szCs w:val="1"/>
                <w:color w:val="auto"/>
              </w:rPr>
            </w:pPr>
          </w:p>
        </w:tc>
        <w:tc>
          <w:tcPr>
            <w:tcW w:w="64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263"/>
        </w:trPr>
        <w:tc>
          <w:tcPr>
            <w:tcW w:w="2440" w:type="dxa"/>
            <w:vAlign w:val="bottom"/>
            <w:gridSpan w:val="2"/>
          </w:tcPr>
          <w:p>
            <w:pPr>
              <w:ind w:left="220"/>
              <w:spacing w:after="0"/>
              <w:rPr>
                <w:sz w:val="20"/>
                <w:szCs w:val="20"/>
                <w:color w:val="auto"/>
              </w:rPr>
            </w:pPr>
            <w:r>
              <w:rPr>
                <w:rFonts w:ascii="Arial" w:cs="Arial" w:eastAsia="Arial" w:hAnsi="Arial"/>
                <w:sz w:val="18"/>
                <w:szCs w:val="18"/>
                <w:color w:val="auto"/>
              </w:rPr>
              <w:t>23.02</w:t>
            </w:r>
          </w:p>
        </w:tc>
        <w:tc>
          <w:tcPr>
            <w:tcW w:w="8800" w:type="dxa"/>
            <w:vAlign w:val="bottom"/>
            <w:gridSpan w:val="4"/>
          </w:tcPr>
          <w:p>
            <w:pPr>
              <w:spacing w:after="0"/>
              <w:rPr>
                <w:sz w:val="20"/>
                <w:szCs w:val="20"/>
                <w:color w:val="auto"/>
              </w:rPr>
            </w:pPr>
            <w:r>
              <w:rPr>
                <w:rFonts w:ascii="Arial" w:cs="Arial" w:eastAsia="Arial" w:hAnsi="Arial"/>
                <w:sz w:val="18"/>
                <w:szCs w:val="18"/>
                <w:color w:val="0000FF"/>
              </w:rPr>
              <w:t>Consent of Independent Registered Public Accounting Firm (Predecessor Auditor).</w:t>
            </w:r>
          </w:p>
        </w:tc>
      </w:tr>
      <w:tr>
        <w:trPr>
          <w:trHeight w:val="889"/>
        </w:trPr>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400" w:type="dxa"/>
            <w:vAlign w:val="bottom"/>
            <w:tcBorders>
              <w:top w:val="single" w:sz="8" w:color="0000FF"/>
            </w:tcBorders>
          </w:tcPr>
          <w:p>
            <w:pPr>
              <w:jc w:val="right"/>
              <w:ind w:right="303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0000FF"/>
            </w:tcBorders>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45"/>
        </w:trPr>
        <w:tc>
          <w:tcPr>
            <w:tcW w:w="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Plan Administration Committee has duly caused this Annual Report on Form 11-K to be signed on its behalf by the undersigned, thereunto duly authorized, in the City of Oklahoma City and State of Oklahoma on the 17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June 2026.</w:t>
      </w:r>
    </w:p>
    <w:p>
      <w:pPr>
        <w:spacing w:after="0" w:line="141"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OGE ENERGY CORP.</w:t>
      </w:r>
    </w:p>
    <w:p>
      <w:pPr>
        <w:spacing w:after="0" w:line="9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EMPLOYEES' STOCK OWNERSHIP</w:t>
      </w:r>
    </w:p>
    <w:p>
      <w:pPr>
        <w:spacing w:after="0" w:line="9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AND RETIREMENT SAVINGS PLAN</w:t>
      </w:r>
    </w:p>
    <w:p>
      <w:pPr>
        <w:spacing w:after="0" w:line="34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Charles B. Walworth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26035</wp:posOffset>
            </wp:positionV>
            <wp:extent cx="2434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Charles B. Walworth</w:t>
      </w:r>
    </w:p>
    <w:p>
      <w:pPr>
        <w:spacing w:after="0" w:line="9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Sarah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26035</wp:posOffset>
            </wp:positionV>
            <wp:extent cx="24345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Sarah R. Stafford</w:t>
      </w:r>
    </w:p>
    <w:p>
      <w:pPr>
        <w:spacing w:after="0" w:line="9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Controller and Chief Accounting Officer</w:t>
      </w:r>
    </w:p>
    <w:p>
      <w:pPr>
        <w:spacing w:after="0" w:line="34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Gena M.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26035</wp:posOffset>
            </wp:positionV>
            <wp:extent cx="24345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Gena M. Perry</w:t>
      </w:r>
    </w:p>
    <w:p>
      <w:pPr>
        <w:spacing w:after="0" w:line="9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Director Total Rewards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23.01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 (No. 333-190406) on Form S-8 of OGE Energy Corp. of our report dated June 17, 2026, relating to the financial statements and supplemental schedule of OGE Energy Corp. Employees' Stock Ownership and Retirement Savings Plan, which appears in the Annual Report on Form 11-K of OGE Energy Corp. Employees' Stock Ownership and Retirement Savings Plan for the year ended December 31, 2025.</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HoganTaylor LLP</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Oklahoma City, Oklahoma</w:t>
      </w:r>
    </w:p>
    <w:p>
      <w:pPr>
        <w:ind w:left="100"/>
        <w:spacing w:after="0"/>
        <w:rPr>
          <w:sz w:val="20"/>
          <w:szCs w:val="20"/>
          <w:color w:val="auto"/>
        </w:rPr>
      </w:pPr>
      <w:r>
        <w:rPr>
          <w:rFonts w:ascii="Arial" w:cs="Arial" w:eastAsia="Arial" w:hAnsi="Arial"/>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1304925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23.02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 (Form S-8 No. 333-190406) pertaining to the Employees’ Stock Ownership and Retirement Savings Plan of OGE Energy Corp. of our report dated June 23, 2025, with respect to statement of net assets available for benefits of OGE Energy Corp. Employees’ Stock Ownership and Retirement Savings Plan and the related notes included in this Annual Report (Form 11-K) for the year ended December 31, 2025.</w:t>
      </w:r>
    </w:p>
    <w:p>
      <w:pPr>
        <w:spacing w:after="0" w:line="3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Oklahoma City, Oklahoma</w:t>
      </w:r>
    </w:p>
    <w:p>
      <w:pPr>
        <w:ind w:left="100"/>
        <w:spacing w:after="0"/>
        <w:rPr>
          <w:sz w:val="20"/>
          <w:szCs w:val="20"/>
          <w:color w:val="auto"/>
        </w:rPr>
      </w:pPr>
      <w:r>
        <w:rPr>
          <w:rFonts w:ascii="Arial" w:cs="Arial" w:eastAsia="Arial" w:hAnsi="Arial"/>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782320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2026-06-17T16:25:24Z</dcterms:created>
  <dcterms:modified xsi:type="dcterms:W3CDTF">2026-06-17T16:25:24Z</dcterms:modified>
</cp:coreProperties>
</file>