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91" w:lineRule="exact"/>
        <w:rPr>
          <w:sz w:val="24"/>
          <w:szCs w:val="24"/>
          <w:color w:val="auto"/>
        </w:rPr>
      </w:pPr>
    </w:p>
    <w:tbl>
      <w:tblPr>
        <w:tblLayout w:type="fixed"/>
        <w:tblInd w:w="400" w:type="dxa"/>
        <w:tblCellMar>
          <w:top w:w="0" w:type="dxa"/>
          <w:left w:w="0" w:type="dxa"/>
          <w:bottom w:w="0" w:type="dxa"/>
          <w:right w:w="0" w:type="dxa"/>
        </w:tblCellMar>
      </w:tblPr>
      <w:tr>
        <w:trPr>
          <w:trHeight w:val="285"/>
        </w:trPr>
        <w:tc>
          <w:tcPr>
            <w:tcW w:w="6180" w:type="dxa"/>
            <w:vAlign w:val="bottom"/>
            <w:tcBorders>
              <w:bottom w:val="single" w:sz="8" w:color="auto"/>
            </w:tcBorders>
          </w:tcPr>
          <w:p>
            <w:pPr>
              <w:ind w:left="800"/>
              <w:spacing w:after="0"/>
              <w:rPr>
                <w:sz w:val="20"/>
                <w:szCs w:val="20"/>
                <w:color w:val="auto"/>
              </w:rPr>
            </w:pPr>
            <w:r>
              <w:rPr>
                <w:rFonts w:ascii="Arial" w:cs="Arial" w:eastAsia="Arial" w:hAnsi="Arial"/>
                <w:sz w:val="22"/>
                <w:szCs w:val="22"/>
                <w:color w:val="auto"/>
              </w:rPr>
              <w:t>Date of report (Date of earliest event reported)</w:t>
            </w:r>
          </w:p>
        </w:tc>
        <w:tc>
          <w:tcPr>
            <w:tcW w:w="4440" w:type="dxa"/>
            <w:vAlign w:val="bottom"/>
            <w:tcBorders>
              <w:bottom w:val="single" w:sz="8" w:color="auto"/>
            </w:tcBorders>
          </w:tcPr>
          <w:p>
            <w:pPr>
              <w:ind w:left="1360"/>
              <w:spacing w:after="0"/>
              <w:rPr>
                <w:sz w:val="20"/>
                <w:szCs w:val="20"/>
                <w:color w:val="auto"/>
              </w:rPr>
            </w:pPr>
            <w:r>
              <w:rPr>
                <w:rFonts w:ascii="Arial" w:cs="Arial" w:eastAsia="Arial" w:hAnsi="Arial"/>
                <w:sz w:val="22"/>
                <w:szCs w:val="22"/>
                <w:color w:val="auto"/>
              </w:rPr>
              <w:t>May 18, 2017</w:t>
            </w:r>
          </w:p>
        </w:tc>
      </w:tr>
    </w:tbl>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OKLAHOMA GAS AND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Oklahoma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341" w:lineRule="exact"/>
        <w:rPr>
          <w:sz w:val="24"/>
          <w:szCs w:val="24"/>
          <w:color w:val="auto"/>
        </w:rPr>
      </w:pPr>
    </w:p>
    <w:tbl>
      <w:tblPr>
        <w:tblLayout w:type="fixed"/>
        <w:tblInd w:w="400" w:type="dxa"/>
        <w:tblCellMar>
          <w:top w:w="0" w:type="dxa"/>
          <w:left w:w="0" w:type="dxa"/>
          <w:bottom w:w="0" w:type="dxa"/>
          <w:right w:w="0" w:type="dxa"/>
        </w:tblCellMar>
      </w:tblPr>
      <w:tr>
        <w:trPr>
          <w:trHeight w:val="285"/>
        </w:trPr>
        <w:tc>
          <w:tcPr>
            <w:tcW w:w="6340" w:type="dxa"/>
            <w:vAlign w:val="bottom"/>
            <w:tcBorders>
              <w:bottom w:val="single" w:sz="8" w:color="auto"/>
            </w:tcBorders>
          </w:tcPr>
          <w:p>
            <w:pPr>
              <w:jc w:val="right"/>
              <w:ind w:right="3112"/>
              <w:spacing w:after="0"/>
              <w:rPr>
                <w:sz w:val="20"/>
                <w:szCs w:val="20"/>
                <w:color w:val="auto"/>
              </w:rPr>
            </w:pPr>
            <w:r>
              <w:rPr>
                <w:rFonts w:ascii="Arial" w:cs="Arial" w:eastAsia="Arial" w:hAnsi="Arial"/>
                <w:sz w:val="22"/>
                <w:szCs w:val="22"/>
                <w:color w:val="auto"/>
              </w:rPr>
              <w:t>1-1097</w:t>
            </w:r>
          </w:p>
        </w:tc>
        <w:tc>
          <w:tcPr>
            <w:tcW w:w="4280" w:type="dxa"/>
            <w:vAlign w:val="bottom"/>
            <w:tcBorders>
              <w:bottom w:val="single" w:sz="8" w:color="auto"/>
            </w:tcBorders>
          </w:tcPr>
          <w:p>
            <w:pPr>
              <w:jc w:val="right"/>
              <w:ind w:right="1852"/>
              <w:spacing w:after="0"/>
              <w:rPr>
                <w:sz w:val="20"/>
                <w:szCs w:val="20"/>
                <w:color w:val="auto"/>
              </w:rPr>
            </w:pPr>
            <w:r>
              <w:rPr>
                <w:rFonts w:ascii="Arial" w:cs="Arial" w:eastAsia="Arial" w:hAnsi="Arial"/>
                <w:sz w:val="22"/>
                <w:szCs w:val="22"/>
                <w:color w:val="auto"/>
              </w:rPr>
              <w:t>73-0382390</w:t>
            </w:r>
          </w:p>
        </w:tc>
      </w:tr>
      <w:tr>
        <w:trPr>
          <w:trHeight w:val="280"/>
        </w:trPr>
        <w:tc>
          <w:tcPr>
            <w:tcW w:w="6340" w:type="dxa"/>
            <w:vAlign w:val="bottom"/>
          </w:tcPr>
          <w:p>
            <w:pPr>
              <w:ind w:left="1620"/>
              <w:spacing w:after="0"/>
              <w:rPr>
                <w:sz w:val="20"/>
                <w:szCs w:val="20"/>
                <w:color w:val="auto"/>
              </w:rPr>
            </w:pPr>
            <w:r>
              <w:rPr>
                <w:rFonts w:ascii="Arial" w:cs="Arial" w:eastAsia="Arial" w:hAnsi="Arial"/>
                <w:sz w:val="22"/>
                <w:szCs w:val="22"/>
                <w:color w:val="auto"/>
              </w:rPr>
              <w:t>(Commission File Number)</w:t>
            </w:r>
          </w:p>
        </w:tc>
        <w:tc>
          <w:tcPr>
            <w:tcW w:w="4280" w:type="dxa"/>
            <w:vAlign w:val="bottom"/>
          </w:tcPr>
          <w:p>
            <w:pPr>
              <w:jc w:val="center"/>
              <w:ind w:right="592"/>
              <w:spacing w:after="0"/>
              <w:rPr>
                <w:sz w:val="20"/>
                <w:szCs w:val="20"/>
                <w:color w:val="auto"/>
              </w:rPr>
            </w:pPr>
            <w:r>
              <w:rPr>
                <w:rFonts w:ascii="Arial" w:cs="Arial" w:eastAsia="Arial" w:hAnsi="Arial"/>
                <w:sz w:val="22"/>
                <w:szCs w:val="22"/>
                <w:color w:val="auto"/>
                <w:w w:val="93"/>
              </w:rPr>
              <w:t>(IRS Employer Identification No.)</w:t>
            </w:r>
          </w:p>
        </w:tc>
      </w:tr>
      <w:tr>
        <w:trPr>
          <w:trHeight w:val="605"/>
        </w:trPr>
        <w:tc>
          <w:tcPr>
            <w:tcW w:w="6340" w:type="dxa"/>
            <w:vAlign w:val="bottom"/>
            <w:tcBorders>
              <w:bottom w:val="single" w:sz="8" w:color="auto"/>
            </w:tcBorders>
          </w:tcPr>
          <w:p>
            <w:pPr>
              <w:ind w:left="780"/>
              <w:spacing w:after="0"/>
              <w:rPr>
                <w:sz w:val="20"/>
                <w:szCs w:val="20"/>
                <w:color w:val="auto"/>
              </w:rPr>
            </w:pPr>
            <w:r>
              <w:rPr>
                <w:rFonts w:ascii="Arial" w:cs="Arial" w:eastAsia="Arial" w:hAnsi="Arial"/>
                <w:sz w:val="22"/>
                <w:szCs w:val="22"/>
                <w:color w:val="auto"/>
                <w:w w:val="94"/>
              </w:rPr>
              <w:t>321 North Harvey, P.O. Box 321, Oklahoma City, Oklahoma</w:t>
            </w:r>
          </w:p>
        </w:tc>
        <w:tc>
          <w:tcPr>
            <w:tcW w:w="4280" w:type="dxa"/>
            <w:vAlign w:val="bottom"/>
            <w:tcBorders>
              <w:bottom w:val="single" w:sz="8" w:color="auto"/>
            </w:tcBorders>
          </w:tcPr>
          <w:p>
            <w:pPr>
              <w:jc w:val="right"/>
              <w:ind w:right="1272"/>
              <w:spacing w:after="0"/>
              <w:rPr>
                <w:sz w:val="20"/>
                <w:szCs w:val="20"/>
                <w:color w:val="auto"/>
              </w:rPr>
            </w:pPr>
            <w:r>
              <w:rPr>
                <w:rFonts w:ascii="Arial" w:cs="Arial" w:eastAsia="Arial" w:hAnsi="Arial"/>
                <w:sz w:val="22"/>
                <w:szCs w:val="22"/>
                <w:color w:val="auto"/>
              </w:rPr>
              <w:t>73101-0321</w:t>
            </w:r>
          </w:p>
        </w:tc>
      </w:tr>
      <w:tr>
        <w:trPr>
          <w:trHeight w:val="280"/>
        </w:trPr>
        <w:tc>
          <w:tcPr>
            <w:tcW w:w="6340" w:type="dxa"/>
            <w:vAlign w:val="bottom"/>
          </w:tcPr>
          <w:p>
            <w:pPr>
              <w:ind w:left="1640"/>
              <w:spacing w:after="0"/>
              <w:rPr>
                <w:sz w:val="20"/>
                <w:szCs w:val="20"/>
                <w:color w:val="auto"/>
              </w:rPr>
            </w:pPr>
            <w:r>
              <w:rPr>
                <w:rFonts w:ascii="Arial" w:cs="Arial" w:eastAsia="Arial" w:hAnsi="Arial"/>
                <w:sz w:val="22"/>
                <w:szCs w:val="22"/>
                <w:color w:val="auto"/>
              </w:rPr>
              <w:t>(Address of Principal Executive Offices)</w:t>
            </w:r>
          </w:p>
        </w:tc>
        <w:tc>
          <w:tcPr>
            <w:tcW w:w="4280" w:type="dxa"/>
            <w:vAlign w:val="bottom"/>
          </w:tcPr>
          <w:p>
            <w:pPr>
              <w:jc w:val="center"/>
              <w:ind w:left="372"/>
              <w:spacing w:after="0"/>
              <w:rPr>
                <w:sz w:val="20"/>
                <w:szCs w:val="20"/>
                <w:color w:val="auto"/>
              </w:rPr>
            </w:pPr>
            <w:r>
              <w:rPr>
                <w:rFonts w:ascii="Arial" w:cs="Arial" w:eastAsia="Arial" w:hAnsi="Arial"/>
                <w:sz w:val="22"/>
                <w:szCs w:val="22"/>
                <w:color w:val="auto"/>
                <w:w w:val="92"/>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405-553-3000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213360</wp:posOffset>
            </wp:positionV>
            <wp:extent cx="6749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33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3" w:lineRule="exact"/>
        <w:rPr>
          <w:sz w:val="24"/>
          <w:szCs w:val="24"/>
          <w:color w:val="auto"/>
        </w:rPr>
      </w:pPr>
    </w:p>
    <w:p>
      <w:pPr>
        <w:ind w:left="560" w:hanging="13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560" w:hanging="13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60" w:hanging="13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60" w:hanging="13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firstLine="648"/>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240.12b-2).</w:t>
      </w:r>
    </w:p>
    <w:p>
      <w:pPr>
        <w:spacing w:after="0" w:line="1"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Emerging growth company o</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9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reported, on August 25, 2016, Oklahoma Gas and Electric Company ("OG&amp;E") filed a general rate case with the Arkansas Public Service Commission ("APSC"). The rate filing requested a $16.5 million rate increase based on a 10.25 percent return on equity. The rate increase was based on a June 30, 2016 test year and included a recovery of over $3.0 billion of electric infrastructure additions since the last Arkansas general rate case in 2011. The increase also reflects increases in operation and maintenance expenses, including vegetation management, and increased recovery of depreciation and dismantlement costs.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2017, OG&amp;E entered into a settlement with the staff of the APSC and other intervenors. The settlement provides for a $7.1 million annual rate increase and a 9.50 percent return on equity on a 50.0 percent equity capital structure. The settlement also provides that OG&amp;E will be regulated under a formula rate rider, which should result in a more efficient process as the return on equity, depreciation rates and capital structure should not change from what is approved by the APSC in the current rate case proceeding unless differences of plus or minus 50 basis points in return on equity were to occur. Adjustments are limited to plus or minus four percent of revenue for each rate class for the 12 months preceding the projected year. The initial term for the formula rate rider is not to exceed five years, unless additional approval is obtained from the APSC. OG&amp;E expects to make its first filing under the Arkansas Formula Rate Rider in October 2018.</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APSC approved the settlement on May 18, 2017. The settlement agreement and approval from the APSC are attached as exhibits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7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86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5"/>
              </w:rPr>
              <w:t>(d) Exhibit</w:t>
            </w: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480"/>
        </w:trPr>
        <w:tc>
          <w:tcPr>
            <w:tcW w:w="186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15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506"/>
        </w:trPr>
        <w:tc>
          <w:tcPr>
            <w:tcW w:w="860" w:type="dxa"/>
            <w:vAlign w:val="bottom"/>
            <w:gridSpan w:val="2"/>
          </w:tcPr>
          <w:p>
            <w:pPr>
              <w:jc w:val="center"/>
              <w:spacing w:after="0"/>
              <w:rPr>
                <w:sz w:val="20"/>
                <w:szCs w:val="20"/>
                <w:color w:val="auto"/>
              </w:rPr>
            </w:pPr>
            <w:r>
              <w:rPr>
                <w:rFonts w:ascii="Arial" w:cs="Arial" w:eastAsia="Arial" w:hAnsi="Arial"/>
                <w:sz w:val="18"/>
                <w:szCs w:val="18"/>
                <w:color w:val="auto"/>
                <w:w w:val="88"/>
              </w:rPr>
              <w:t>99.01</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20" w:type="dxa"/>
            <w:vAlign w:val="bottom"/>
            <w:gridSpan w:val="3"/>
          </w:tcPr>
          <w:p>
            <w:pPr>
              <w:ind w:left="600"/>
              <w:spacing w:after="0"/>
              <w:rPr>
                <w:sz w:val="20"/>
                <w:szCs w:val="20"/>
                <w:color w:val="auto"/>
              </w:rPr>
            </w:pPr>
            <w:r>
              <w:rPr>
                <w:rFonts w:ascii="Arial" w:cs="Arial" w:eastAsia="Arial" w:hAnsi="Arial"/>
                <w:sz w:val="18"/>
                <w:szCs w:val="18"/>
                <w:color w:val="auto"/>
                <w:w w:val="96"/>
              </w:rPr>
              <w:t>Copy of the APSC Settlement Agreement approval dated May 18, 2017. (Filed as Exhibit 99.01 to OGE</w:t>
            </w:r>
          </w:p>
        </w:tc>
      </w:tr>
      <w:tr>
        <w:trPr>
          <w:trHeight w:val="230"/>
        </w:trPr>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20" w:type="dxa"/>
            <w:vAlign w:val="bottom"/>
            <w:gridSpan w:val="3"/>
          </w:tcPr>
          <w:p>
            <w:pPr>
              <w:ind w:left="600"/>
              <w:spacing w:after="0"/>
              <w:rPr>
                <w:sz w:val="20"/>
                <w:szCs w:val="20"/>
                <w:color w:val="auto"/>
              </w:rPr>
            </w:pPr>
            <w:r>
              <w:rPr>
                <w:rFonts w:ascii="Arial" w:cs="Arial" w:eastAsia="Arial" w:hAnsi="Arial"/>
                <w:sz w:val="18"/>
                <w:szCs w:val="18"/>
                <w:color w:val="auto"/>
              </w:rPr>
              <w:t>Energy's Form 8-K filed May 24, 2017 (File No. 1-12579) and incorporated by reference herein)</w:t>
            </w:r>
          </w:p>
        </w:tc>
      </w:tr>
      <w:tr>
        <w:trPr>
          <w:trHeight w:val="256"/>
        </w:trPr>
        <w:tc>
          <w:tcPr>
            <w:tcW w:w="860" w:type="dxa"/>
            <w:vAlign w:val="bottom"/>
            <w:gridSpan w:val="2"/>
          </w:tcPr>
          <w:p>
            <w:pPr>
              <w:jc w:val="center"/>
              <w:spacing w:after="0"/>
              <w:rPr>
                <w:sz w:val="20"/>
                <w:szCs w:val="20"/>
                <w:color w:val="auto"/>
              </w:rPr>
            </w:pPr>
            <w:r>
              <w:rPr>
                <w:rFonts w:ascii="Arial" w:cs="Arial" w:eastAsia="Arial" w:hAnsi="Arial"/>
                <w:sz w:val="18"/>
                <w:szCs w:val="18"/>
                <w:color w:val="auto"/>
                <w:w w:val="88"/>
              </w:rPr>
              <w:t>99.02</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520" w:type="dxa"/>
            <w:vAlign w:val="bottom"/>
            <w:gridSpan w:val="3"/>
          </w:tcPr>
          <w:p>
            <w:pPr>
              <w:ind w:left="600"/>
              <w:spacing w:after="0"/>
              <w:rPr>
                <w:sz w:val="20"/>
                <w:szCs w:val="20"/>
                <w:color w:val="auto"/>
              </w:rPr>
            </w:pPr>
            <w:r>
              <w:rPr>
                <w:rFonts w:ascii="Arial" w:cs="Arial" w:eastAsia="Arial" w:hAnsi="Arial"/>
                <w:sz w:val="18"/>
                <w:szCs w:val="18"/>
                <w:color w:val="auto"/>
                <w:w w:val="95"/>
              </w:rPr>
              <w:t>Copy of the Settlement Agreement filed with the APSC on April 20, 2017. (Filed as Exhibit 99.02 to OGE</w:t>
            </w:r>
          </w:p>
        </w:tc>
      </w:tr>
      <w:tr>
        <w:trPr>
          <w:trHeight w:val="230"/>
        </w:trPr>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20" w:type="dxa"/>
            <w:vAlign w:val="bottom"/>
            <w:gridSpan w:val="3"/>
          </w:tcPr>
          <w:p>
            <w:pPr>
              <w:ind w:left="600"/>
              <w:spacing w:after="0"/>
              <w:rPr>
                <w:sz w:val="20"/>
                <w:szCs w:val="20"/>
                <w:color w:val="auto"/>
              </w:rPr>
            </w:pPr>
            <w:r>
              <w:rPr>
                <w:rFonts w:ascii="Arial" w:cs="Arial" w:eastAsia="Arial" w:hAnsi="Arial"/>
                <w:sz w:val="18"/>
                <w:szCs w:val="18"/>
                <w:color w:val="auto"/>
              </w:rPr>
              <w:t>Energy's Form 8-K filed May 24, 2017 (File No. 1-12579) and incorporated by reference herein)</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620" w:type="dxa"/>
        <w:tblCellMar>
          <w:top w:w="0" w:type="dxa"/>
          <w:left w:w="0" w:type="dxa"/>
          <w:bottom w:w="0" w:type="dxa"/>
          <w:right w:w="0" w:type="dxa"/>
        </w:tblCellMar>
      </w:tblPr>
      <w:tr>
        <w:trPr>
          <w:trHeight w:val="281"/>
        </w:trPr>
        <w:tc>
          <w:tcPr>
            <w:tcW w:w="30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Arial" w:cs="Arial" w:eastAsia="Arial" w:hAnsi="Arial"/>
                <w:sz w:val="22"/>
                <w:szCs w:val="22"/>
                <w:b w:val="1"/>
                <w:bCs w:val="1"/>
                <w:color w:val="auto"/>
                <w:w w:val="99"/>
              </w:rPr>
              <w:t>OKLAHOMA GAS AND ELECTRIC COMPANY</w:t>
            </w:r>
          </w:p>
        </w:tc>
      </w:tr>
      <w:tr>
        <w:trPr>
          <w:trHeight w:val="260"/>
        </w:trPr>
        <w:tc>
          <w:tcPr>
            <w:tcW w:w="30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594"/>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88"/>
              </w:rPr>
              <w:t>/s/ Scott Forbes</w:t>
            </w:r>
          </w:p>
        </w:tc>
      </w:tr>
      <w:tr>
        <w:trPr>
          <w:trHeight w:val="27"/>
        </w:trPr>
        <w:tc>
          <w:tcPr>
            <w:tcW w:w="30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6500" w:type="dxa"/>
            <w:vAlign w:val="bottom"/>
          </w:tcPr>
          <w:p>
            <w:pPr>
              <w:ind w:left="2880"/>
              <w:spacing w:after="0"/>
              <w:rPr>
                <w:sz w:val="20"/>
                <w:szCs w:val="20"/>
                <w:color w:val="auto"/>
              </w:rPr>
            </w:pPr>
            <w:r>
              <w:rPr>
                <w:rFonts w:ascii="Arial" w:cs="Arial" w:eastAsia="Arial" w:hAnsi="Arial"/>
                <w:sz w:val="18"/>
                <w:szCs w:val="18"/>
                <w:color w:val="auto"/>
              </w:rPr>
              <w:t>Scott Forbes</w:t>
            </w:r>
          </w:p>
        </w:tc>
      </w:tr>
      <w:tr>
        <w:trPr>
          <w:trHeight w:val="270"/>
        </w:trPr>
        <w:tc>
          <w:tcPr>
            <w:tcW w:w="300" w:type="dxa"/>
            <w:vAlign w:val="bottom"/>
          </w:tcPr>
          <w:p>
            <w:pPr>
              <w:spacing w:after="0"/>
              <w:rPr>
                <w:sz w:val="23"/>
                <w:szCs w:val="23"/>
                <w:color w:val="auto"/>
              </w:rPr>
            </w:pPr>
          </w:p>
        </w:tc>
        <w:tc>
          <w:tcPr>
            <w:tcW w:w="6500" w:type="dxa"/>
            <w:vAlign w:val="bottom"/>
          </w:tcPr>
          <w:p>
            <w:pPr>
              <w:ind w:left="182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2019-12-05T06:09:07Z</dcterms:created>
  <dcterms:modified xsi:type="dcterms:W3CDTF">2019-12-05T06:09:07Z</dcterms:modified>
</cp:coreProperties>
</file>