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2"/>
          <w:szCs w:val="2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jc w:val="center"/>
        <w:spacing w:after="0" w:line="230" w:lineRule="auto"/>
        <w:rPr>
          <w:sz w:val="20"/>
          <w:szCs w:val="20"/>
          <w:color w:val="auto"/>
        </w:rPr>
      </w:pPr>
      <w:r>
        <w:rPr>
          <w:rFonts w:ascii="Calibri" w:cs="Calibri" w:eastAsia="Calibri" w:hAnsi="Calibri"/>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SECTION 13 OR 15(D) OF THE SECURITIES EXCHANGE ACT OF 1934</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340" w:type="dxa"/>
            <w:vAlign w:val="bottom"/>
            <w:gridSpan w:val="3"/>
          </w:tcPr>
          <w:p>
            <w:pPr>
              <w:ind w:left="1400"/>
              <w:spacing w:after="0"/>
              <w:rPr>
                <w:sz w:val="20"/>
                <w:szCs w:val="20"/>
                <w:color w:val="auto"/>
              </w:rPr>
            </w:pPr>
            <w:r>
              <w:rPr>
                <w:rFonts w:ascii="Calibri" w:cs="Calibri" w:eastAsia="Calibri" w:hAnsi="Calibri"/>
                <w:sz w:val="18"/>
                <w:szCs w:val="18"/>
                <w:color w:val="auto"/>
              </w:rPr>
              <w:t>Date of report (Date of earliest event reported)</w:t>
            </w:r>
          </w:p>
        </w:tc>
        <w:tc>
          <w:tcPr>
            <w:tcW w:w="1420" w:type="dxa"/>
            <w:vAlign w:val="bottom"/>
          </w:tcPr>
          <w:p>
            <w:pPr>
              <w:spacing w:after="0"/>
              <w:rPr>
                <w:sz w:val="19"/>
                <w:szCs w:val="19"/>
                <w:color w:val="auto"/>
              </w:rPr>
            </w:pPr>
          </w:p>
        </w:tc>
        <w:tc>
          <w:tcPr>
            <w:tcW w:w="3480" w:type="dxa"/>
            <w:vAlign w:val="bottom"/>
          </w:tcPr>
          <w:p>
            <w:pPr>
              <w:ind w:left="360"/>
              <w:spacing w:after="0"/>
              <w:rPr>
                <w:sz w:val="20"/>
                <w:szCs w:val="20"/>
                <w:color w:val="auto"/>
              </w:rPr>
            </w:pPr>
            <w:r>
              <w:rPr>
                <w:rFonts w:ascii="Calibri" w:cs="Calibri" w:eastAsia="Calibri" w:hAnsi="Calibri"/>
                <w:sz w:val="18"/>
                <w:szCs w:val="18"/>
                <w:color w:val="auto"/>
              </w:rPr>
              <w:t>August 15, 2024</w:t>
            </w:r>
          </w:p>
        </w:tc>
      </w:tr>
      <w:tr>
        <w:trPr>
          <w:trHeight w:val="37"/>
        </w:trPr>
        <w:tc>
          <w:tcPr>
            <w:tcW w:w="2420" w:type="dxa"/>
            <w:vAlign w:val="bottom"/>
            <w:tcBorders>
              <w:bottom w:val="single" w:sz="8" w:color="auto"/>
            </w:tcBorders>
          </w:tcPr>
          <w:p>
            <w:pPr>
              <w:spacing w:after="0"/>
              <w:rPr>
                <w:sz w:val="3"/>
                <w:szCs w:val="3"/>
                <w:color w:val="auto"/>
              </w:rPr>
            </w:pPr>
          </w:p>
        </w:tc>
        <w:tc>
          <w:tcPr>
            <w:tcW w:w="5340" w:type="dxa"/>
            <w:vAlign w:val="bottom"/>
            <w:tcBorders>
              <w:bottom w:val="single" w:sz="8" w:color="auto"/>
            </w:tcBorders>
            <w:gridSpan w:val="3"/>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510"/>
        </w:trPr>
        <w:tc>
          <w:tcPr>
            <w:tcW w:w="2420" w:type="dxa"/>
            <w:vAlign w:val="bottom"/>
          </w:tcPr>
          <w:p>
            <w:pPr>
              <w:jc w:val="center"/>
              <w:ind w:left="110"/>
              <w:spacing w:after="0"/>
              <w:rPr>
                <w:sz w:val="20"/>
                <w:szCs w:val="20"/>
                <w:color w:val="auto"/>
              </w:rPr>
            </w:pPr>
            <w:r>
              <w:rPr>
                <w:rFonts w:ascii="Calibri" w:cs="Calibri" w:eastAsia="Calibri" w:hAnsi="Calibri"/>
                <w:sz w:val="18"/>
                <w:szCs w:val="18"/>
                <w:color w:val="auto"/>
                <w:w w:val="98"/>
              </w:rPr>
              <w:t>(Commission File Number)</w:t>
            </w:r>
          </w:p>
        </w:tc>
        <w:tc>
          <w:tcPr>
            <w:tcW w:w="5340" w:type="dxa"/>
            <w:vAlign w:val="bottom"/>
            <w:gridSpan w:val="3"/>
          </w:tcPr>
          <w:p>
            <w:pPr>
              <w:jc w:val="center"/>
              <w:ind w:left="270"/>
              <w:spacing w:after="0"/>
              <w:rPr>
                <w:sz w:val="20"/>
                <w:szCs w:val="20"/>
                <w:color w:val="auto"/>
              </w:rPr>
            </w:pPr>
            <w:r>
              <w:rPr>
                <w:rFonts w:ascii="Calibri" w:cs="Calibri" w:eastAsia="Calibri" w:hAnsi="Calibri"/>
                <w:sz w:val="18"/>
                <w:szCs w:val="18"/>
                <w:color w:val="auto"/>
                <w:w w:val="98"/>
              </w:rPr>
              <w:t>(Exact Name of Registrants as Specifed in Their Charters)</w:t>
            </w:r>
          </w:p>
        </w:tc>
        <w:tc>
          <w:tcPr>
            <w:tcW w:w="3480" w:type="dxa"/>
            <w:vAlign w:val="bottom"/>
          </w:tcPr>
          <w:p>
            <w:pPr>
              <w:jc w:val="center"/>
              <w:ind w:left="70"/>
              <w:spacing w:after="0"/>
              <w:rPr>
                <w:sz w:val="20"/>
                <w:szCs w:val="20"/>
                <w:color w:val="auto"/>
              </w:rPr>
            </w:pPr>
            <w:r>
              <w:rPr>
                <w:rFonts w:ascii="Calibri" w:cs="Calibri" w:eastAsia="Calibri" w:hAnsi="Calibri"/>
                <w:sz w:val="18"/>
                <w:szCs w:val="18"/>
                <w:color w:val="auto"/>
              </w:rPr>
              <w:t>(I.R.S. Employer Identfcaton No.)</w:t>
            </w:r>
          </w:p>
        </w:tc>
      </w:tr>
      <w:tr>
        <w:trPr>
          <w:trHeight w:val="37"/>
        </w:trPr>
        <w:tc>
          <w:tcPr>
            <w:tcW w:w="24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267"/>
        </w:trPr>
        <w:tc>
          <w:tcPr>
            <w:tcW w:w="2420" w:type="dxa"/>
            <w:vAlign w:val="bottom"/>
          </w:tcPr>
          <w:p>
            <w:pPr>
              <w:jc w:val="right"/>
              <w:ind w:right="730"/>
              <w:spacing w:after="0"/>
              <w:rPr>
                <w:sz w:val="20"/>
                <w:szCs w:val="20"/>
                <w:color w:val="auto"/>
              </w:rPr>
            </w:pPr>
            <w:r>
              <w:rPr>
                <w:rFonts w:ascii="Calibri" w:cs="Calibri" w:eastAsia="Calibri" w:hAnsi="Calibri"/>
                <w:sz w:val="18"/>
                <w:szCs w:val="18"/>
                <w:color w:val="auto"/>
              </w:rPr>
              <w:t>1-12579</w:t>
            </w:r>
          </w:p>
        </w:tc>
        <w:tc>
          <w:tcPr>
            <w:tcW w:w="1560" w:type="dxa"/>
            <w:vAlign w:val="bottom"/>
          </w:tcPr>
          <w:p>
            <w:pPr>
              <w:spacing w:after="0"/>
              <w:rPr>
                <w:sz w:val="23"/>
                <w:szCs w:val="23"/>
                <w:color w:val="auto"/>
              </w:rPr>
            </w:pPr>
          </w:p>
        </w:tc>
        <w:tc>
          <w:tcPr>
            <w:tcW w:w="2360" w:type="dxa"/>
            <w:vAlign w:val="bottom"/>
          </w:tcPr>
          <w:p>
            <w:pPr>
              <w:jc w:val="center"/>
              <w:ind w:left="110"/>
              <w:spacing w:after="0"/>
              <w:rPr>
                <w:sz w:val="20"/>
                <w:szCs w:val="20"/>
                <w:color w:val="auto"/>
              </w:rPr>
            </w:pPr>
            <w:r>
              <w:rPr>
                <w:rFonts w:ascii="Calibri" w:cs="Calibri" w:eastAsia="Calibri" w:hAnsi="Calibri"/>
                <w:sz w:val="18"/>
                <w:szCs w:val="18"/>
                <w:color w:val="auto"/>
                <w:w w:val="96"/>
              </w:rPr>
              <w:t>OGE ENERGY CORP.</w:t>
            </w:r>
          </w:p>
        </w:tc>
        <w:tc>
          <w:tcPr>
            <w:tcW w:w="1420" w:type="dxa"/>
            <w:vAlign w:val="bottom"/>
          </w:tcPr>
          <w:p>
            <w:pPr>
              <w:spacing w:after="0"/>
              <w:rPr>
                <w:sz w:val="23"/>
                <w:szCs w:val="23"/>
                <w:color w:val="auto"/>
              </w:rPr>
            </w:pPr>
          </w:p>
        </w:tc>
        <w:tc>
          <w:tcPr>
            <w:tcW w:w="3480" w:type="dxa"/>
            <w:vAlign w:val="bottom"/>
          </w:tcPr>
          <w:p>
            <w:pPr>
              <w:jc w:val="center"/>
              <w:ind w:left="70"/>
              <w:spacing w:after="0"/>
              <w:rPr>
                <w:sz w:val="20"/>
                <w:szCs w:val="20"/>
                <w:color w:val="auto"/>
              </w:rPr>
            </w:pPr>
            <w:r>
              <w:rPr>
                <w:rFonts w:ascii="Calibri" w:cs="Calibri" w:eastAsia="Calibri" w:hAnsi="Calibri"/>
                <w:sz w:val="18"/>
                <w:szCs w:val="18"/>
                <w:color w:val="auto"/>
                <w:w w:val="95"/>
              </w:rPr>
              <w:t>73-1481638</w:t>
            </w:r>
          </w:p>
        </w:tc>
      </w:tr>
      <w:tr>
        <w:trPr>
          <w:trHeight w:val="310"/>
        </w:trPr>
        <w:tc>
          <w:tcPr>
            <w:tcW w:w="2420" w:type="dxa"/>
            <w:vAlign w:val="bottom"/>
          </w:tcPr>
          <w:p>
            <w:pPr>
              <w:jc w:val="right"/>
              <w:ind w:right="770"/>
              <w:spacing w:after="0"/>
              <w:rPr>
                <w:sz w:val="20"/>
                <w:szCs w:val="20"/>
                <w:color w:val="auto"/>
              </w:rPr>
            </w:pPr>
            <w:r>
              <w:rPr>
                <w:rFonts w:ascii="Calibri" w:cs="Calibri" w:eastAsia="Calibri" w:hAnsi="Calibri"/>
                <w:sz w:val="18"/>
                <w:szCs w:val="18"/>
                <w:color w:val="auto"/>
              </w:rPr>
              <w:t>1-1097</w:t>
            </w:r>
          </w:p>
        </w:tc>
        <w:tc>
          <w:tcPr>
            <w:tcW w:w="5340" w:type="dxa"/>
            <w:vAlign w:val="bottom"/>
            <w:gridSpan w:val="3"/>
          </w:tcPr>
          <w:p>
            <w:pPr>
              <w:jc w:val="center"/>
              <w:ind w:left="250"/>
              <w:spacing w:after="0"/>
              <w:rPr>
                <w:sz w:val="20"/>
                <w:szCs w:val="20"/>
                <w:color w:val="auto"/>
              </w:rPr>
            </w:pPr>
            <w:r>
              <w:rPr>
                <w:rFonts w:ascii="Calibri" w:cs="Calibri" w:eastAsia="Calibri" w:hAnsi="Calibri"/>
                <w:sz w:val="18"/>
                <w:szCs w:val="18"/>
                <w:color w:val="auto"/>
                <w:w w:val="97"/>
              </w:rPr>
              <w:t>OKLAHOMA GAS AND ELECTRIC COMPANY</w:t>
            </w:r>
          </w:p>
        </w:tc>
        <w:tc>
          <w:tcPr>
            <w:tcW w:w="3480" w:type="dxa"/>
            <w:vAlign w:val="bottom"/>
          </w:tcPr>
          <w:p>
            <w:pPr>
              <w:jc w:val="center"/>
              <w:ind w:left="70"/>
              <w:spacing w:after="0"/>
              <w:rPr>
                <w:sz w:val="20"/>
                <w:szCs w:val="20"/>
                <w:color w:val="auto"/>
              </w:rPr>
            </w:pPr>
            <w:r>
              <w:rPr>
                <w:rFonts w:ascii="Calibri" w:cs="Calibri" w:eastAsia="Calibri" w:hAnsi="Calibri"/>
                <w:sz w:val="18"/>
                <w:szCs w:val="18"/>
                <w:color w:val="auto"/>
                <w:w w:val="95"/>
              </w:rPr>
              <w:t>73-0382390</w:t>
            </w:r>
          </w:p>
        </w:tc>
      </w:tr>
      <w:tr>
        <w:trPr>
          <w:trHeight w:val="540"/>
        </w:trPr>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60" w:type="dxa"/>
            <w:vAlign w:val="bottom"/>
          </w:tcPr>
          <w:p>
            <w:pPr>
              <w:jc w:val="center"/>
              <w:ind w:left="850"/>
              <w:spacing w:after="0"/>
              <w:rPr>
                <w:sz w:val="20"/>
                <w:szCs w:val="20"/>
                <w:color w:val="auto"/>
              </w:rPr>
            </w:pPr>
            <w:r>
              <w:rPr>
                <w:rFonts w:ascii="Calibri" w:cs="Calibri" w:eastAsia="Calibri" w:hAnsi="Calibri"/>
                <w:sz w:val="18"/>
                <w:szCs w:val="18"/>
                <w:color w:val="auto"/>
                <w:w w:val="98"/>
              </w:rPr>
              <w:t>Oklahoma</w:t>
            </w:r>
          </w:p>
        </w:tc>
        <w:tc>
          <w:tcPr>
            <w:tcW w:w="14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7"/>
        </w:trPr>
        <w:tc>
          <w:tcPr>
            <w:tcW w:w="24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gridSpan w:val="2"/>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213"/>
        </w:trPr>
        <w:tc>
          <w:tcPr>
            <w:tcW w:w="2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80" w:type="dxa"/>
            <w:vAlign w:val="bottom"/>
            <w:gridSpan w:val="2"/>
          </w:tcPr>
          <w:p>
            <w:pPr>
              <w:jc w:val="center"/>
              <w:ind w:right="410"/>
              <w:spacing w:after="0" w:line="213" w:lineRule="exact"/>
              <w:rPr>
                <w:sz w:val="20"/>
                <w:szCs w:val="20"/>
                <w:color w:val="auto"/>
              </w:rPr>
            </w:pPr>
            <w:r>
              <w:rPr>
                <w:rFonts w:ascii="Calibri" w:cs="Calibri" w:eastAsia="Calibri" w:hAnsi="Calibri"/>
                <w:sz w:val="18"/>
                <w:szCs w:val="18"/>
                <w:color w:val="auto"/>
                <w:w w:val="99"/>
              </w:rPr>
              <w:t>(State or Other Jurisdicton of Incorporaton)</w:t>
            </w:r>
          </w:p>
        </w:tc>
        <w:tc>
          <w:tcPr>
            <w:tcW w:w="3480" w:type="dxa"/>
            <w:vAlign w:val="bottom"/>
          </w:tcPr>
          <w:p>
            <w:pPr>
              <w:spacing w:after="0"/>
              <w:rPr>
                <w:sz w:val="18"/>
                <w:szCs w:val="18"/>
                <w:color w:val="auto"/>
              </w:rPr>
            </w:pPr>
          </w:p>
        </w:tc>
      </w:tr>
      <w:tr>
        <w:trPr>
          <w:trHeight w:val="540"/>
        </w:trPr>
        <w:tc>
          <w:tcPr>
            <w:tcW w:w="2420" w:type="dxa"/>
            <w:vAlign w:val="bottom"/>
          </w:tcPr>
          <w:p>
            <w:pPr>
              <w:jc w:val="center"/>
              <w:ind w:left="110"/>
              <w:spacing w:after="0"/>
              <w:rPr>
                <w:sz w:val="20"/>
                <w:szCs w:val="20"/>
                <w:color w:val="auto"/>
              </w:rPr>
            </w:pPr>
            <w:r>
              <w:rPr>
                <w:rFonts w:ascii="Calibri" w:cs="Calibri" w:eastAsia="Calibri" w:hAnsi="Calibri"/>
                <w:sz w:val="18"/>
                <w:szCs w:val="18"/>
                <w:color w:val="auto"/>
                <w:w w:val="97"/>
              </w:rPr>
              <w:t>321 North Harvey</w:t>
            </w:r>
          </w:p>
        </w:tc>
        <w:tc>
          <w:tcPr>
            <w:tcW w:w="1560" w:type="dxa"/>
            <w:vAlign w:val="bottom"/>
          </w:tcPr>
          <w:p>
            <w:pPr>
              <w:ind w:left="640"/>
              <w:spacing w:after="0"/>
              <w:rPr>
                <w:sz w:val="20"/>
                <w:szCs w:val="20"/>
                <w:color w:val="auto"/>
              </w:rPr>
            </w:pPr>
            <w:r>
              <w:rPr>
                <w:rFonts w:ascii="Calibri" w:cs="Calibri" w:eastAsia="Calibri" w:hAnsi="Calibri"/>
                <w:sz w:val="18"/>
                <w:szCs w:val="18"/>
                <w:color w:val="auto"/>
                <w:w w:val="96"/>
              </w:rPr>
              <w:t>P.O. Box 321</w:t>
            </w:r>
          </w:p>
        </w:tc>
        <w:tc>
          <w:tcPr>
            <w:tcW w:w="2360" w:type="dxa"/>
            <w:vAlign w:val="bottom"/>
          </w:tcPr>
          <w:p>
            <w:pPr>
              <w:jc w:val="center"/>
              <w:ind w:left="110"/>
              <w:spacing w:after="0"/>
              <w:rPr>
                <w:sz w:val="20"/>
                <w:szCs w:val="20"/>
                <w:color w:val="auto"/>
              </w:rPr>
            </w:pPr>
            <w:r>
              <w:rPr>
                <w:rFonts w:ascii="Calibri" w:cs="Calibri" w:eastAsia="Calibri" w:hAnsi="Calibri"/>
                <w:sz w:val="18"/>
                <w:szCs w:val="18"/>
                <w:color w:val="auto"/>
                <w:w w:val="97"/>
              </w:rPr>
              <w:t>Oklahoma City</w:t>
            </w:r>
          </w:p>
        </w:tc>
        <w:tc>
          <w:tcPr>
            <w:tcW w:w="1420" w:type="dxa"/>
            <w:vAlign w:val="bottom"/>
          </w:tcPr>
          <w:p>
            <w:pPr>
              <w:ind w:left="340"/>
              <w:spacing w:after="0"/>
              <w:rPr>
                <w:sz w:val="20"/>
                <w:szCs w:val="20"/>
                <w:color w:val="auto"/>
              </w:rPr>
            </w:pPr>
            <w:r>
              <w:rPr>
                <w:rFonts w:ascii="Calibri" w:cs="Calibri" w:eastAsia="Calibri" w:hAnsi="Calibri"/>
                <w:sz w:val="18"/>
                <w:szCs w:val="18"/>
                <w:color w:val="auto"/>
              </w:rPr>
              <w:t>Oklahoma</w:t>
            </w:r>
          </w:p>
        </w:tc>
        <w:tc>
          <w:tcPr>
            <w:tcW w:w="3480" w:type="dxa"/>
            <w:vAlign w:val="bottom"/>
          </w:tcPr>
          <w:p>
            <w:pPr>
              <w:jc w:val="center"/>
              <w:ind w:left="70"/>
              <w:spacing w:after="0"/>
              <w:rPr>
                <w:sz w:val="20"/>
                <w:szCs w:val="20"/>
                <w:color w:val="auto"/>
              </w:rPr>
            </w:pPr>
            <w:r>
              <w:rPr>
                <w:rFonts w:ascii="Calibri" w:cs="Calibri" w:eastAsia="Calibri" w:hAnsi="Calibri"/>
                <w:sz w:val="18"/>
                <w:szCs w:val="18"/>
                <w:color w:val="auto"/>
                <w:w w:val="95"/>
              </w:rPr>
              <w:t>73101-0321</w:t>
            </w:r>
          </w:p>
        </w:tc>
      </w:tr>
      <w:tr>
        <w:trPr>
          <w:trHeight w:val="37"/>
        </w:trPr>
        <w:tc>
          <w:tcPr>
            <w:tcW w:w="242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gridSpan w:val="2"/>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213"/>
        </w:trPr>
        <w:tc>
          <w:tcPr>
            <w:tcW w:w="2420" w:type="dxa"/>
            <w:vAlign w:val="bottom"/>
          </w:tcPr>
          <w:p>
            <w:pPr>
              <w:spacing w:after="0"/>
              <w:rPr>
                <w:sz w:val="18"/>
                <w:szCs w:val="18"/>
                <w:color w:val="auto"/>
              </w:rPr>
            </w:pPr>
          </w:p>
        </w:tc>
        <w:tc>
          <w:tcPr>
            <w:tcW w:w="3920" w:type="dxa"/>
            <w:vAlign w:val="bottom"/>
            <w:gridSpan w:val="2"/>
          </w:tcPr>
          <w:p>
            <w:pPr>
              <w:ind w:left="160"/>
              <w:spacing w:after="0" w:line="213" w:lineRule="exact"/>
              <w:rPr>
                <w:sz w:val="20"/>
                <w:szCs w:val="20"/>
                <w:color w:val="auto"/>
              </w:rPr>
            </w:pPr>
            <w:r>
              <w:rPr>
                <w:rFonts w:ascii="Calibri" w:cs="Calibri" w:eastAsia="Calibri" w:hAnsi="Calibri"/>
                <w:sz w:val="18"/>
                <w:szCs w:val="18"/>
                <w:color w:val="auto"/>
              </w:rPr>
              <w:t>(Address of Principal Executve Ofces)</w:t>
            </w:r>
          </w:p>
        </w:tc>
        <w:tc>
          <w:tcPr>
            <w:tcW w:w="1420" w:type="dxa"/>
            <w:vAlign w:val="bottom"/>
          </w:tcPr>
          <w:p>
            <w:pPr>
              <w:spacing w:after="0"/>
              <w:rPr>
                <w:sz w:val="18"/>
                <w:szCs w:val="18"/>
                <w:color w:val="auto"/>
              </w:rPr>
            </w:pPr>
          </w:p>
        </w:tc>
        <w:tc>
          <w:tcPr>
            <w:tcW w:w="3480" w:type="dxa"/>
            <w:vAlign w:val="bottom"/>
          </w:tcPr>
          <w:p>
            <w:pPr>
              <w:jc w:val="center"/>
              <w:ind w:left="70"/>
              <w:spacing w:after="0" w:line="213" w:lineRule="exact"/>
              <w:rPr>
                <w:sz w:val="20"/>
                <w:szCs w:val="20"/>
                <w:color w:val="auto"/>
              </w:rPr>
            </w:pPr>
            <w:r>
              <w:rPr>
                <w:rFonts w:ascii="Calibri" w:cs="Calibri" w:eastAsia="Calibri" w:hAnsi="Calibri"/>
                <w:sz w:val="18"/>
                <w:szCs w:val="18"/>
                <w:color w:val="auto"/>
                <w:w w:val="96"/>
              </w:rPr>
              <w:t>(Zip Code)</w:t>
            </w:r>
          </w:p>
        </w:tc>
      </w:tr>
    </w:tbl>
    <w:p>
      <w:pPr>
        <w:spacing w:after="0" w:line="226" w:lineRule="exact"/>
        <w:rPr>
          <w:sz w:val="24"/>
          <w:szCs w:val="24"/>
          <w:color w:val="auto"/>
        </w:rPr>
      </w:pPr>
    </w:p>
    <w:p>
      <w:pPr>
        <w:jc w:val="center"/>
        <w:ind w:right="20"/>
        <w:spacing w:after="0"/>
        <w:rPr>
          <w:sz w:val="20"/>
          <w:szCs w:val="20"/>
          <w:color w:val="auto"/>
        </w:rPr>
      </w:pPr>
      <w:r>
        <w:rPr>
          <w:rFonts w:ascii="Calibri" w:cs="Calibri" w:eastAsia="Calibri" w:hAnsi="Calibri"/>
          <w:sz w:val="18"/>
          <w:szCs w:val="18"/>
          <w:color w:val="auto"/>
        </w:rPr>
        <w:t>(405) 553-3000</w:t>
      </w:r>
    </w:p>
    <w:p>
      <w:pPr>
        <w:jc w:val="center"/>
        <w:spacing w:after="0" w:line="235" w:lineRule="auto"/>
        <w:rPr>
          <w:sz w:val="20"/>
          <w:szCs w:val="20"/>
          <w:color w:val="auto"/>
        </w:rPr>
      </w:pPr>
      <w:r>
        <w:rPr>
          <w:rFonts w:ascii="Calibri" w:cs="Calibri" w:eastAsia="Calibri" w:hAnsi="Calibri"/>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(Former Name or Former Address, if Changed Since Last Report)</w:t>
      </w:r>
    </w:p>
    <w:p>
      <w:pPr>
        <w:spacing w:after="0" w:line="231" w:lineRule="exact"/>
        <w:rPr>
          <w:sz w:val="24"/>
          <w:szCs w:val="24"/>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i w:val="1"/>
          <w:iCs w:val="1"/>
          <w:color w:val="auto"/>
        </w:rPr>
        <w:t>see</w:t>
      </w:r>
      <w:r>
        <w:rPr>
          <w:rFonts w:ascii="Calibri" w:cs="Calibri" w:eastAsia="Calibri" w:hAnsi="Calibri"/>
          <w:sz w:val="18"/>
          <w:szCs w:val="18"/>
          <w:color w:val="auto"/>
        </w:rPr>
        <w:t xml:space="preserve"> General Instructon A.2. below):</w:t>
      </w:r>
    </w:p>
    <w:p>
      <w:pPr>
        <w:spacing w:after="0" w:line="37" w:lineRule="exact"/>
        <w:rPr>
          <w:sz w:val="24"/>
          <w:szCs w:val="24"/>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5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5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5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260" w:type="dxa"/>
            <w:vAlign w:val="bottom"/>
            <w:gridSpan w:val="2"/>
          </w:tcPr>
          <w:p>
            <w:pPr>
              <w:ind w:left="380"/>
              <w:spacing w:after="0"/>
              <w:rPr>
                <w:sz w:val="20"/>
                <w:szCs w:val="20"/>
                <w:color w:val="auto"/>
              </w:rPr>
            </w:pPr>
            <w:r>
              <w:rPr>
                <w:rFonts w:ascii="Calibri" w:cs="Calibri" w:eastAsia="Calibri" w:hAnsi="Calibri"/>
                <w:sz w:val="18"/>
                <w:szCs w:val="18"/>
                <w:color w:val="auto"/>
              </w:rPr>
              <w:t>Securites registered pursuant to Secton 12(b) of the Act:</w:t>
            </w:r>
          </w:p>
        </w:tc>
        <w:tc>
          <w:tcPr>
            <w:tcW w:w="19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43"/>
        </w:trPr>
        <w:tc>
          <w:tcPr>
            <w:tcW w:w="3400" w:type="dxa"/>
            <w:vAlign w:val="bottom"/>
          </w:tcPr>
          <w:p>
            <w:pPr>
              <w:jc w:val="center"/>
              <w:ind w:left="30"/>
              <w:spacing w:after="0"/>
              <w:rPr>
                <w:sz w:val="20"/>
                <w:szCs w:val="20"/>
                <w:color w:val="auto"/>
              </w:rPr>
            </w:pPr>
            <w:r>
              <w:rPr>
                <w:rFonts w:ascii="Calibri" w:cs="Calibri" w:eastAsia="Calibri" w:hAnsi="Calibri"/>
                <w:sz w:val="18"/>
                <w:szCs w:val="18"/>
                <w:color w:val="auto"/>
                <w:w w:val="96"/>
              </w:rPr>
              <w:t>Registrant</w:t>
            </w:r>
          </w:p>
        </w:tc>
        <w:tc>
          <w:tcPr>
            <w:tcW w:w="1860" w:type="dxa"/>
            <w:vAlign w:val="bottom"/>
          </w:tcPr>
          <w:p>
            <w:pPr>
              <w:jc w:val="center"/>
              <w:spacing w:after="0"/>
              <w:rPr>
                <w:sz w:val="20"/>
                <w:szCs w:val="20"/>
                <w:color w:val="auto"/>
              </w:rPr>
            </w:pPr>
            <w:r>
              <w:rPr>
                <w:rFonts w:ascii="Calibri" w:cs="Calibri" w:eastAsia="Calibri" w:hAnsi="Calibri"/>
                <w:sz w:val="18"/>
                <w:szCs w:val="18"/>
                <w:color w:val="auto"/>
                <w:w w:val="98"/>
              </w:rPr>
              <w:t>Title of each class</w:t>
            </w:r>
          </w:p>
        </w:tc>
        <w:tc>
          <w:tcPr>
            <w:tcW w:w="1980" w:type="dxa"/>
            <w:vAlign w:val="bottom"/>
          </w:tcPr>
          <w:p>
            <w:pPr>
              <w:jc w:val="center"/>
              <w:ind w:right="30"/>
              <w:spacing w:after="0"/>
              <w:rPr>
                <w:sz w:val="20"/>
                <w:szCs w:val="20"/>
                <w:color w:val="auto"/>
              </w:rPr>
            </w:pPr>
            <w:r>
              <w:rPr>
                <w:rFonts w:ascii="Calibri" w:cs="Calibri" w:eastAsia="Calibri" w:hAnsi="Calibri"/>
                <w:sz w:val="18"/>
                <w:szCs w:val="18"/>
                <w:color w:val="auto"/>
                <w:w w:val="96"/>
              </w:rPr>
              <w:t>Trading Symbol(s)</w:t>
            </w:r>
          </w:p>
        </w:tc>
        <w:tc>
          <w:tcPr>
            <w:tcW w:w="4000" w:type="dxa"/>
            <w:vAlign w:val="bottom"/>
          </w:tcPr>
          <w:p>
            <w:pPr>
              <w:jc w:val="center"/>
              <w:spacing w:after="0"/>
              <w:rPr>
                <w:sz w:val="20"/>
                <w:szCs w:val="20"/>
                <w:color w:val="auto"/>
              </w:rPr>
            </w:pPr>
            <w:r>
              <w:rPr>
                <w:rFonts w:ascii="Calibri" w:cs="Calibri" w:eastAsia="Calibri" w:hAnsi="Calibri"/>
                <w:sz w:val="18"/>
                <w:szCs w:val="18"/>
                <w:color w:val="auto"/>
                <w:w w:val="96"/>
              </w:rPr>
              <w:t>Name of each exchange on which registered</w:t>
            </w:r>
          </w:p>
        </w:tc>
      </w:tr>
      <w:tr>
        <w:trPr>
          <w:trHeight w:val="37"/>
        </w:trPr>
        <w:tc>
          <w:tcPr>
            <w:tcW w:w="34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r>
        <w:trPr>
          <w:trHeight w:val="227"/>
        </w:trPr>
        <w:tc>
          <w:tcPr>
            <w:tcW w:w="3400" w:type="dxa"/>
            <w:vAlign w:val="bottom"/>
          </w:tcPr>
          <w:p>
            <w:pPr>
              <w:jc w:val="center"/>
              <w:ind w:left="10"/>
              <w:spacing w:after="0"/>
              <w:rPr>
                <w:sz w:val="20"/>
                <w:szCs w:val="20"/>
                <w:color w:val="auto"/>
              </w:rPr>
            </w:pPr>
            <w:r>
              <w:rPr>
                <w:rFonts w:ascii="Calibri" w:cs="Calibri" w:eastAsia="Calibri" w:hAnsi="Calibri"/>
                <w:sz w:val="18"/>
                <w:szCs w:val="18"/>
                <w:color w:val="auto"/>
                <w:w w:val="97"/>
              </w:rPr>
              <w:t>OGE Energy Corp.</w:t>
            </w:r>
          </w:p>
        </w:tc>
        <w:tc>
          <w:tcPr>
            <w:tcW w:w="1860" w:type="dxa"/>
            <w:vAlign w:val="bottom"/>
          </w:tcPr>
          <w:p>
            <w:pPr>
              <w:jc w:val="center"/>
              <w:spacing w:after="0"/>
              <w:rPr>
                <w:sz w:val="20"/>
                <w:szCs w:val="20"/>
                <w:color w:val="auto"/>
              </w:rPr>
            </w:pPr>
            <w:r>
              <w:rPr>
                <w:rFonts w:ascii="Calibri" w:cs="Calibri" w:eastAsia="Calibri" w:hAnsi="Calibri"/>
                <w:sz w:val="18"/>
                <w:szCs w:val="18"/>
                <w:color w:val="auto"/>
                <w:w w:val="95"/>
              </w:rPr>
              <w:t>Common Stock</w:t>
            </w:r>
          </w:p>
        </w:tc>
        <w:tc>
          <w:tcPr>
            <w:tcW w:w="1980" w:type="dxa"/>
            <w:vAlign w:val="bottom"/>
          </w:tcPr>
          <w:p>
            <w:pPr>
              <w:jc w:val="center"/>
              <w:ind w:right="30"/>
              <w:spacing w:after="0"/>
              <w:rPr>
                <w:sz w:val="20"/>
                <w:szCs w:val="20"/>
                <w:color w:val="auto"/>
              </w:rPr>
            </w:pPr>
            <w:r>
              <w:rPr>
                <w:rFonts w:ascii="Calibri" w:cs="Calibri" w:eastAsia="Calibri" w:hAnsi="Calibri"/>
                <w:sz w:val="18"/>
                <w:szCs w:val="18"/>
                <w:color w:val="auto"/>
                <w:w w:val="93"/>
              </w:rPr>
              <w:t>OGE</w:t>
            </w:r>
          </w:p>
        </w:tc>
        <w:tc>
          <w:tcPr>
            <w:tcW w:w="4000" w:type="dxa"/>
            <w:vAlign w:val="bottom"/>
          </w:tcPr>
          <w:p>
            <w:pPr>
              <w:jc w:val="center"/>
              <w:spacing w:after="0"/>
              <w:rPr>
                <w:sz w:val="20"/>
                <w:szCs w:val="20"/>
                <w:color w:val="auto"/>
              </w:rPr>
            </w:pPr>
            <w:r>
              <w:rPr>
                <w:rFonts w:ascii="Calibri" w:cs="Calibri" w:eastAsia="Calibri" w:hAnsi="Calibri"/>
                <w:sz w:val="18"/>
                <w:szCs w:val="18"/>
                <w:color w:val="auto"/>
                <w:w w:val="97"/>
              </w:rPr>
              <w:t>New York Stock Exchange</w:t>
            </w:r>
          </w:p>
        </w:tc>
      </w:tr>
      <w:tr>
        <w:trPr>
          <w:trHeight w:val="270"/>
        </w:trPr>
        <w:tc>
          <w:tcPr>
            <w:tcW w:w="3400" w:type="dxa"/>
            <w:vAlign w:val="bottom"/>
          </w:tcPr>
          <w:p>
            <w:pPr>
              <w:jc w:val="center"/>
              <w:ind w:left="10"/>
              <w:spacing w:after="0"/>
              <w:rPr>
                <w:sz w:val="20"/>
                <w:szCs w:val="20"/>
                <w:color w:val="auto"/>
              </w:rPr>
            </w:pPr>
            <w:r>
              <w:rPr>
                <w:rFonts w:ascii="Calibri" w:cs="Calibri" w:eastAsia="Calibri" w:hAnsi="Calibri"/>
                <w:sz w:val="18"/>
                <w:szCs w:val="18"/>
                <w:color w:val="auto"/>
                <w:w w:val="97"/>
              </w:rPr>
              <w:t>Oklahoma Gas and Electric Company</w:t>
            </w:r>
          </w:p>
        </w:tc>
        <w:tc>
          <w:tcPr>
            <w:tcW w:w="1860" w:type="dxa"/>
            <w:vAlign w:val="bottom"/>
          </w:tcPr>
          <w:p>
            <w:pPr>
              <w:jc w:val="center"/>
              <w:spacing w:after="0"/>
              <w:rPr>
                <w:sz w:val="20"/>
                <w:szCs w:val="20"/>
                <w:color w:val="auto"/>
              </w:rPr>
            </w:pPr>
            <w:r>
              <w:rPr>
                <w:rFonts w:ascii="Calibri" w:cs="Calibri" w:eastAsia="Calibri" w:hAnsi="Calibri"/>
                <w:sz w:val="18"/>
                <w:szCs w:val="18"/>
                <w:color w:val="auto"/>
                <w:w w:val="96"/>
              </w:rPr>
              <w:t>None</w:t>
            </w:r>
          </w:p>
        </w:tc>
        <w:tc>
          <w:tcPr>
            <w:tcW w:w="1980" w:type="dxa"/>
            <w:vAlign w:val="bottom"/>
          </w:tcPr>
          <w:p>
            <w:pPr>
              <w:jc w:val="center"/>
              <w:ind w:right="10"/>
              <w:spacing w:after="0"/>
              <w:rPr>
                <w:sz w:val="20"/>
                <w:szCs w:val="20"/>
                <w:color w:val="auto"/>
              </w:rPr>
            </w:pPr>
            <w:r>
              <w:rPr>
                <w:rFonts w:ascii="Calibri" w:cs="Calibri" w:eastAsia="Calibri" w:hAnsi="Calibri"/>
                <w:sz w:val="18"/>
                <w:szCs w:val="18"/>
                <w:color w:val="auto"/>
                <w:w w:val="96"/>
              </w:rPr>
              <w:t>N/A</w:t>
            </w:r>
          </w:p>
        </w:tc>
        <w:tc>
          <w:tcPr>
            <w:tcW w:w="4000" w:type="dxa"/>
            <w:vAlign w:val="bottom"/>
          </w:tcPr>
          <w:p>
            <w:pPr>
              <w:jc w:val="center"/>
              <w:spacing w:after="0"/>
              <w:rPr>
                <w:sz w:val="20"/>
                <w:szCs w:val="20"/>
                <w:color w:val="auto"/>
              </w:rPr>
            </w:pPr>
            <w:r>
              <w:rPr>
                <w:rFonts w:ascii="Calibri" w:cs="Calibri" w:eastAsia="Calibri" w:hAnsi="Calibri"/>
                <w:sz w:val="18"/>
                <w:szCs w:val="18"/>
                <w:color w:val="auto"/>
                <w:w w:val="89"/>
              </w:rPr>
              <w:t>N/A</w:t>
            </w:r>
          </w:p>
        </w:tc>
      </w:tr>
    </w:tbl>
    <w:p>
      <w:pPr>
        <w:spacing w:after="0" w:line="231" w:lineRule="exact"/>
        <w:rPr>
          <w:sz w:val="24"/>
          <w:szCs w:val="24"/>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or Rule 12b-2 of the Securites Exchange Act of 1934 (§240.12b-2).</w:t>
      </w:r>
    </w:p>
    <w:p>
      <w:pPr>
        <w:spacing w:after="0" w:line="1" w:lineRule="exact"/>
        <w:rPr>
          <w:sz w:val="24"/>
          <w:szCs w:val="24"/>
          <w:color w:val="auto"/>
        </w:rPr>
      </w:pPr>
    </w:p>
    <w:p>
      <w:pPr>
        <w:ind w:left="9100"/>
        <w:spacing w:after="0" w:line="208" w:lineRule="exact"/>
        <w:rPr>
          <w:sz w:val="20"/>
          <w:szCs w:val="20"/>
          <w:color w:val="auto"/>
        </w:rPr>
      </w:pPr>
      <w:r>
        <w:rPr>
          <w:rFonts w:ascii="Calibri" w:cs="Calibri" w:eastAsia="Calibri" w:hAnsi="Calibri"/>
          <w:sz w:val="17"/>
          <w:szCs w:val="17"/>
          <w:color w:val="auto"/>
        </w:rPr>
        <w:t xml:space="preserve">Emerging growth company </w:t>
      </w:r>
      <w:r>
        <w:rPr>
          <w:rFonts w:ascii="MS PGothic" w:cs="MS PGothic" w:eastAsia="MS PGothic" w:hAnsi="MS PGothic"/>
          <w:sz w:val="17"/>
          <w:szCs w:val="17"/>
          <w:color w:val="auto"/>
        </w:rPr>
        <w:t>☐</w:t>
      </w:r>
    </w:p>
    <w:p>
      <w:pPr>
        <w:spacing w:after="0" w:line="239" w:lineRule="exact"/>
        <w:rPr>
          <w:sz w:val="24"/>
          <w:szCs w:val="24"/>
          <w:color w:val="auto"/>
        </w:rPr>
      </w:pPr>
    </w:p>
    <w:p>
      <w:pPr>
        <w:jc w:val="both"/>
        <w:ind w:firstLine="374"/>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1" w:name="page2"/>
    <w:bookmarkEnd w:id="1"/>
    <w:p>
      <w:pPr>
        <w:spacing w:after="0"/>
        <w:rPr>
          <w:sz w:val="20"/>
          <w:szCs w:val="20"/>
          <w:color w:val="auto"/>
        </w:rPr>
      </w:pPr>
      <w:r>
        <w:rPr>
          <w:rFonts w:ascii="Calibri" w:cs="Calibri" w:eastAsia="Calibri" w:hAnsi="Calibri"/>
          <w:sz w:val="18"/>
          <w:szCs w:val="18"/>
          <w:b w:val="1"/>
          <w:bCs w:val="1"/>
          <w:color w:val="3D3D3D"/>
        </w:rPr>
        <w:t>Item 8.01. Other Events</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OGE Energy Corp. ("OGE Energy") is the parent company of Oklahoma Gas and Electric Company ("OG&amp;E"), a regulated electric company with approximately 902,000 customers in Oklahoma and western Arkansas.</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On August 15, 2024, OG&amp;E, an Oklahoma corporaton, completed the issuance of $350.0 million in aggregate principal amount of its 5.60% Senior Notes, Series due April 1, 2053 (the "OG&amp;E Senior Notes"). The aggregate principal amount of the 5.60% Senior Notes, Series due April 1, 2053, including the Senior Notes issued today, is now $700.0 million. The ofering of the OG&amp;E Senior Notes was registered under the Securites Act of 1933, as amended, pursuant to OG&amp;E's registraton statement on Form S-3ASR (File No. 333-279061-01). A prospectus supplement relatng to the ofering and sale of the OG&amp;E Senior Notes was fled with the Securites and Exchange Commission on August 13, 2024.</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Atached as Exhibit 4.01 is the Supplemental Indenture No. 24 dated as of April 3, 2023 between OG&amp;E and BOKF, NA, as trustee, creatng the OG&amp;E Senior Notes. Atached as Exhibit 5.01 is an Opinion of Counsel as to the legality of the OG&amp;E Senior Notes.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9.01. Financial Statements and Exhibits</w:t>
      </w:r>
    </w:p>
    <w:tbl>
      <w:tblPr>
        <w:tblLayout w:type="fixed"/>
        <w:tblInd w:w="1040" w:type="dxa"/>
        <w:tblCellMar>
          <w:top w:w="0" w:type="dxa"/>
          <w:left w:w="0" w:type="dxa"/>
          <w:bottom w:w="0" w:type="dxa"/>
          <w:right w:w="0" w:type="dxa"/>
        </w:tblCellMar>
      </w:tblPr>
      <w:tr>
        <w:trPr>
          <w:trHeight w:val="199"/>
        </w:trPr>
        <w:tc>
          <w:tcPr>
            <w:tcW w:w="2500" w:type="dxa"/>
            <w:vAlign w:val="bottom"/>
            <w:gridSpan w:val="4"/>
          </w:tcPr>
          <w:p>
            <w:pPr>
              <w:spacing w:after="0" w:line="199" w:lineRule="exact"/>
              <w:rPr>
                <w:sz w:val="20"/>
                <w:szCs w:val="20"/>
                <w:color w:val="auto"/>
              </w:rPr>
            </w:pPr>
            <w:r>
              <w:rPr>
                <w:rFonts w:ascii="Calibri" w:cs="Calibri" w:eastAsia="Calibri" w:hAnsi="Calibri"/>
                <w:sz w:val="18"/>
                <w:szCs w:val="18"/>
                <w:b w:val="1"/>
                <w:bCs w:val="1"/>
                <w:color w:val="auto"/>
              </w:rPr>
              <w:t>(d) Exhibits</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66"/>
        </w:trPr>
        <w:tc>
          <w:tcPr>
            <w:tcW w:w="2500" w:type="dxa"/>
            <w:vAlign w:val="bottom"/>
            <w:gridSpan w:val="4"/>
          </w:tcPr>
          <w:p>
            <w:pPr>
              <w:spacing w:after="0"/>
              <w:rPr>
                <w:sz w:val="20"/>
                <w:szCs w:val="20"/>
                <w:color w:val="auto"/>
              </w:rPr>
            </w:pPr>
            <w:r>
              <w:rPr>
                <w:rFonts w:ascii="Calibri" w:cs="Calibri" w:eastAsia="Calibri" w:hAnsi="Calibri"/>
                <w:sz w:val="18"/>
                <w:szCs w:val="18"/>
                <w:b w:val="1"/>
                <w:bCs w:val="1"/>
                <w:color w:val="auto"/>
              </w:rPr>
              <w:t>Exhibit Number</w:t>
            </w:r>
          </w:p>
        </w:tc>
        <w:tc>
          <w:tcPr>
            <w:tcW w:w="800" w:type="dxa"/>
            <w:vAlign w:val="bottom"/>
          </w:tcPr>
          <w:p>
            <w:pPr>
              <w:spacing w:after="0"/>
              <w:rPr>
                <w:sz w:val="24"/>
                <w:szCs w:val="24"/>
                <w:color w:val="auto"/>
              </w:rPr>
            </w:pPr>
          </w:p>
        </w:tc>
        <w:tc>
          <w:tcPr>
            <w:tcW w:w="6800" w:type="dxa"/>
            <w:vAlign w:val="bottom"/>
            <w:gridSpan w:val="4"/>
          </w:tcPr>
          <w:p>
            <w:pPr>
              <w:spacing w:after="0"/>
              <w:rPr>
                <w:sz w:val="20"/>
                <w:szCs w:val="20"/>
                <w:color w:val="auto"/>
              </w:rPr>
            </w:pPr>
            <w:r>
              <w:rPr>
                <w:rFonts w:ascii="Calibri" w:cs="Calibri" w:eastAsia="Calibri" w:hAnsi="Calibri"/>
                <w:sz w:val="18"/>
                <w:szCs w:val="18"/>
                <w:b w:val="1"/>
                <w:bCs w:val="1"/>
                <w:color w:val="auto"/>
              </w:rPr>
              <w:t>Descripton</w:t>
            </w: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66"/>
        </w:trPr>
        <w:tc>
          <w:tcPr>
            <w:tcW w:w="820" w:type="dxa"/>
            <w:vAlign w:val="bottom"/>
            <w:gridSpan w:val="2"/>
          </w:tcPr>
          <w:p>
            <w:pPr>
              <w:jc w:val="center"/>
              <w:spacing w:after="0"/>
              <w:rPr>
                <w:sz w:val="20"/>
                <w:szCs w:val="20"/>
                <w:color w:val="auto"/>
              </w:rPr>
            </w:pPr>
            <w:r>
              <w:rPr>
                <w:rFonts w:ascii="Calibri" w:cs="Calibri" w:eastAsia="Calibri" w:hAnsi="Calibri"/>
                <w:sz w:val="18"/>
                <w:szCs w:val="18"/>
                <w:color w:val="auto"/>
              </w:rPr>
              <w:t>4.01</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0" w:type="dxa"/>
            <w:vAlign w:val="bottom"/>
            <w:gridSpan w:val="5"/>
          </w:tcPr>
          <w:p>
            <w:pPr>
              <w:spacing w:after="0"/>
              <w:rPr>
                <w:rFonts w:ascii="Calibri" w:cs="Calibri" w:eastAsia="Calibri" w:hAnsi="Calibri"/>
                <w:sz w:val="18"/>
                <w:szCs w:val="18"/>
                <w:color w:val="0000FF"/>
              </w:rPr>
            </w:pPr>
            <w:hyperlink r:id="rId10">
              <w:r>
                <w:rPr>
                  <w:rFonts w:ascii="Calibri" w:cs="Calibri" w:eastAsia="Calibri" w:hAnsi="Calibri"/>
                  <w:sz w:val="18"/>
                  <w:szCs w:val="18"/>
                  <w:color w:val="0000FF"/>
                </w:rPr>
                <w:t>Supplemental Indenture No. 24 dated as of April 3, 2023 between OG&amp;E and BOKF, NA, as trustee,</w:t>
              </w:r>
            </w:hyperlink>
          </w:p>
        </w:tc>
      </w:tr>
      <w:tr>
        <w:trPr>
          <w:trHeight w:val="20"/>
        </w:trPr>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0" w:type="dxa"/>
            <w:vAlign w:val="bottom"/>
            <w:tcBorders>
              <w:bottom w:val="single" w:sz="8" w:color="0000FF"/>
            </w:tcBorders>
            <w:gridSpan w:val="5"/>
          </w:tcPr>
          <w:p>
            <w:pPr>
              <w:spacing w:after="0" w:line="196" w:lineRule="exact"/>
              <w:rPr>
                <w:rFonts w:ascii="Calibri" w:cs="Calibri" w:eastAsia="Calibri" w:hAnsi="Calibri"/>
                <w:sz w:val="18"/>
                <w:szCs w:val="18"/>
                <w:color w:val="0000FF"/>
              </w:rPr>
            </w:pPr>
            <w:hyperlink r:id="rId10">
              <w:r>
                <w:rPr>
                  <w:rFonts w:ascii="Calibri" w:cs="Calibri" w:eastAsia="Calibri" w:hAnsi="Calibri"/>
                  <w:sz w:val="18"/>
                  <w:szCs w:val="18"/>
                  <w:color w:val="0000FF"/>
                </w:rPr>
                <w:t>creatng the OG&amp;E Senior Notes (Filed as Exhibit 4.01 to OG&amp;E's Form 8-K fled April 3, 2023 (File No. 1-</w:t>
              </w:r>
            </w:hyperlink>
          </w:p>
        </w:tc>
      </w:tr>
      <w:tr>
        <w:trPr>
          <w:trHeight w:val="196"/>
        </w:trPr>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0" w:type="dxa"/>
            <w:vAlign w:val="bottom"/>
            <w:gridSpan w:val="5"/>
          </w:tcPr>
          <w:p>
            <w:pPr>
              <w:spacing w:after="0" w:line="196" w:lineRule="exact"/>
              <w:rPr>
                <w:rFonts w:ascii="Calibri" w:cs="Calibri" w:eastAsia="Calibri" w:hAnsi="Calibri"/>
                <w:sz w:val="18"/>
                <w:szCs w:val="18"/>
                <w:color w:val="0000FF"/>
              </w:rPr>
            </w:pPr>
            <w:hyperlink r:id="rId10">
              <w:r>
                <w:rPr>
                  <w:rFonts w:ascii="Calibri" w:cs="Calibri" w:eastAsia="Calibri" w:hAnsi="Calibri"/>
                  <w:sz w:val="18"/>
                  <w:szCs w:val="18"/>
                  <w:color w:val="0000FF"/>
                </w:rPr>
                <w:t>1097) and incorporated by reference herein).</w:t>
              </w:r>
            </w:hyperlink>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23"/>
        </w:trPr>
        <w:tc>
          <w:tcPr>
            <w:tcW w:w="820" w:type="dxa"/>
            <w:vAlign w:val="bottom"/>
            <w:gridSpan w:val="2"/>
          </w:tcPr>
          <w:p>
            <w:pPr>
              <w:jc w:val="center"/>
              <w:spacing w:after="0"/>
              <w:rPr>
                <w:sz w:val="20"/>
                <w:szCs w:val="20"/>
                <w:color w:val="auto"/>
              </w:rPr>
            </w:pPr>
            <w:r>
              <w:rPr>
                <w:rFonts w:ascii="Calibri" w:cs="Calibri" w:eastAsia="Calibri" w:hAnsi="Calibri"/>
                <w:sz w:val="18"/>
                <w:szCs w:val="18"/>
                <w:color w:val="auto"/>
              </w:rPr>
              <w:t>5.01</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0" w:type="dxa"/>
            <w:vAlign w:val="bottom"/>
            <w:gridSpan w:val="5"/>
          </w:tcPr>
          <w:p>
            <w:pPr>
              <w:spacing w:after="0"/>
              <w:rPr>
                <w:sz w:val="20"/>
                <w:szCs w:val="20"/>
                <w:color w:val="auto"/>
              </w:rPr>
            </w:pPr>
            <w:r>
              <w:rPr>
                <w:rFonts w:ascii="Calibri" w:cs="Calibri" w:eastAsia="Calibri" w:hAnsi="Calibri"/>
                <w:sz w:val="18"/>
                <w:szCs w:val="18"/>
                <w:color w:val="0000FF"/>
              </w:rPr>
              <w:t>Opinion of GableGotwals as to the legality of the OG&amp;E Senior Notes.</w:t>
            </w:r>
          </w:p>
        </w:tc>
      </w:tr>
      <w:tr>
        <w:trPr>
          <w:trHeight w:val="20"/>
        </w:trPr>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940" w:type="dxa"/>
            <w:vAlign w:val="bottom"/>
            <w:tcBorders>
              <w:right w:val="single" w:sz="8" w:color="0000EE"/>
            </w:tcBorders>
            <w:gridSpan w:val="4"/>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53"/>
        </w:trPr>
        <w:tc>
          <w:tcPr>
            <w:tcW w:w="820" w:type="dxa"/>
            <w:vAlign w:val="bottom"/>
            <w:gridSpan w:val="2"/>
          </w:tcPr>
          <w:p>
            <w:pPr>
              <w:jc w:val="center"/>
              <w:spacing w:after="0"/>
              <w:rPr>
                <w:sz w:val="20"/>
                <w:szCs w:val="20"/>
                <w:color w:val="auto"/>
              </w:rPr>
            </w:pPr>
            <w:r>
              <w:rPr>
                <w:rFonts w:ascii="Calibri" w:cs="Calibri" w:eastAsia="Calibri" w:hAnsi="Calibri"/>
                <w:sz w:val="18"/>
                <w:szCs w:val="18"/>
                <w:color w:val="auto"/>
                <w:w w:val="94"/>
              </w:rPr>
              <w:t>104</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600" w:type="dxa"/>
            <w:vAlign w:val="bottom"/>
            <w:gridSpan w:val="5"/>
          </w:tcPr>
          <w:p>
            <w:pPr>
              <w:spacing w:after="0"/>
              <w:rPr>
                <w:sz w:val="20"/>
                <w:szCs w:val="20"/>
                <w:color w:val="auto"/>
              </w:rPr>
            </w:pPr>
            <w:r>
              <w:rPr>
                <w:rFonts w:ascii="Calibri" w:cs="Calibri" w:eastAsia="Calibri" w:hAnsi="Calibri"/>
                <w:sz w:val="18"/>
                <w:szCs w:val="18"/>
                <w:color w:val="auto"/>
              </w:rPr>
              <w:t>Cover Page Interactve Data File - the cover page XBRL tags are embedded within the Inline XBRL</w:t>
            </w:r>
          </w:p>
        </w:tc>
      </w:tr>
      <w:tr>
        <w:trPr>
          <w:trHeight w:val="216"/>
        </w:trPr>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0" w:type="dxa"/>
            <w:vAlign w:val="bottom"/>
            <w:gridSpan w:val="5"/>
          </w:tcPr>
          <w:p>
            <w:pPr>
              <w:spacing w:after="0" w:line="216" w:lineRule="exact"/>
              <w:rPr>
                <w:sz w:val="20"/>
                <w:szCs w:val="20"/>
                <w:color w:val="auto"/>
              </w:rPr>
            </w:pPr>
            <w:r>
              <w:rPr>
                <w:rFonts w:ascii="Calibri" w:cs="Calibri" w:eastAsia="Calibri" w:hAnsi="Calibri"/>
                <w:sz w:val="18"/>
                <w:szCs w:val="18"/>
                <w:color w:val="auto"/>
              </w:rPr>
              <w:t>document.</w:t>
            </w:r>
          </w:p>
        </w:tc>
      </w:tr>
    </w:tbl>
    <w:p>
      <w:pPr>
        <w:spacing w:after="0" w:line="23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This combined Current Report on Form 8-K is being fled separately by OGE Energy and OG&amp;E (Registrants). Informaton contained herein relatng to any individual Registrant has been fled by such Registrant on its own behalf. No Registrant makes any representaton as to informaton relatng to any other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jc w:val="center"/>
        <w:ind w:right="-19"/>
        <w:spacing w:after="0"/>
        <w:rPr>
          <w:sz w:val="20"/>
          <w:szCs w:val="20"/>
          <w:color w:val="auto"/>
        </w:rPr>
      </w:pPr>
      <w:r>
        <w:rPr>
          <w:rFonts w:ascii="Calibri" w:cs="Calibri" w:eastAsia="Calibri" w:hAnsi="Calibri"/>
          <w:sz w:val="18"/>
          <w:szCs w:val="18"/>
          <w:b w:val="1"/>
          <w:bCs w:val="1"/>
          <w:color w:val="auto"/>
        </w:rPr>
        <w:t>SIGNATURE</w:t>
      </w:r>
    </w:p>
    <w:p>
      <w:pPr>
        <w:spacing w:after="0" w:line="217" w:lineRule="exact"/>
        <w:rPr>
          <w:sz w:val="20"/>
          <w:szCs w:val="20"/>
          <w:color w:val="auto"/>
        </w:rPr>
      </w:pPr>
    </w:p>
    <w:p>
      <w:pPr>
        <w:ind w:firstLine="374"/>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4900"/>
        <w:spacing w:after="0"/>
        <w:rPr>
          <w:sz w:val="20"/>
          <w:szCs w:val="20"/>
          <w:color w:val="auto"/>
        </w:rPr>
      </w:pPr>
      <w:r>
        <w:rPr>
          <w:rFonts w:ascii="Calibri" w:cs="Calibri" w:eastAsia="Calibri" w:hAnsi="Calibri"/>
          <w:sz w:val="18"/>
          <w:szCs w:val="18"/>
          <w:b w:val="1"/>
          <w:bCs w:val="1"/>
          <w:color w:val="auto"/>
        </w:rPr>
        <w:t>OGE ENERGY CORP.</w:t>
      </w:r>
    </w:p>
    <w:p>
      <w:pPr>
        <w:spacing w:after="0" w:line="91" w:lineRule="exact"/>
        <w:rPr>
          <w:sz w:val="20"/>
          <w:szCs w:val="20"/>
          <w:color w:val="auto"/>
        </w:rPr>
      </w:pPr>
    </w:p>
    <w:p>
      <w:pPr>
        <w:jc w:val="center"/>
        <w:ind w:left="4900"/>
        <w:spacing w:after="0"/>
        <w:rPr>
          <w:sz w:val="20"/>
          <w:szCs w:val="20"/>
          <w:color w:val="auto"/>
        </w:rPr>
      </w:pPr>
      <w:r>
        <w:rPr>
          <w:rFonts w:ascii="Calibri" w:cs="Calibri" w:eastAsia="Calibri" w:hAnsi="Calibri"/>
          <w:sz w:val="18"/>
          <w:szCs w:val="18"/>
          <w:b w:val="1"/>
          <w:bCs w:val="1"/>
          <w:color w:val="auto"/>
        </w:rPr>
        <w:t>OKLAHOMA GAS AND ELECTRIC COMPANY</w:t>
      </w:r>
    </w:p>
    <w:p>
      <w:pPr>
        <w:spacing w:after="0" w:line="77" w:lineRule="exact"/>
        <w:rPr>
          <w:sz w:val="20"/>
          <w:szCs w:val="20"/>
          <w:color w:val="auto"/>
        </w:rPr>
      </w:pPr>
    </w:p>
    <w:p>
      <w:pPr>
        <w:jc w:val="center"/>
        <w:ind w:left="4900"/>
        <w:spacing w:after="0"/>
        <w:rPr>
          <w:sz w:val="20"/>
          <w:szCs w:val="20"/>
          <w:color w:val="auto"/>
        </w:rPr>
      </w:pPr>
      <w:r>
        <w:rPr>
          <w:rFonts w:ascii="Calibri" w:cs="Calibri" w:eastAsia="Calibri" w:hAnsi="Calibri"/>
          <w:sz w:val="18"/>
          <w:szCs w:val="18"/>
          <w:color w:val="auto"/>
        </w:rPr>
        <w:t>(Registrant)</w:t>
      </w:r>
    </w:p>
    <w:p>
      <w:pPr>
        <w:spacing w:after="0" w:line="320" w:lineRule="exact"/>
        <w:rPr>
          <w:sz w:val="20"/>
          <w:szCs w:val="20"/>
          <w:color w:val="auto"/>
        </w:rPr>
      </w:pPr>
    </w:p>
    <w:p>
      <w:pPr>
        <w:ind w:left="4660"/>
        <w:spacing w:after="0"/>
        <w:tabs>
          <w:tab w:leader="none" w:pos="7360" w:val="left"/>
        </w:tabs>
        <w:rPr>
          <w:sz w:val="20"/>
          <w:szCs w:val="20"/>
          <w:color w:val="auto"/>
        </w:rPr>
      </w:pP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Sarah R. Staford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23495</wp:posOffset>
            </wp:positionV>
            <wp:extent cx="4011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4011930" cy="8890"/>
                    </a:xfrm>
                    <a:prstGeom prst="rect">
                      <a:avLst/>
                    </a:prstGeom>
                    <a:noFill/>
                  </pic:spPr>
                </pic:pic>
              </a:graphicData>
            </a:graphic>
          </wp:anchor>
        </w:drawing>
      </w:r>
    </w:p>
    <w:p>
      <w:pPr>
        <w:spacing w:after="0" w:line="71" w:lineRule="exact"/>
        <w:rPr>
          <w:sz w:val="20"/>
          <w:szCs w:val="20"/>
          <w:color w:val="auto"/>
        </w:rPr>
      </w:pPr>
    </w:p>
    <w:p>
      <w:pPr>
        <w:jc w:val="center"/>
        <w:ind w:left="4900"/>
        <w:spacing w:after="0"/>
        <w:rPr>
          <w:sz w:val="20"/>
          <w:szCs w:val="20"/>
          <w:color w:val="auto"/>
        </w:rPr>
      </w:pPr>
      <w:r>
        <w:rPr>
          <w:rFonts w:ascii="Calibri" w:cs="Calibri" w:eastAsia="Calibri" w:hAnsi="Calibri"/>
          <w:sz w:val="18"/>
          <w:szCs w:val="18"/>
          <w:color w:val="auto"/>
        </w:rPr>
        <w:t>Sarah R. Staford</w:t>
      </w:r>
    </w:p>
    <w:p>
      <w:pPr>
        <w:spacing w:after="0" w:line="77" w:lineRule="exact"/>
        <w:rPr>
          <w:sz w:val="20"/>
          <w:szCs w:val="20"/>
          <w:color w:val="auto"/>
        </w:rPr>
      </w:pPr>
    </w:p>
    <w:p>
      <w:pPr>
        <w:jc w:val="center"/>
        <w:ind w:left="4940"/>
        <w:spacing w:after="0"/>
        <w:rPr>
          <w:sz w:val="20"/>
          <w:szCs w:val="20"/>
          <w:color w:val="auto"/>
        </w:rPr>
      </w:pPr>
      <w:r>
        <w:rPr>
          <w:rFonts w:ascii="Calibri" w:cs="Calibri" w:eastAsia="Calibri" w:hAnsi="Calibri"/>
          <w:sz w:val="18"/>
          <w:szCs w:val="18"/>
          <w:color w:val="auto"/>
        </w:rPr>
        <w:t>Controller and Chief Accountng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alibri" w:cs="Calibri" w:eastAsia="Calibri" w:hAnsi="Calibri"/>
          <w:sz w:val="18"/>
          <w:szCs w:val="18"/>
          <w:color w:val="auto"/>
        </w:rPr>
        <w:t>August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5.01</w:t>
      </w:r>
    </w:p>
    <w:p>
      <w:pPr>
        <w:spacing w:after="0" w:line="212" w:lineRule="exact"/>
        <w:rPr>
          <w:sz w:val="20"/>
          <w:szCs w:val="20"/>
          <w:color w:val="auto"/>
        </w:rPr>
      </w:pPr>
    </w:p>
    <w:p>
      <w:pPr>
        <w:ind w:left="4740"/>
        <w:spacing w:after="0"/>
        <w:rPr>
          <w:sz w:val="20"/>
          <w:szCs w:val="20"/>
          <w:color w:val="auto"/>
        </w:rPr>
      </w:pPr>
      <w:r>
        <w:rPr>
          <w:rFonts w:ascii="Calibri" w:cs="Calibri" w:eastAsia="Calibri" w:hAnsi="Calibri"/>
          <w:sz w:val="18"/>
          <w:szCs w:val="18"/>
          <w:color w:val="auto"/>
        </w:rPr>
        <w:t>[GableGotwals Leterhead]</w:t>
      </w:r>
    </w:p>
    <w:p>
      <w:pPr>
        <w:ind w:left="5140"/>
        <w:spacing w:after="0" w:line="235" w:lineRule="auto"/>
        <w:rPr>
          <w:sz w:val="20"/>
          <w:szCs w:val="20"/>
          <w:color w:val="auto"/>
        </w:rPr>
      </w:pPr>
      <w:r>
        <w:rPr>
          <w:rFonts w:ascii="Calibri" w:cs="Calibri" w:eastAsia="Calibri" w:hAnsi="Calibri"/>
          <w:sz w:val="18"/>
          <w:szCs w:val="18"/>
          <w:color w:val="auto"/>
        </w:rPr>
        <w:t>August 15, 2024</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Oklahoma Gas and Electric Company</w:t>
      </w:r>
    </w:p>
    <w:p>
      <w:pPr>
        <w:spacing w:after="0" w:line="235" w:lineRule="auto"/>
        <w:rPr>
          <w:sz w:val="20"/>
          <w:szCs w:val="20"/>
          <w:color w:val="auto"/>
        </w:rPr>
      </w:pPr>
      <w:r>
        <w:rPr>
          <w:rFonts w:ascii="Calibri" w:cs="Calibri" w:eastAsia="Calibri" w:hAnsi="Calibri"/>
          <w:sz w:val="18"/>
          <w:szCs w:val="18"/>
          <w:color w:val="auto"/>
        </w:rPr>
        <w:t>321 N. Harvey</w:t>
      </w:r>
    </w:p>
    <w:p>
      <w:pPr>
        <w:spacing w:after="0" w:line="236" w:lineRule="auto"/>
        <w:rPr>
          <w:sz w:val="20"/>
          <w:szCs w:val="20"/>
          <w:color w:val="auto"/>
        </w:rPr>
      </w:pPr>
      <w:r>
        <w:rPr>
          <w:rFonts w:ascii="Calibri" w:cs="Calibri" w:eastAsia="Calibri" w:hAnsi="Calibri"/>
          <w:sz w:val="18"/>
          <w:szCs w:val="18"/>
          <w:color w:val="auto"/>
        </w:rPr>
        <w:t>Oklahoma City, Oklahoma 73101</w:t>
      </w:r>
    </w:p>
    <w:p>
      <w:pPr>
        <w:spacing w:after="0" w:line="213"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Re: OG&amp;E’s Public Ofering of 5.60% Senior Notes, Series due April 1, 2053</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Ladies and Gentlemen:</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We have acted as special Oklahoma counsel to Oklahoma Gas and Electric Company, an Oklahoma corporaton (the “</w:t>
      </w:r>
      <w:r>
        <w:rPr>
          <w:rFonts w:ascii="Calibri" w:cs="Calibri" w:eastAsia="Calibri" w:hAnsi="Calibri"/>
          <w:sz w:val="18"/>
          <w:szCs w:val="18"/>
          <w:b w:val="1"/>
          <w:bCs w:val="1"/>
          <w:i w:val="1"/>
          <w:iCs w:val="1"/>
          <w:color w:val="auto"/>
        </w:rPr>
        <w:t>Company</w:t>
      </w:r>
      <w:r>
        <w:rPr>
          <w:rFonts w:ascii="Calibri" w:cs="Calibri" w:eastAsia="Calibri" w:hAnsi="Calibri"/>
          <w:sz w:val="18"/>
          <w:szCs w:val="18"/>
          <w:color w:val="auto"/>
        </w:rPr>
        <w:t>”), in connecton with the issuance and sale by the Company of $350,000,000 aggregate principal amount of its 5.60% Senior Notes, Series due April 1, 2053 (the “</w:t>
      </w:r>
      <w:r>
        <w:rPr>
          <w:rFonts w:ascii="Calibri" w:cs="Calibri" w:eastAsia="Calibri" w:hAnsi="Calibri"/>
          <w:sz w:val="18"/>
          <w:szCs w:val="18"/>
          <w:b w:val="1"/>
          <w:bCs w:val="1"/>
          <w:i w:val="1"/>
          <w:iCs w:val="1"/>
          <w:color w:val="auto"/>
        </w:rPr>
        <w:t>Senior Notes</w:t>
      </w:r>
      <w:r>
        <w:rPr>
          <w:rFonts w:ascii="Calibri" w:cs="Calibri" w:eastAsia="Calibri" w:hAnsi="Calibri"/>
          <w:sz w:val="18"/>
          <w:szCs w:val="18"/>
          <w:color w:val="auto"/>
        </w:rPr>
        <w:t>”) issued pursuant to the Prospectus Supplement, dated August 12, 2024 (the “</w:t>
      </w:r>
      <w:r>
        <w:rPr>
          <w:rFonts w:ascii="Calibri" w:cs="Calibri" w:eastAsia="Calibri" w:hAnsi="Calibri"/>
          <w:sz w:val="18"/>
          <w:szCs w:val="18"/>
          <w:b w:val="1"/>
          <w:bCs w:val="1"/>
          <w:i w:val="1"/>
          <w:iCs w:val="1"/>
          <w:color w:val="auto"/>
        </w:rPr>
        <w:t>Prospectus Supplement</w:t>
      </w:r>
      <w:r>
        <w:rPr>
          <w:rFonts w:ascii="Calibri" w:cs="Calibri" w:eastAsia="Calibri" w:hAnsi="Calibri"/>
          <w:sz w:val="18"/>
          <w:szCs w:val="18"/>
          <w:color w:val="auto"/>
        </w:rPr>
        <w:t>”) and fled with the United States Securites and Exchange Commission (the “</w:t>
      </w:r>
      <w:r>
        <w:rPr>
          <w:rFonts w:ascii="Calibri" w:cs="Calibri" w:eastAsia="Calibri" w:hAnsi="Calibri"/>
          <w:sz w:val="18"/>
          <w:szCs w:val="18"/>
          <w:b w:val="1"/>
          <w:bCs w:val="1"/>
          <w:i w:val="1"/>
          <w:iCs w:val="1"/>
          <w:color w:val="auto"/>
        </w:rPr>
        <w:t>SEC</w:t>
      </w:r>
      <w:r>
        <w:rPr>
          <w:rFonts w:ascii="Calibri" w:cs="Calibri" w:eastAsia="Calibri" w:hAnsi="Calibri"/>
          <w:sz w:val="18"/>
          <w:szCs w:val="18"/>
          <w:color w:val="auto"/>
        </w:rPr>
        <w:t>”) on August 13, 2024, and the Prospectus dated May 2, 2024, fled as part of the shelf registraton statement (File No. 333-279061-01) fled with the SEC on May 2, 2024 (the “</w:t>
      </w:r>
      <w:r>
        <w:rPr>
          <w:rFonts w:ascii="Calibri" w:cs="Calibri" w:eastAsia="Calibri" w:hAnsi="Calibri"/>
          <w:sz w:val="18"/>
          <w:szCs w:val="18"/>
          <w:b w:val="1"/>
          <w:bCs w:val="1"/>
          <w:i w:val="1"/>
          <w:iCs w:val="1"/>
          <w:color w:val="auto"/>
        </w:rPr>
        <w:t>Registraton Statement</w:t>
      </w:r>
      <w:r>
        <w:rPr>
          <w:rFonts w:ascii="Calibri" w:cs="Calibri" w:eastAsia="Calibri" w:hAnsi="Calibri"/>
          <w:sz w:val="18"/>
          <w:szCs w:val="18"/>
          <w:color w:val="auto"/>
        </w:rPr>
        <w:t>”).</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Senior Notes are part of the same series as the 5.60% Senior Notes due April 1, 2053 issued by the Company on April 3, 2023 in the inital principal amount of $350,000,000. The Senior Notes were issued under the Indenture dated as of October 1, 1995 (the “</w:t>
      </w:r>
      <w:r>
        <w:rPr>
          <w:rFonts w:ascii="Calibri" w:cs="Calibri" w:eastAsia="Calibri" w:hAnsi="Calibri"/>
          <w:sz w:val="18"/>
          <w:szCs w:val="18"/>
          <w:b w:val="1"/>
          <w:bCs w:val="1"/>
          <w:i w:val="1"/>
          <w:iCs w:val="1"/>
          <w:color w:val="auto"/>
        </w:rPr>
        <w:t>Base Indenture</w:t>
      </w:r>
      <w:r>
        <w:rPr>
          <w:rFonts w:ascii="Calibri" w:cs="Calibri" w:eastAsia="Calibri" w:hAnsi="Calibri"/>
          <w:sz w:val="18"/>
          <w:szCs w:val="18"/>
          <w:color w:val="auto"/>
        </w:rPr>
        <w:t>”) between the Company and BOKF, NA, as successor trustee (the “</w:t>
      </w:r>
      <w:r>
        <w:rPr>
          <w:rFonts w:ascii="Calibri" w:cs="Calibri" w:eastAsia="Calibri" w:hAnsi="Calibri"/>
          <w:sz w:val="18"/>
          <w:szCs w:val="18"/>
          <w:b w:val="1"/>
          <w:bCs w:val="1"/>
          <w:i w:val="1"/>
          <w:iCs w:val="1"/>
          <w:color w:val="auto"/>
        </w:rPr>
        <w:t>Trustee</w:t>
      </w:r>
      <w:r>
        <w:rPr>
          <w:rFonts w:ascii="Calibri" w:cs="Calibri" w:eastAsia="Calibri" w:hAnsi="Calibri"/>
          <w:sz w:val="18"/>
          <w:szCs w:val="18"/>
          <w:color w:val="auto"/>
        </w:rPr>
        <w:t>”), as supplemented 24 tmes, most recently by the Supplemental Indenture No. 24 thereto dated as of April 3, 2023 (the Base Indenture, as so supplemented, the “</w:t>
      </w:r>
      <w:r>
        <w:rPr>
          <w:rFonts w:ascii="Calibri" w:cs="Calibri" w:eastAsia="Calibri" w:hAnsi="Calibri"/>
          <w:sz w:val="18"/>
          <w:szCs w:val="18"/>
          <w:b w:val="1"/>
          <w:bCs w:val="1"/>
          <w:i w:val="1"/>
          <w:iCs w:val="1"/>
          <w:color w:val="auto"/>
        </w:rPr>
        <w:t>Indenture</w:t>
      </w:r>
      <w:r>
        <w:rPr>
          <w:rFonts w:ascii="Calibri" w:cs="Calibri" w:eastAsia="Calibri" w:hAnsi="Calibri"/>
          <w:sz w:val="18"/>
          <w:szCs w:val="18"/>
          <w:color w:val="auto"/>
        </w:rPr>
        <w:t>”), and were sold to the underwriters (the “</w:t>
      </w:r>
      <w:r>
        <w:rPr>
          <w:rFonts w:ascii="Calibri" w:cs="Calibri" w:eastAsia="Calibri" w:hAnsi="Calibri"/>
          <w:sz w:val="18"/>
          <w:szCs w:val="18"/>
          <w:b w:val="1"/>
          <w:bCs w:val="1"/>
          <w:i w:val="1"/>
          <w:iCs w:val="1"/>
          <w:color w:val="auto"/>
        </w:rPr>
        <w:t>Underwriters</w:t>
      </w:r>
      <w:r>
        <w:rPr>
          <w:rFonts w:ascii="Calibri" w:cs="Calibri" w:eastAsia="Calibri" w:hAnsi="Calibri"/>
          <w:sz w:val="18"/>
          <w:szCs w:val="18"/>
          <w:color w:val="auto"/>
        </w:rPr>
        <w:t>”) under the Underwritng Agreement dated August 12, 2024 (the “</w:t>
      </w:r>
      <w:r>
        <w:rPr>
          <w:rFonts w:ascii="Calibri" w:cs="Calibri" w:eastAsia="Calibri" w:hAnsi="Calibri"/>
          <w:sz w:val="18"/>
          <w:szCs w:val="18"/>
          <w:b w:val="1"/>
          <w:bCs w:val="1"/>
          <w:i w:val="1"/>
          <w:iCs w:val="1"/>
          <w:color w:val="auto"/>
        </w:rPr>
        <w:t>Underwritng Agreement</w:t>
      </w:r>
      <w:r>
        <w:rPr>
          <w:rFonts w:ascii="Calibri" w:cs="Calibri" w:eastAsia="Calibri" w:hAnsi="Calibri"/>
          <w:sz w:val="18"/>
          <w:szCs w:val="18"/>
          <w:color w:val="auto"/>
        </w:rPr>
        <w:t>”) among the Company and Mizuho Securites USA LLC, RBC Capital Markets, LLC and Wells Fargo Securites, LLC, as representatves of the Underwriters.</w:t>
      </w:r>
    </w:p>
    <w:p>
      <w:pPr>
        <w:spacing w:after="0" w:line="22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rendering this opinion, we have examined and relied on the Registraton Statement, the Indenture, the form of the Senior Notes and such corporate records and other documents, and we have reviewed such maters of law, as we have deemed necessary or appropriate, and have also conducted such investgatons of fact and law as we have deemed necessary or advisable for purposes of this leter. Further, with your consent, we have relied upon oral and writen representatons of ofcers of the Company and certfcates of ofcers of the Company and public ofcials with respect to the accuracy of the factual maters addressed in such representatons and certfcates. In additon, with your consent, we have assumed (a) the authentcity of original documents and the genuineness of all signatures, (b) the conformity to the originals of all documents submited to us as copies, (c) each natural person signing any document reviewed by us had the legal capacity to do so, (d) each person signing in a representatve capacity any document reviewed by us had authority to sign in such capacity, (e) the truth, accuracy and completeness of the informaton, representatons and warrantes contained in the records, documents, instruments and certfcates we have reviewed, (f) that all Senior Notes will be issued and sold in compliance with applicable federal and state securites laws, including applicable provisions of “blue sky” laws, and in the manner stated in the Registraton Statement and the Prospectus Supplement, (g) each of the Senior Notes have been or will be duly authentcated and delivered by the Trustee against payment therefore in accordance with the provisions of the Transacton Documents (as defned below), and (h) the organizatonal documents of the Company, each as amended to the date hereof, will not have been amended from the date hereof in a manner that would afect the validity of the opinion rendered herein.</w:t>
      </w:r>
    </w:p>
    <w:p>
      <w:pPr>
        <w:spacing w:after="0" w:line="227" w:lineRule="exact"/>
        <w:rPr>
          <w:sz w:val="20"/>
          <w:szCs w:val="20"/>
          <w:color w:val="auto"/>
        </w:rPr>
      </w:pPr>
    </w:p>
    <w:p>
      <w:pPr>
        <w:jc w:val="both"/>
        <w:ind w:firstLine="374"/>
        <w:spacing w:after="0" w:line="249" w:lineRule="auto"/>
        <w:rPr>
          <w:sz w:val="20"/>
          <w:szCs w:val="20"/>
          <w:color w:val="auto"/>
        </w:rPr>
      </w:pPr>
      <w:r>
        <w:rPr>
          <w:rFonts w:ascii="Calibri" w:cs="Calibri" w:eastAsia="Calibri" w:hAnsi="Calibri"/>
          <w:sz w:val="17"/>
          <w:szCs w:val="17"/>
          <w:color w:val="auto"/>
        </w:rPr>
        <w:t>We have also assumed that the executon, delivery and performance of the Underwritng Agreement, Indenture and the Senior Notes (collectvely, the “</w:t>
      </w:r>
      <w:r>
        <w:rPr>
          <w:rFonts w:ascii="Calibri" w:cs="Calibri" w:eastAsia="Calibri" w:hAnsi="Calibri"/>
          <w:sz w:val="17"/>
          <w:szCs w:val="17"/>
          <w:b w:val="1"/>
          <w:bCs w:val="1"/>
          <w:i w:val="1"/>
          <w:iCs w:val="1"/>
          <w:color w:val="auto"/>
        </w:rPr>
        <w:t>Transacton Documents</w:t>
      </w:r>
      <w:r>
        <w:rPr>
          <w:rFonts w:ascii="Calibri" w:cs="Calibri" w:eastAsia="Calibri" w:hAnsi="Calibri"/>
          <w:sz w:val="17"/>
          <w:szCs w:val="17"/>
          <w:color w:val="auto"/>
        </w:rPr>
        <w:t>”) will not (a) violate, confict with or result in a breach of, or require any consent under, the charters, bylaws or equivalent organizatonal documents of any party to such documents or the laws of the jurisdictons of organizaton or other applicable laws with respect to such partes,</w:t>
      </w:r>
    </w:p>
    <w:p>
      <w:pPr>
        <w:spacing w:after="0" w:line="2" w:lineRule="exact"/>
        <w:rPr>
          <w:sz w:val="20"/>
          <w:szCs w:val="20"/>
          <w:color w:val="auto"/>
        </w:rPr>
      </w:pPr>
    </w:p>
    <w:p>
      <w:pPr>
        <w:jc w:val="both"/>
        <w:ind w:firstLine="8"/>
        <w:spacing w:after="0" w:line="235" w:lineRule="auto"/>
        <w:tabs>
          <w:tab w:leader="none" w:pos="254"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violate any requirement or restricton imposed by any order, writ, judgment, injuncton, decree, determinaton or award of any court or governmental body having jurisdicton over any party to such documents or any of their respectve assets or (c) consttute a breach or violaton of any agreement or instrument that is binding on any party to the Transacton Documents. We have also assumed that each party to the Transacton Documents other than the Company (in the case of partes that are not natural persons) has been duly organized and is validly existng and in good standing under its jurisdicton of organizaton, that each such party (other than, with respect to the Senior Notes, the Company) has the legal capacity, power and authority (corporate or otherwise) to enter into, deliver and perform its obligatons thereunder and that each of the Transacton Documents (other than, with respect to the Company, the Senior Notes) consttutes the valid and legally binding obligaton of all such partes, enforceable against them in accordance with its terms. As to any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 w:name="page5"/>
    <w:bookmarkEnd w:id="4"/>
    <w:p>
      <w:pPr>
        <w:jc w:val="both"/>
        <w:spacing w:after="0" w:line="235" w:lineRule="auto"/>
        <w:rPr>
          <w:sz w:val="20"/>
          <w:szCs w:val="20"/>
          <w:color w:val="auto"/>
        </w:rPr>
      </w:pPr>
      <w:r>
        <w:rPr>
          <w:rFonts w:ascii="Calibri" w:cs="Calibri" w:eastAsia="Calibri" w:hAnsi="Calibri"/>
          <w:sz w:val="18"/>
          <w:szCs w:val="18"/>
          <w:color w:val="auto"/>
        </w:rPr>
        <w:t>material to the opinions expressed herein that we did not independently establish or verify, we have relied upon statements and representatons of ofcers and other representatves of the Company and others.</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Based on the foregoing, and subject to the qualifcatons and limitatons stated herein, we are of the opinion that the Senior Notes will be the valid and binding obligatons of the Company, enforceable against the Company in accordance with their respectve terms.</w:t>
      </w:r>
    </w:p>
    <w:p>
      <w:pPr>
        <w:spacing w:after="0" w:line="218" w:lineRule="exact"/>
        <w:rPr>
          <w:sz w:val="20"/>
          <w:szCs w:val="20"/>
          <w:color w:val="auto"/>
        </w:rPr>
      </w:pPr>
    </w:p>
    <w:p>
      <w:pPr>
        <w:jc w:val="both"/>
        <w:ind w:firstLine="374"/>
        <w:spacing w:after="0" w:line="250" w:lineRule="auto"/>
        <w:rPr>
          <w:sz w:val="20"/>
          <w:szCs w:val="20"/>
          <w:color w:val="auto"/>
        </w:rPr>
      </w:pPr>
      <w:r>
        <w:rPr>
          <w:rFonts w:ascii="Calibri" w:cs="Calibri" w:eastAsia="Calibri" w:hAnsi="Calibri"/>
          <w:sz w:val="17"/>
          <w:szCs w:val="17"/>
          <w:color w:val="auto"/>
        </w:rPr>
        <w:t>The opinion set forth above is subject to the efects of (a) bankruptcy, insolvency, fraudulent conveyance, reorganizaton, moratorium and other similar laws relatng to or afectng the enforcement of creditors’ rights generally, (b) general equitable principles (including, without limitaton, concepts of materiality, reasonableness, good faith and fair dealing) regardless of whether considered in a proceeding in equity or at law, (c) applicable law and public policy with respect to rights to indemnity and contributon, (d) an implied covenant of good faith and fair dealing, (e) provisions of law that require that a judgment for money damages rendered by a court in the United States be expressed only in United States dollars, (f) limitatons by any governmental authority that limit, delay or prohibit the making of payments outside the United States and (g) generally applicable laws that (i) provide for the enforcement of oral waivers or modifcatons where a material change of positon in reliance thereon has occurred or provide that a course of performance may operate as a waiver, (ii) limit the availability of a remedy under certain circumstances where another remedy has been elected, (iii) limit the enforceability of provisions releasing, exculpatng or exemptng a party from, or requiring indemnifcaton or contributon of a party for, liability for its own acton or inacton, to the extent the acton or inacton involves negligence, gross negligence, recklessness, willful misconduct or unlawful conduct, (iv) may, where less than all of a contract may be unenforceable, limit the enforceability of the balance of the contract to circumstances in which the unenforceable porton is not an essental part of the agreed exchange, (v) may limit the enforceability of provisions providing for compounded interest, imposing increased interest rates or late payment charges upon delinquency in payment or default or providing for liquidated damages or for premiums or penaltes upon acceleraton and (vi) limit the waiver of rights under usury laws. We express no opinion as to whether, or the extent to which, the laws of any partcular jurisdicton apply to the subject mater hereof, including, without limitaton, the enforceability of the governing law provision contained in the Senior Notes or the Indenture. Furthermore, the manner in which any partcular issue relatng to the opinions would be treated in any actual court case would depend in part on facts and circumstances partcular to the case and would also depend on how the court involved chose to exercise the wide discretonary authority generally available to it. We express no opinion as to the efect of Secton 210(p) of the Dodd-Frank Wall Street Reform and Consumer Protecton Act.</w:t>
      </w:r>
    </w:p>
    <w:p>
      <w:pPr>
        <w:spacing w:after="0" w:line="21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This opinion is limited to the laws of the State of Oklahoma. We express no opinion as to the laws of any other jurisdicton, including without limitaton the federal laws of the United States. The opinions expressed herein are as of the date hereof only and are based on laws, orders, contract terms and provisions, and facts as of such date, and we disclaim any obligaton to update this opinion leter afer such date or to advise you of changes of facts stated or assumed herein or any subsequent changes in law.</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We hereby consent to the fling of this opinion as Exhibit 5.01 to the Current Report on Form 8-K dated the date hereof and incorporated by reference into the Registraton Statement and to the reference to us with respect to this opinion under the capton of “Legal Opinions” in the prospectus consttutng a part of the Registraton Statement. In giving such consent, we do not thereby admit that we are included in the category of persons whose consent is required under Secton 7 of the Act or the rules and regulatons of the Commission promulgated thereunder.</w:t>
      </w:r>
    </w:p>
    <w:p>
      <w:pPr>
        <w:spacing w:after="0" w:line="215" w:lineRule="exact"/>
        <w:rPr>
          <w:sz w:val="20"/>
          <w:szCs w:val="20"/>
          <w:color w:val="auto"/>
        </w:rPr>
      </w:pPr>
    </w:p>
    <w:p>
      <w:pPr>
        <w:jc w:val="center"/>
        <w:ind w:right="60"/>
        <w:spacing w:after="0"/>
        <w:rPr>
          <w:sz w:val="20"/>
          <w:szCs w:val="20"/>
          <w:color w:val="auto"/>
        </w:rPr>
      </w:pPr>
      <w:r>
        <w:rPr>
          <w:rFonts w:ascii="Calibri" w:cs="Calibri" w:eastAsia="Calibri" w:hAnsi="Calibri"/>
          <w:sz w:val="18"/>
          <w:szCs w:val="18"/>
          <w:color w:val="auto"/>
        </w:rPr>
        <w:t>Very truly yours,</w:t>
      </w:r>
    </w:p>
    <w:p>
      <w:pPr>
        <w:spacing w:after="0" w:line="212" w:lineRule="exact"/>
        <w:rPr>
          <w:sz w:val="20"/>
          <w:szCs w:val="20"/>
          <w:color w:val="auto"/>
        </w:rPr>
      </w:pPr>
    </w:p>
    <w:p>
      <w:pPr>
        <w:ind w:left="5320"/>
        <w:spacing w:after="0"/>
        <w:rPr>
          <w:sz w:val="20"/>
          <w:szCs w:val="20"/>
          <w:color w:val="auto"/>
        </w:rPr>
      </w:pPr>
      <w:r>
        <w:rPr>
          <w:rFonts w:ascii="Calibri" w:cs="Calibri" w:eastAsia="Calibri" w:hAnsi="Calibri"/>
          <w:sz w:val="18"/>
          <w:szCs w:val="18"/>
          <w:color w:val="auto"/>
        </w:rPr>
        <w:t>/s/ GableGotwals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0" Type="http://schemas.openxmlformats.org/officeDocument/2006/relationships/hyperlink" Target="https://www.sec.gov/Archives/edgar/data/74145/000095017023011514/oge-ex4_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2024-08-15T10:46:49Z</dcterms:created>
  <dcterms:modified xsi:type="dcterms:W3CDTF">2024-08-15T10:46:49Z</dcterms:modified>
</cp:coreProperties>
</file>