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2"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44"/>
        </w:trPr>
        <w:tc>
          <w:tcPr>
            <w:tcW w:w="6400" w:type="dxa"/>
            <w:vAlign w:val="bottom"/>
            <w:tcBorders>
              <w:bottom w:val="single" w:sz="8" w:color="auto"/>
            </w:tcBorders>
            <w:gridSpan w:val="3"/>
          </w:tcPr>
          <w:p>
            <w:pPr>
              <w:ind w:left="1240"/>
              <w:spacing w:after="0"/>
              <w:rPr>
                <w:sz w:val="20"/>
                <w:szCs w:val="20"/>
                <w:color w:val="auto"/>
              </w:rPr>
            </w:pPr>
            <w:r>
              <w:rPr>
                <w:rFonts w:ascii="Arial" w:cs="Arial" w:eastAsia="Arial" w:hAnsi="Arial"/>
                <w:sz w:val="18"/>
                <w:szCs w:val="18"/>
                <w:color w:val="auto"/>
              </w:rPr>
              <w:t>Date of report (Date of earliest event reported)</w:t>
            </w:r>
          </w:p>
        </w:tc>
        <w:tc>
          <w:tcPr>
            <w:tcW w:w="136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November 13, 2025</w:t>
            </w:r>
          </w:p>
        </w:tc>
      </w:tr>
      <w:tr>
        <w:trPr>
          <w:trHeight w:val="547"/>
        </w:trPr>
        <w:tc>
          <w:tcPr>
            <w:tcW w:w="23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9"/>
              </w:rPr>
              <w:t>(Commission File Number)</w:t>
            </w:r>
          </w:p>
        </w:tc>
        <w:tc>
          <w:tcPr>
            <w:tcW w:w="5380" w:type="dxa"/>
            <w:vAlign w:val="bottom"/>
            <w:tcBorders>
              <w:bottom w:val="single" w:sz="8" w:color="auto"/>
            </w:tcBorders>
            <w:gridSpan w:val="3"/>
          </w:tcPr>
          <w:p>
            <w:pPr>
              <w:jc w:val="center"/>
              <w:ind w:left="290"/>
              <w:spacing w:after="0"/>
              <w:rPr>
                <w:sz w:val="20"/>
                <w:szCs w:val="20"/>
                <w:color w:val="auto"/>
              </w:rPr>
            </w:pPr>
            <w:r>
              <w:rPr>
                <w:rFonts w:ascii="Arial" w:cs="Arial" w:eastAsia="Arial" w:hAnsi="Arial"/>
                <w:sz w:val="18"/>
                <w:szCs w:val="18"/>
                <w:color w:val="auto"/>
                <w:w w:val="99"/>
              </w:rPr>
              <w:t>(Exact Name of Registrants as Specified in Their Charters)</w:t>
            </w:r>
          </w:p>
        </w:tc>
        <w:tc>
          <w:tcPr>
            <w:tcW w:w="348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9"/>
              </w:rPr>
              <w:t>(I.R.S. Employer Identification No.)</w:t>
            </w:r>
          </w:p>
        </w:tc>
      </w:tr>
      <w:tr>
        <w:trPr>
          <w:trHeight w:val="299"/>
        </w:trPr>
        <w:tc>
          <w:tcPr>
            <w:tcW w:w="2380" w:type="dxa"/>
            <w:vAlign w:val="bottom"/>
          </w:tcPr>
          <w:p>
            <w:pPr>
              <w:jc w:val="right"/>
              <w:ind w:right="650"/>
              <w:spacing w:after="0"/>
              <w:rPr>
                <w:sz w:val="20"/>
                <w:szCs w:val="20"/>
                <w:color w:val="auto"/>
              </w:rPr>
            </w:pPr>
            <w:r>
              <w:rPr>
                <w:rFonts w:ascii="Arial" w:cs="Arial" w:eastAsia="Arial" w:hAnsi="Arial"/>
                <w:sz w:val="18"/>
                <w:szCs w:val="18"/>
                <w:color w:val="auto"/>
              </w:rPr>
              <w:t>1-12579</w:t>
            </w:r>
          </w:p>
        </w:tc>
        <w:tc>
          <w:tcPr>
            <w:tcW w:w="180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rPr>
              <w:t>OGE ENERGY CORP.</w:t>
            </w:r>
          </w:p>
        </w:tc>
        <w:tc>
          <w:tcPr>
            <w:tcW w:w="1360" w:type="dxa"/>
            <w:vAlign w:val="bottom"/>
          </w:tcPr>
          <w:p>
            <w:pPr>
              <w:spacing w:after="0"/>
              <w:rPr>
                <w:sz w:val="24"/>
                <w:szCs w:val="24"/>
                <w:color w:val="auto"/>
              </w:rPr>
            </w:pPr>
          </w:p>
        </w:tc>
        <w:tc>
          <w:tcPr>
            <w:tcW w:w="3480" w:type="dxa"/>
            <w:vAlign w:val="bottom"/>
          </w:tcPr>
          <w:p>
            <w:pPr>
              <w:jc w:val="center"/>
              <w:ind w:left="70"/>
              <w:spacing w:after="0"/>
              <w:rPr>
                <w:sz w:val="20"/>
                <w:szCs w:val="20"/>
                <w:color w:val="auto"/>
              </w:rPr>
            </w:pPr>
            <w:r>
              <w:rPr>
                <w:rFonts w:ascii="Arial" w:cs="Arial" w:eastAsia="Arial" w:hAnsi="Arial"/>
                <w:sz w:val="18"/>
                <w:szCs w:val="18"/>
                <w:color w:val="auto"/>
                <w:w w:val="99"/>
              </w:rPr>
              <w:t>73-1481638</w:t>
            </w:r>
          </w:p>
        </w:tc>
      </w:tr>
      <w:tr>
        <w:trPr>
          <w:trHeight w:val="310"/>
        </w:trPr>
        <w:tc>
          <w:tcPr>
            <w:tcW w:w="2380" w:type="dxa"/>
            <w:vAlign w:val="bottom"/>
          </w:tcPr>
          <w:p>
            <w:pPr>
              <w:jc w:val="right"/>
              <w:ind w:right="710"/>
              <w:spacing w:after="0"/>
              <w:rPr>
                <w:sz w:val="20"/>
                <w:szCs w:val="20"/>
                <w:color w:val="auto"/>
              </w:rPr>
            </w:pPr>
            <w:r>
              <w:rPr>
                <w:rFonts w:ascii="Arial" w:cs="Arial" w:eastAsia="Arial" w:hAnsi="Arial"/>
                <w:sz w:val="18"/>
                <w:szCs w:val="18"/>
                <w:color w:val="auto"/>
              </w:rPr>
              <w:t>1-1097</w:t>
            </w:r>
          </w:p>
        </w:tc>
        <w:tc>
          <w:tcPr>
            <w:tcW w:w="5380" w:type="dxa"/>
            <w:vAlign w:val="bottom"/>
            <w:gridSpan w:val="3"/>
          </w:tcPr>
          <w:p>
            <w:pPr>
              <w:jc w:val="center"/>
              <w:ind w:left="290"/>
              <w:spacing w:after="0"/>
              <w:rPr>
                <w:sz w:val="20"/>
                <w:szCs w:val="20"/>
                <w:color w:val="auto"/>
              </w:rPr>
            </w:pPr>
            <w:r>
              <w:rPr>
                <w:rFonts w:ascii="Arial" w:cs="Arial" w:eastAsia="Arial" w:hAnsi="Arial"/>
                <w:sz w:val="18"/>
                <w:szCs w:val="18"/>
                <w:color w:val="auto"/>
                <w:w w:val="99"/>
              </w:rPr>
              <w:t>OKLAHOMA GAS AND ELECTRIC COMPANY</w:t>
            </w:r>
          </w:p>
        </w:tc>
        <w:tc>
          <w:tcPr>
            <w:tcW w:w="3480" w:type="dxa"/>
            <w:vAlign w:val="bottom"/>
          </w:tcPr>
          <w:p>
            <w:pPr>
              <w:jc w:val="center"/>
              <w:ind w:left="70"/>
              <w:spacing w:after="0"/>
              <w:rPr>
                <w:sz w:val="20"/>
                <w:szCs w:val="20"/>
                <w:color w:val="auto"/>
              </w:rPr>
            </w:pPr>
            <w:r>
              <w:rPr>
                <w:rFonts w:ascii="Arial" w:cs="Arial" w:eastAsia="Arial" w:hAnsi="Arial"/>
                <w:sz w:val="18"/>
                <w:szCs w:val="18"/>
                <w:color w:val="auto"/>
                <w:w w:val="99"/>
              </w:rPr>
              <w:t>73-0382390</w:t>
            </w:r>
          </w:p>
        </w:tc>
      </w:tr>
      <w:tr>
        <w:trPr>
          <w:trHeight w:val="558"/>
        </w:trPr>
        <w:tc>
          <w:tcPr>
            <w:tcW w:w="23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color w:val="auto"/>
                <w:w w:val="99"/>
              </w:rPr>
              <w:t>Oklahoma</w:t>
            </w:r>
          </w:p>
        </w:tc>
        <w:tc>
          <w:tcPr>
            <w:tcW w:w="13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r>
      <w:tr>
        <w:trPr>
          <w:trHeight w:val="272"/>
        </w:trPr>
        <w:tc>
          <w:tcPr>
            <w:tcW w:w="2380" w:type="dxa"/>
            <w:vAlign w:val="bottom"/>
          </w:tcPr>
          <w:p>
            <w:pPr>
              <w:spacing w:after="0"/>
              <w:rPr>
                <w:sz w:val="23"/>
                <w:szCs w:val="23"/>
                <w:color w:val="auto"/>
              </w:rPr>
            </w:pPr>
          </w:p>
        </w:tc>
        <w:tc>
          <w:tcPr>
            <w:tcW w:w="5380" w:type="dxa"/>
            <w:vAlign w:val="bottom"/>
            <w:gridSpan w:val="3"/>
          </w:tcPr>
          <w:p>
            <w:pPr>
              <w:jc w:val="center"/>
              <w:ind w:left="1030"/>
              <w:spacing w:after="0"/>
              <w:rPr>
                <w:sz w:val="20"/>
                <w:szCs w:val="20"/>
                <w:color w:val="auto"/>
              </w:rPr>
            </w:pPr>
            <w:r>
              <w:rPr>
                <w:rFonts w:ascii="Arial" w:cs="Arial" w:eastAsia="Arial" w:hAnsi="Arial"/>
                <w:sz w:val="18"/>
                <w:szCs w:val="18"/>
                <w:color w:val="auto"/>
                <w:w w:val="99"/>
              </w:rPr>
              <w:t>(State or Other Jurisdiction of Incorporation)</w:t>
            </w:r>
          </w:p>
        </w:tc>
        <w:tc>
          <w:tcPr>
            <w:tcW w:w="3480" w:type="dxa"/>
            <w:vAlign w:val="bottom"/>
          </w:tcPr>
          <w:p>
            <w:pPr>
              <w:spacing w:after="0"/>
              <w:rPr>
                <w:sz w:val="23"/>
                <w:szCs w:val="23"/>
                <w:color w:val="auto"/>
              </w:rPr>
            </w:pPr>
          </w:p>
        </w:tc>
      </w:tr>
      <w:tr>
        <w:trPr>
          <w:trHeight w:val="558"/>
        </w:trPr>
        <w:tc>
          <w:tcPr>
            <w:tcW w:w="238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9"/>
              </w:rPr>
              <w:t>321 North Harvey</w:t>
            </w:r>
          </w:p>
        </w:tc>
        <w:tc>
          <w:tcPr>
            <w:tcW w:w="18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P.O. Box 321</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Oklahoma City</w:t>
            </w:r>
          </w:p>
        </w:tc>
        <w:tc>
          <w:tcPr>
            <w:tcW w:w="1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Oklahoma</w:t>
            </w:r>
          </w:p>
        </w:tc>
        <w:tc>
          <w:tcPr>
            <w:tcW w:w="348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9"/>
              </w:rPr>
              <w:t>73101-0321</w:t>
            </w:r>
          </w:p>
        </w:tc>
      </w:tr>
      <w:tr>
        <w:trPr>
          <w:trHeight w:val="272"/>
        </w:trPr>
        <w:tc>
          <w:tcPr>
            <w:tcW w:w="238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(Address of Principal Executive Offices)</w:t>
            </w:r>
          </w:p>
        </w:tc>
        <w:tc>
          <w:tcPr>
            <w:tcW w:w="1360" w:type="dxa"/>
            <w:vAlign w:val="bottom"/>
          </w:tcPr>
          <w:p>
            <w:pPr>
              <w:spacing w:after="0"/>
              <w:rPr>
                <w:sz w:val="23"/>
                <w:szCs w:val="23"/>
                <w:color w:val="auto"/>
              </w:rPr>
            </w:pPr>
          </w:p>
        </w:tc>
        <w:tc>
          <w:tcPr>
            <w:tcW w:w="3480" w:type="dxa"/>
            <w:vAlign w:val="bottom"/>
          </w:tcPr>
          <w:p>
            <w:pPr>
              <w:jc w:val="center"/>
              <w:ind w:left="70"/>
              <w:spacing w:after="0"/>
              <w:rPr>
                <w:sz w:val="20"/>
                <w:szCs w:val="20"/>
                <w:color w:val="auto"/>
              </w:rPr>
            </w:pPr>
            <w:r>
              <w:rPr>
                <w:rFonts w:ascii="Arial" w:cs="Arial" w:eastAsia="Arial" w:hAnsi="Arial"/>
                <w:sz w:val="18"/>
                <w:szCs w:val="18"/>
                <w:color w:val="auto"/>
                <w:w w:val="98"/>
              </w:rPr>
              <w:t>(Zip Code)</w:t>
            </w:r>
          </w:p>
        </w:tc>
      </w:tr>
    </w:tbl>
    <w:p>
      <w:pPr>
        <w:spacing w:after="0" w:line="193"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(405) 553-3000</w:t>
      </w:r>
    </w:p>
    <w:p>
      <w:pPr>
        <w:spacing w:after="0" w:line="14"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(Registrant's telephone number, including area code)</w:t>
      </w:r>
    </w:p>
    <w:p>
      <w:pPr>
        <w:spacing w:after="0" w:line="45"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20" w:firstLine="374"/>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33" w:lineRule="exact"/>
        <w:rPr>
          <w:sz w:val="24"/>
          <w:szCs w:val="24"/>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38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244"/>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Registrant</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 of each class</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72"/>
        </w:trPr>
        <w:tc>
          <w:tcPr>
            <w:tcW w:w="3440" w:type="dxa"/>
            <w:vAlign w:val="bottom"/>
          </w:tcPr>
          <w:p>
            <w:pPr>
              <w:jc w:val="center"/>
              <w:spacing w:after="0"/>
              <w:rPr>
                <w:sz w:val="20"/>
                <w:szCs w:val="20"/>
                <w:color w:val="auto"/>
              </w:rPr>
            </w:pPr>
            <w:r>
              <w:rPr>
                <w:rFonts w:ascii="Arial" w:cs="Arial" w:eastAsia="Arial" w:hAnsi="Arial"/>
                <w:sz w:val="18"/>
                <w:szCs w:val="18"/>
                <w:color w:val="auto"/>
                <w:w w:val="99"/>
              </w:rPr>
              <w:t>OGE Energy Corp.</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Common Stock</w:t>
            </w: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OGE</w:t>
            </w:r>
          </w:p>
        </w:tc>
        <w:tc>
          <w:tcPr>
            <w:tcW w:w="4060" w:type="dxa"/>
            <w:vAlign w:val="bottom"/>
          </w:tcPr>
          <w:p>
            <w:pPr>
              <w:jc w:val="center"/>
              <w:spacing w:after="0"/>
              <w:rPr>
                <w:sz w:val="20"/>
                <w:szCs w:val="20"/>
                <w:color w:val="auto"/>
              </w:rPr>
            </w:pPr>
            <w:r>
              <w:rPr>
                <w:rFonts w:ascii="Arial" w:cs="Arial" w:eastAsia="Arial" w:hAnsi="Arial"/>
                <w:sz w:val="18"/>
                <w:szCs w:val="18"/>
                <w:color w:val="auto"/>
              </w:rPr>
              <w:t>New York Stock Exchange</w:t>
            </w:r>
          </w:p>
        </w:tc>
      </w:tr>
      <w:tr>
        <w:trPr>
          <w:trHeight w:val="297"/>
        </w:trPr>
        <w:tc>
          <w:tcPr>
            <w:tcW w:w="3440" w:type="dxa"/>
            <w:vAlign w:val="bottom"/>
          </w:tcPr>
          <w:p>
            <w:pPr>
              <w:jc w:val="center"/>
              <w:spacing w:after="0"/>
              <w:rPr>
                <w:sz w:val="20"/>
                <w:szCs w:val="20"/>
                <w:color w:val="auto"/>
              </w:rPr>
            </w:pPr>
            <w:r>
              <w:rPr>
                <w:rFonts w:ascii="Arial" w:cs="Arial" w:eastAsia="Arial" w:hAnsi="Arial"/>
                <w:sz w:val="18"/>
                <w:szCs w:val="18"/>
                <w:color w:val="auto"/>
              </w:rPr>
              <w:t>Oklahoma Gas and Electric Company</w:t>
            </w:r>
          </w:p>
        </w:tc>
        <w:tc>
          <w:tcPr>
            <w:tcW w:w="1820" w:type="dxa"/>
            <w:vAlign w:val="bottom"/>
          </w:tcPr>
          <w:p>
            <w:pPr>
              <w:jc w:val="center"/>
              <w:spacing w:after="0"/>
              <w:rPr>
                <w:sz w:val="20"/>
                <w:szCs w:val="20"/>
                <w:color w:val="auto"/>
              </w:rPr>
            </w:pPr>
            <w:r>
              <w:rPr>
                <w:rFonts w:ascii="Arial" w:cs="Arial" w:eastAsia="Arial" w:hAnsi="Arial"/>
                <w:sz w:val="18"/>
                <w:szCs w:val="18"/>
                <w:color w:val="auto"/>
                <w:w w:val="97"/>
              </w:rPr>
              <w:t>None</w:t>
            </w: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4060" w:type="dxa"/>
            <w:vAlign w:val="bottom"/>
          </w:tcPr>
          <w:p>
            <w:pPr>
              <w:jc w:val="center"/>
              <w:spacing w:after="0"/>
              <w:rPr>
                <w:sz w:val="20"/>
                <w:szCs w:val="20"/>
                <w:color w:val="auto"/>
              </w:rPr>
            </w:pPr>
            <w:r>
              <w:rPr>
                <w:rFonts w:ascii="Arial" w:cs="Arial" w:eastAsia="Arial" w:hAnsi="Arial"/>
                <w:sz w:val="18"/>
                <w:szCs w:val="18"/>
                <w:color w:val="auto"/>
                <w:w w:val="99"/>
              </w:rPr>
              <w:t>N/A</w:t>
            </w:r>
          </w:p>
        </w:tc>
      </w:tr>
    </w:tbl>
    <w:p>
      <w:pPr>
        <w:spacing w:after="0" w:line="193" w:lineRule="exact"/>
        <w:rPr>
          <w:sz w:val="24"/>
          <w:szCs w:val="24"/>
          <w:color w:val="auto"/>
        </w:rPr>
      </w:pPr>
    </w:p>
    <w:p>
      <w:pPr>
        <w:jc w:val="both"/>
        <w:ind w:firstLine="374"/>
        <w:spacing w:after="0" w:line="24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 w:lineRule="exact"/>
        <w:rPr>
          <w:sz w:val="24"/>
          <w:szCs w:val="24"/>
          <w:color w:val="auto"/>
        </w:rPr>
      </w:pPr>
    </w:p>
    <w:p>
      <w:pPr>
        <w:ind w:left="88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374"/>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3D3D3D"/>
        </w:rPr>
        <w:t>Item 8.01. Other Events</w:t>
      </w:r>
    </w:p>
    <w:p>
      <w:pPr>
        <w:spacing w:after="0" w:line="198" w:lineRule="exact"/>
        <w:rPr>
          <w:sz w:val="20"/>
          <w:szCs w:val="20"/>
          <w:color w:val="auto"/>
        </w:rPr>
      </w:pPr>
    </w:p>
    <w:p>
      <w:pPr>
        <w:jc w:val="both"/>
        <w:ind w:right="20" w:firstLine="374"/>
        <w:spacing w:after="0" w:line="271" w:lineRule="auto"/>
        <w:rPr>
          <w:sz w:val="20"/>
          <w:szCs w:val="20"/>
          <w:color w:val="auto"/>
        </w:rPr>
      </w:pPr>
      <w:r>
        <w:rPr>
          <w:rFonts w:ascii="Arial" w:cs="Arial" w:eastAsia="Arial" w:hAnsi="Arial"/>
          <w:sz w:val="18"/>
          <w:szCs w:val="18"/>
          <w:color w:val="auto"/>
        </w:rPr>
        <w:t>OGE Energy Corp. ("OGE Energy") is the parent company of Oklahoma Gas and Electric Company ("OG&amp;E"), a regulated electric company with approximately 910,000 customers in Oklahoma and western Arkansas.</w:t>
      </w:r>
    </w:p>
    <w:p>
      <w:pPr>
        <w:spacing w:after="0" w:line="140"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8"/>
          <w:szCs w:val="18"/>
          <w:color w:val="auto"/>
        </w:rPr>
        <w:t>OGE Energy today reported that OG&amp;E has received pre-approval by the Oklahoma Corporation Commission (“OCC”) to construct two natural gas combustion turbines with a total nameplate capacity of 448 megawatts at its Horseshoe Lake facility in Oklahoma.</w:t>
      </w:r>
    </w:p>
    <w:p>
      <w:pPr>
        <w:spacing w:after="0" w:line="140"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On November 13, 2025, the OCC issued an order finding that OG&amp;E has demonstrated a need to construct Horseshoe Lake Units 13 and 14, which are scheduled to go into service by the end of 2029, but did not approve the use of Construction Work in Progress. The OCC order did approve rider recovery for the Horseshoe Lake Units 13 and 14 once they are placed in service, approved two Capacity Purchase Agreements ("CPAs"), but did not approve a return on the CPAs. As a result of receiving pre-approval, OGE Energy has updated its five-year capital plan, including the addition of Horseshoe Lake Units 13 and 14, as well as extended its capital plan through 2030. OGE Energy expects to finance these incremental investments with a mix of debt and equity content to support strong investment grade credit ratings and targeted credit metrics. OGE Energy's long-term consolidated earnings per share growth target is five percent to seven percent, targeting the top half of the range through 2028.</w:t>
      </w:r>
    </w:p>
    <w:p>
      <w:pPr>
        <w:spacing w:after="0" w:line="167"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8"/>
          <w:szCs w:val="18"/>
          <w:color w:val="auto"/>
        </w:rPr>
        <w:t>The following table presents OGE Energy's estimates of capital expenditures for the years 2026 through 2030. OGE Energy will continue to update estimates of capital expenditures as customers are added and the service territory continues to grow.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Borders>
              <w:top w:val="single" w:sz="8" w:color="auto"/>
              <w:bottom w:val="single" w:sz="8" w:color="auto"/>
            </w:tcBorders>
          </w:tcPr>
          <w:p>
            <w:pPr>
              <w:jc w:val="right"/>
              <w:ind w:right="2630"/>
              <w:spacing w:after="0"/>
              <w:rPr>
                <w:sz w:val="20"/>
                <w:szCs w:val="20"/>
                <w:color w:val="auto"/>
              </w:rPr>
            </w:pPr>
            <w:r>
              <w:rPr>
                <w:rFonts w:ascii="Arial" w:cs="Arial" w:eastAsia="Arial" w:hAnsi="Arial"/>
                <w:sz w:val="18"/>
                <w:szCs w:val="18"/>
                <w:i w:val="1"/>
                <w:iCs w:val="1"/>
                <w:color w:val="auto"/>
                <w:w w:val="97"/>
              </w:rPr>
              <w:t>(In millions)</w:t>
            </w:r>
          </w:p>
        </w:tc>
        <w:tc>
          <w:tcPr>
            <w:tcW w:w="13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2026</w:t>
            </w:r>
          </w:p>
        </w:tc>
        <w:tc>
          <w:tcPr>
            <w:tcW w:w="13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2027</w:t>
            </w:r>
          </w:p>
        </w:tc>
        <w:tc>
          <w:tcPr>
            <w:tcW w:w="13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2028</w:t>
            </w: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2029</w:t>
            </w:r>
          </w:p>
        </w:tc>
        <w:tc>
          <w:tcPr>
            <w:tcW w:w="13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2030</w:t>
            </w:r>
          </w:p>
        </w:tc>
        <w:tc>
          <w:tcPr>
            <w:tcW w:w="10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196"/>
        </w:trPr>
        <w:tc>
          <w:tcPr>
            <w:tcW w:w="364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Transmission</w:t>
            </w:r>
          </w:p>
        </w:tc>
        <w:tc>
          <w:tcPr>
            <w:tcW w:w="130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$285</w:t>
            </w:r>
          </w:p>
        </w:tc>
        <w:tc>
          <w:tcPr>
            <w:tcW w:w="130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$295</w:t>
            </w:r>
          </w:p>
        </w:tc>
        <w:tc>
          <w:tcPr>
            <w:tcW w:w="130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$300</w:t>
            </w:r>
          </w:p>
        </w:tc>
        <w:tc>
          <w:tcPr>
            <w:tcW w:w="132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$270</w:t>
            </w:r>
          </w:p>
        </w:tc>
        <w:tc>
          <w:tcPr>
            <w:tcW w:w="130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$240</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$1,390</w:t>
            </w:r>
          </w:p>
        </w:tc>
      </w:tr>
      <w:tr>
        <w:trPr>
          <w:trHeight w:val="203"/>
        </w:trPr>
        <w:tc>
          <w:tcPr>
            <w:tcW w:w="36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Oklahoma distribution</w:t>
            </w:r>
          </w:p>
        </w:tc>
        <w:tc>
          <w:tcPr>
            <w:tcW w:w="13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665</w:t>
            </w:r>
          </w:p>
        </w:tc>
        <w:tc>
          <w:tcPr>
            <w:tcW w:w="13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705</w:t>
            </w:r>
          </w:p>
        </w:tc>
        <w:tc>
          <w:tcPr>
            <w:tcW w:w="13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725</w:t>
            </w:r>
          </w:p>
        </w:tc>
        <w:tc>
          <w:tcPr>
            <w:tcW w:w="13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775</w:t>
            </w:r>
          </w:p>
        </w:tc>
        <w:tc>
          <w:tcPr>
            <w:tcW w:w="13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825</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3,695</w:t>
            </w:r>
          </w:p>
        </w:tc>
      </w:tr>
      <w:tr>
        <w:trPr>
          <w:trHeight w:val="203"/>
        </w:trPr>
        <w:tc>
          <w:tcPr>
            <w:tcW w:w="364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Arkansas distribution</w:t>
            </w:r>
          </w:p>
        </w:tc>
        <w:tc>
          <w:tcPr>
            <w:tcW w:w="130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25</w:t>
            </w:r>
          </w:p>
        </w:tc>
        <w:tc>
          <w:tcPr>
            <w:tcW w:w="130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25</w:t>
            </w:r>
          </w:p>
        </w:tc>
        <w:tc>
          <w:tcPr>
            <w:tcW w:w="130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25</w:t>
            </w:r>
          </w:p>
        </w:tc>
        <w:tc>
          <w:tcPr>
            <w:tcW w:w="132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25</w:t>
            </w:r>
          </w:p>
        </w:tc>
        <w:tc>
          <w:tcPr>
            <w:tcW w:w="130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25</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w:t>
            </w:r>
          </w:p>
        </w:tc>
      </w:tr>
      <w:tr>
        <w:trPr>
          <w:trHeight w:val="203"/>
        </w:trPr>
        <w:tc>
          <w:tcPr>
            <w:tcW w:w="36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Generation reliability</w:t>
            </w:r>
          </w:p>
        </w:tc>
        <w:tc>
          <w:tcPr>
            <w:tcW w:w="13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155</w:t>
            </w:r>
          </w:p>
        </w:tc>
        <w:tc>
          <w:tcPr>
            <w:tcW w:w="13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160</w:t>
            </w:r>
          </w:p>
        </w:tc>
        <w:tc>
          <w:tcPr>
            <w:tcW w:w="13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165</w:t>
            </w:r>
          </w:p>
        </w:tc>
        <w:tc>
          <w:tcPr>
            <w:tcW w:w="13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165</w:t>
            </w:r>
          </w:p>
        </w:tc>
        <w:tc>
          <w:tcPr>
            <w:tcW w:w="13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165</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810</w:t>
            </w:r>
          </w:p>
        </w:tc>
      </w:tr>
      <w:tr>
        <w:trPr>
          <w:trHeight w:val="203"/>
        </w:trPr>
        <w:tc>
          <w:tcPr>
            <w:tcW w:w="364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Generation capacity projects</w:t>
            </w:r>
          </w:p>
        </w:tc>
        <w:tc>
          <w:tcPr>
            <w:tcW w:w="130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150</w:t>
            </w:r>
          </w:p>
        </w:tc>
        <w:tc>
          <w:tcPr>
            <w:tcW w:w="130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190</w:t>
            </w:r>
          </w:p>
        </w:tc>
        <w:tc>
          <w:tcPr>
            <w:tcW w:w="130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165</w:t>
            </w:r>
          </w:p>
        </w:tc>
        <w:tc>
          <w:tcPr>
            <w:tcW w:w="132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65</w:t>
            </w:r>
          </w:p>
        </w:tc>
        <w:tc>
          <w:tcPr>
            <w:tcW w:w="130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570</w:t>
            </w:r>
          </w:p>
        </w:tc>
      </w:tr>
      <w:tr>
        <w:trPr>
          <w:trHeight w:val="203"/>
        </w:trPr>
        <w:tc>
          <w:tcPr>
            <w:tcW w:w="364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Technology, fleet &amp; facilities</w:t>
            </w:r>
          </w:p>
        </w:tc>
        <w:tc>
          <w:tcPr>
            <w:tcW w:w="130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125</w:t>
            </w:r>
          </w:p>
        </w:tc>
        <w:tc>
          <w:tcPr>
            <w:tcW w:w="130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135</w:t>
            </w:r>
          </w:p>
        </w:tc>
        <w:tc>
          <w:tcPr>
            <w:tcW w:w="130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145</w:t>
            </w:r>
          </w:p>
        </w:tc>
        <w:tc>
          <w:tcPr>
            <w:tcW w:w="13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145</w:t>
            </w:r>
          </w:p>
        </w:tc>
        <w:tc>
          <w:tcPr>
            <w:tcW w:w="130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145</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695</w:t>
            </w:r>
          </w:p>
        </w:tc>
      </w:tr>
      <w:tr>
        <w:trPr>
          <w:trHeight w:val="236"/>
        </w:trPr>
        <w:tc>
          <w:tcPr>
            <w:tcW w:w="364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$1,405</w:t>
            </w:r>
          </w:p>
        </w:tc>
        <w:tc>
          <w:tcPr>
            <w:tcW w:w="130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$1,510</w:t>
            </w:r>
          </w:p>
        </w:tc>
        <w:tc>
          <w:tcPr>
            <w:tcW w:w="130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$1,525</w:t>
            </w:r>
          </w:p>
        </w:tc>
        <w:tc>
          <w:tcPr>
            <w:tcW w:w="132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$1,445</w:t>
            </w:r>
          </w:p>
        </w:tc>
        <w:tc>
          <w:tcPr>
            <w:tcW w:w="130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$1,400</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$7,285</w:t>
            </w:r>
          </w:p>
        </w:tc>
      </w:tr>
    </w:tbl>
    <w:p>
      <w:pPr>
        <w:spacing w:after="0" w:line="184"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This current report includes forward-looking statements. OGE Energy and OG&amp;E (the "Registrants") based these forward-looking statements on their current expectations and projections about future events in light of their knowledge of facts as of the date of this current report and their assumptions about future circumstances. These forward-looking statements are subject to various risks and uncertainties that may be outside the control of the Registrants. The Registrants have no obligation to publicly update or revise any forward-looking statements, whether due to new information, future events, or otherwise. This current report should be read with the Registrants’ combined Annual Report on Form 10-K for the year ended December 31, 2024 and subsequent quarterly Reports on Form 10-Q. Additionally, OGE Energy provides direct links to the Registrants’ presentations, documents and other information at www.oge.com (Investor Center) in order to publicly disseminate such information.</w:t>
      </w:r>
    </w:p>
    <w:p>
      <w:pPr>
        <w:spacing w:after="0" w:line="167"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8"/>
          <w:szCs w:val="18"/>
          <w:color w:val="auto"/>
        </w:rPr>
        <w:t>This combined Current Report on Form 8-K is being furnished separately by the Registrants. Information contained herein relating to any individual Registrant has been furnished by such Registrant on its own behalf. No Registrant makes any representation as to information relating to any other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586740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98" w:lineRule="exact"/>
        <w:rPr>
          <w:sz w:val="20"/>
          <w:szCs w:val="20"/>
          <w:color w:val="auto"/>
        </w:rPr>
      </w:pPr>
    </w:p>
    <w:p>
      <w:pPr>
        <w:ind w:firstLine="374"/>
        <w:spacing w:after="0" w:line="271"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4900"/>
        <w:spacing w:after="0"/>
        <w:rPr>
          <w:sz w:val="20"/>
          <w:szCs w:val="20"/>
          <w:color w:val="auto"/>
        </w:rPr>
      </w:pPr>
      <w:r>
        <w:rPr>
          <w:rFonts w:ascii="Arial" w:cs="Arial" w:eastAsia="Arial" w:hAnsi="Arial"/>
          <w:sz w:val="18"/>
          <w:szCs w:val="18"/>
          <w:b w:val="1"/>
          <w:bCs w:val="1"/>
          <w:color w:val="auto"/>
        </w:rPr>
        <w:t>OGE ENERGY CORP.</w:t>
      </w:r>
    </w:p>
    <w:p>
      <w:pPr>
        <w:spacing w:after="0" w:line="104" w:lineRule="exact"/>
        <w:rPr>
          <w:sz w:val="20"/>
          <w:szCs w:val="20"/>
          <w:color w:val="auto"/>
        </w:rPr>
      </w:pPr>
    </w:p>
    <w:p>
      <w:pPr>
        <w:jc w:val="center"/>
        <w:ind w:left="4900"/>
        <w:spacing w:after="0"/>
        <w:rPr>
          <w:sz w:val="20"/>
          <w:szCs w:val="20"/>
          <w:color w:val="auto"/>
        </w:rPr>
      </w:pPr>
      <w:r>
        <w:rPr>
          <w:rFonts w:ascii="Arial" w:cs="Arial" w:eastAsia="Arial" w:hAnsi="Arial"/>
          <w:sz w:val="18"/>
          <w:szCs w:val="18"/>
          <w:b w:val="1"/>
          <w:bCs w:val="1"/>
          <w:color w:val="auto"/>
        </w:rPr>
        <w:t>OKLAHOMA GAS AND ELECTRIC COMPANY</w:t>
      </w:r>
    </w:p>
    <w:p>
      <w:pPr>
        <w:spacing w:after="0" w:line="90" w:lineRule="exact"/>
        <w:rPr>
          <w:sz w:val="20"/>
          <w:szCs w:val="20"/>
          <w:color w:val="auto"/>
        </w:rPr>
      </w:pPr>
    </w:p>
    <w:p>
      <w:pPr>
        <w:jc w:val="center"/>
        <w:ind w:left="4900"/>
        <w:spacing w:after="0"/>
        <w:rPr>
          <w:sz w:val="20"/>
          <w:szCs w:val="20"/>
          <w:color w:val="auto"/>
        </w:rPr>
      </w:pPr>
      <w:r>
        <w:rPr>
          <w:rFonts w:ascii="Arial" w:cs="Arial" w:eastAsia="Arial" w:hAnsi="Arial"/>
          <w:sz w:val="18"/>
          <w:szCs w:val="18"/>
          <w:color w:val="auto"/>
        </w:rPr>
        <w:t>(Registrant)</w:t>
      </w:r>
    </w:p>
    <w:p>
      <w:pPr>
        <w:spacing w:after="0" w:line="360" w:lineRule="exact"/>
        <w:rPr>
          <w:sz w:val="20"/>
          <w:szCs w:val="20"/>
          <w:color w:val="auto"/>
        </w:rPr>
      </w:pPr>
    </w:p>
    <w:p>
      <w:pPr>
        <w:ind w:left="4620"/>
        <w:spacing w:after="0"/>
        <w:tabs>
          <w:tab w:leader="none" w:pos="7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Sarah R. Stafford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26035</wp:posOffset>
            </wp:positionV>
            <wp:extent cx="40119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spacing w:after="0" w:line="70" w:lineRule="exact"/>
        <w:rPr>
          <w:sz w:val="20"/>
          <w:szCs w:val="20"/>
          <w:color w:val="auto"/>
        </w:rPr>
      </w:pPr>
    </w:p>
    <w:p>
      <w:pPr>
        <w:jc w:val="center"/>
        <w:ind w:left="4900"/>
        <w:spacing w:after="0"/>
        <w:rPr>
          <w:sz w:val="20"/>
          <w:szCs w:val="20"/>
          <w:color w:val="auto"/>
        </w:rPr>
      </w:pPr>
      <w:r>
        <w:rPr>
          <w:rFonts w:ascii="Arial" w:cs="Arial" w:eastAsia="Arial" w:hAnsi="Arial"/>
          <w:sz w:val="18"/>
          <w:szCs w:val="18"/>
          <w:color w:val="auto"/>
        </w:rPr>
        <w:t>Sarah R. Stafford</w:t>
      </w:r>
    </w:p>
    <w:p>
      <w:pPr>
        <w:spacing w:after="0" w:line="90" w:lineRule="exact"/>
        <w:rPr>
          <w:sz w:val="20"/>
          <w:szCs w:val="20"/>
          <w:color w:val="auto"/>
        </w:rPr>
      </w:pPr>
    </w:p>
    <w:p>
      <w:pPr>
        <w:jc w:val="center"/>
        <w:ind w:left="4960"/>
        <w:spacing w:after="0"/>
        <w:rPr>
          <w:sz w:val="20"/>
          <w:szCs w:val="20"/>
          <w:color w:val="auto"/>
        </w:rPr>
      </w:pPr>
      <w:r>
        <w:rPr>
          <w:rFonts w:ascii="Arial" w:cs="Arial" w:eastAsia="Arial" w:hAnsi="Arial"/>
          <w:sz w:val="18"/>
          <w:szCs w:val="18"/>
          <w:color w:val="auto"/>
        </w:rPr>
        <w:t>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November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2025-11-17T05:11:29Z</dcterms:created>
  <dcterms:modified xsi:type="dcterms:W3CDTF">2025-11-17T05:11:29Z</dcterms:modified>
</cp:coreProperties>
</file>