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ge-20260729.htm"/>
      <w:bookmarkStart w:id="1" w:name="ksoge20260729"/>
      <w:bookmarkEnd w:id="0"/>
      <w:bookmarkEnd w:id="1"/>
      <w:r>
        <w:rPr/>
        <w:t> </w:t>
      </w:r>
    </w:p>
    <w:p>
      <w:pPr>
        <w:pStyle w:val="TextBody"/>
        <w:bidi w:val="0"/>
        <w:jc w:val="center"/>
        <w:rPr/>
      </w:pPr>
      <w:bookmarkStart w:id="2" w:name="section1"/>
      <w:bookmarkEnd w:id="2"/>
      <w:r>
        <w:rPr/>
        <w:t> </w:t>
      </w:r>
    </w:p>
    <w:p>
      <w:pPr>
        <w:pStyle w:val="TextBody"/>
        <w:bidi w:val="0"/>
        <w:jc w:val="center"/>
        <w:rPr>
          <w:rFonts w:ascii="sans-serif" w:hAnsi="sans-serif"/>
          <w:b/>
          <w:color w:val="000000"/>
          <w:sz w:val="24"/>
        </w:rPr>
      </w:pPr>
      <w:r>
        <w:rPr>
          <w:rFonts w:ascii="sans-serif" w:hAnsi="sans-serif"/>
          <w:b/>
          <w:color w:val="000000"/>
          <w:sz w:val="24"/>
        </w:rPr>
        <w:t>UNITED STATES</w:t>
      </w:r>
    </w:p>
    <w:p>
      <w:pPr>
        <w:pStyle w:val="TextBody"/>
        <w:bidi w:val="0"/>
        <w:jc w:val="center"/>
        <w:rPr>
          <w:rFonts w:ascii="sans-serif" w:hAnsi="sans-serif"/>
          <w:b/>
          <w:color w:val="000000"/>
          <w:sz w:val="24"/>
        </w:rPr>
      </w:pPr>
      <w:r>
        <w:rPr>
          <w:rFonts w:ascii="sans-serif" w:hAnsi="sans-serif"/>
          <w:b/>
          <w:color w:val="000000"/>
          <w:sz w:val="24"/>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bidi w:val="0"/>
        <w:jc w:val="center"/>
        <w:rPr>
          <w:rFonts w:ascii="sans-serif" w:hAnsi="sans-serif"/>
          <w:b/>
          <w:color w:val="000000"/>
          <w:sz w:val="32"/>
        </w:rPr>
      </w:pPr>
      <w:r>
        <w:rPr>
          <w:rFonts w:ascii="sans-serif" w:hAnsi="sans-serif"/>
          <w:b/>
          <w:color w:val="000000"/>
          <w:sz w:val="32"/>
        </w:rPr>
        <w:t>FORM 8-K</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CURRENT REPORT</w:t>
      </w:r>
    </w:p>
    <w:p>
      <w:pPr>
        <w:pStyle w:val="TextBody"/>
        <w:bidi w:val="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10205" w:type="dxa"/>
        <w:jc w:val="left"/>
        <w:tblInd w:w="0" w:type="dxa"/>
        <w:tblLayout w:type="fixed"/>
        <w:tblCellMar>
          <w:top w:w="28" w:type="dxa"/>
          <w:left w:w="28" w:type="dxa"/>
          <w:bottom w:w="28" w:type="dxa"/>
          <w:right w:w="28" w:type="dxa"/>
        </w:tblCellMar>
      </w:tblPr>
      <w:tblGrid>
        <w:gridCol w:w="2360"/>
        <w:gridCol w:w="1534"/>
        <w:gridCol w:w="1924"/>
        <w:gridCol w:w="1459"/>
        <w:gridCol w:w="2928"/>
      </w:tblGrid>
      <w:tr>
        <w:trPr/>
        <w:tc>
          <w:tcPr>
            <w:tcW w:w="236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5818"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Date of report (Date of earliest event reported)</w:t>
            </w:r>
          </w:p>
        </w:tc>
        <w:tc>
          <w:tcPr>
            <w:tcW w:w="4387" w:type="dxa"/>
            <w:gridSpan w:val="2"/>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July 29, 2026</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0"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(Commission File Number)</w:t>
            </w:r>
          </w:p>
        </w:tc>
        <w:tc>
          <w:tcPr>
            <w:tcW w:w="4917"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(Exact Name of Registrants as Specified in Their Charters)</w:t>
            </w:r>
          </w:p>
        </w:tc>
        <w:tc>
          <w:tcPr>
            <w:tcW w:w="292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(I.R.S. Employer Identification No.)</w:t>
            </w:r>
          </w:p>
        </w:tc>
      </w:tr>
      <w:tr>
        <w:trPr/>
        <w:tc>
          <w:tcPr>
            <w:tcW w:w="2360"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1-12579</w:t>
            </w:r>
          </w:p>
        </w:tc>
        <w:tc>
          <w:tcPr>
            <w:tcW w:w="4917" w:type="dxa"/>
            <w:gridSpan w:val="3"/>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2928"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73-1481638</w:t>
            </w:r>
          </w:p>
        </w:tc>
      </w:tr>
      <w:tr>
        <w:trPr/>
        <w:tc>
          <w:tcPr>
            <w:tcW w:w="2360"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1-1097</w:t>
            </w:r>
          </w:p>
        </w:tc>
        <w:tc>
          <w:tcPr>
            <w:tcW w:w="4917" w:type="dxa"/>
            <w:gridSpan w:val="3"/>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GAS AND ELECTRIC COMPANY</w:t>
            </w:r>
          </w:p>
        </w:tc>
        <w:tc>
          <w:tcPr>
            <w:tcW w:w="2928"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73-0382390</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w:t>
            </w:r>
          </w:p>
        </w:tc>
      </w:tr>
      <w:tr>
        <w:trPr/>
        <w:tc>
          <w:tcPr>
            <w:tcW w:w="10205" w:type="dxa"/>
            <w:gridSpan w:val="5"/>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(State or Other Jurisdiction of Incorporation)</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0"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321 North Harvey</w:t>
            </w:r>
          </w:p>
        </w:tc>
        <w:tc>
          <w:tcPr>
            <w:tcW w:w="153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P.O. Box 321</w:t>
            </w:r>
          </w:p>
        </w:tc>
        <w:tc>
          <w:tcPr>
            <w:tcW w:w="192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City</w:t>
            </w:r>
          </w:p>
        </w:tc>
        <w:tc>
          <w:tcPr>
            <w:tcW w:w="1459"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w:t>
            </w:r>
          </w:p>
        </w:tc>
        <w:tc>
          <w:tcPr>
            <w:tcW w:w="292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73101-0321</w:t>
            </w:r>
          </w:p>
        </w:tc>
      </w:tr>
      <w:tr>
        <w:trPr/>
        <w:tc>
          <w:tcPr>
            <w:tcW w:w="7277" w:type="dxa"/>
            <w:gridSpan w:val="4"/>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(Address of Principal Executive Offices)</w:t>
            </w:r>
          </w:p>
        </w:tc>
        <w:tc>
          <w:tcPr>
            <w:tcW w:w="2928"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0"/>
        </w:rPr>
        <w:t>(405) 553-3000</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(Registrant's telephone number, including area code)</w:t>
      </w:r>
    </w:p>
    <w:tbl>
      <w:tblPr>
        <w:tblW w:w="6421" w:type="dxa"/>
        <w:jc w:val="left"/>
        <w:tblInd w:w="0" w:type="dxa"/>
        <w:tblLayout w:type="fixed"/>
        <w:tblCellMar>
          <w:top w:w="28" w:type="dxa"/>
          <w:left w:w="28" w:type="dxa"/>
          <w:bottom w:w="28" w:type="dxa"/>
          <w:right w:w="28" w:type="dxa"/>
        </w:tblCellMar>
      </w:tblPr>
      <w:tblGrid>
        <w:gridCol w:w="6421"/>
      </w:tblGrid>
      <w:tr>
        <w:trPr/>
        <w:tc>
          <w:tcPr>
            <w:tcW w:w="6421" w:type="dxa"/>
            <w:tcBorders/>
            <w:vAlign w:val="center"/>
          </w:tcPr>
          <w:p>
            <w:pPr>
              <w:pStyle w:val="TableContents"/>
              <w:bidi w:val="0"/>
              <w:spacing w:before="0" w:after="283"/>
              <w:jc w:val="left"/>
              <w:rPr>
                <w:sz w:val="4"/>
                <w:szCs w:val="4"/>
              </w:rPr>
            </w:pPr>
            <w:r>
              <w:rPr>
                <w:sz w:val="4"/>
                <w:szCs w:val="4"/>
              </w:rPr>
            </w:r>
          </w:p>
        </w:tc>
      </w:tr>
      <w:tr>
        <w:trPr/>
        <w:tc>
          <w:tcPr>
            <w:tcW w:w="642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Not Applicable</w:t>
            </w:r>
          </w:p>
        </w:tc>
      </w:tr>
      <w:tr>
        <w:trPr/>
        <w:tc>
          <w:tcPr>
            <w:tcW w:w="642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(Former Name or Former Address, if Changed Since Last Report)</w:t>
            </w:r>
          </w:p>
        </w:tc>
      </w:tr>
    </w:tbl>
    <w:p>
      <w:pPr>
        <w:pStyle w:val="TextBody"/>
        <w:bidi w:val="0"/>
        <w:jc w:val="center"/>
        <w:rPr/>
      </w:pPr>
      <w:r>
        <w:rPr/>
        <w:t> </w:t>
      </w:r>
    </w:p>
    <w:p>
      <w:pPr>
        <w:pStyle w:val="TextBody"/>
        <w:bidi w:val="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 (</w:t>
      </w:r>
      <w:r>
        <w:rPr>
          <w:rFonts w:ascii="sans-serif" w:hAnsi="sans-serif"/>
          <w:i/>
          <w:color w:val="000000"/>
          <w:sz w:val="20"/>
        </w:rPr>
        <w:t>see</w:t>
      </w:r>
      <w:r>
        <w:rPr>
          <w:rFonts w:ascii="Times New Roman" w:hAnsi="Times New Roman"/>
          <w:color w:val="000000"/>
          <w:sz w:val="20"/>
        </w:rPr>
        <w:t xml:space="preserve"> </w:t>
      </w:r>
      <w:r>
        <w:rPr>
          <w:rFonts w:ascii="sans-serif" w:hAnsi="sans-serif"/>
          <w:color w:val="000000"/>
          <w:sz w:val="20"/>
        </w:rPr>
        <w:t xml:space="preserve">General Instruction A.2. below):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13e-4(c) under the Exchange Act (17 CFR 240.13e-4(c))</w:t>
            </w:r>
          </w:p>
        </w:tc>
      </w:tr>
    </w:tbl>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3144"/>
        <w:gridCol w:w="1671"/>
        <w:gridCol w:w="1665"/>
        <w:gridCol w:w="3725"/>
      </w:tblGrid>
      <w:tr>
        <w:trPr/>
        <w:tc>
          <w:tcPr>
            <w:tcW w:w="314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314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c>
          <w:tcPr>
            <w:tcW w:w="16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Title of each class</w:t>
            </w:r>
          </w:p>
        </w:tc>
        <w:tc>
          <w:tcPr>
            <w:tcW w:w="166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Trading Symbol(s)</w:t>
            </w:r>
          </w:p>
        </w:tc>
        <w:tc>
          <w:tcPr>
            <w:tcW w:w="372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Name of each exchange on which registered</w:t>
            </w:r>
          </w:p>
        </w:tc>
      </w:tr>
      <w:tr>
        <w:trPr/>
        <w:tc>
          <w:tcPr>
            <w:tcW w:w="3144"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167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Common Stock</w:t>
            </w:r>
          </w:p>
        </w:tc>
        <w:tc>
          <w:tcPr>
            <w:tcW w:w="166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w:t>
            </w:r>
          </w:p>
        </w:tc>
        <w:tc>
          <w:tcPr>
            <w:tcW w:w="372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New York Stock Exchange</w:t>
            </w:r>
          </w:p>
        </w:tc>
      </w:tr>
      <w:tr>
        <w:trPr/>
        <w:tc>
          <w:tcPr>
            <w:tcW w:w="3144"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Gas and Electric Company</w:t>
            </w:r>
          </w:p>
        </w:tc>
        <w:tc>
          <w:tcPr>
            <w:tcW w:w="167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None</w:t>
            </w:r>
          </w:p>
        </w:tc>
        <w:tc>
          <w:tcPr>
            <w:tcW w:w="1665"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w:t>
            </w:r>
          </w:p>
        </w:tc>
        <w:tc>
          <w:tcPr>
            <w:tcW w:w="3725"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(§230.405) or Rule 12b-2 of the Securities Exchange Act of 1934 (§240.12b-2).</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sans-serif" w:hAnsi="sans-serif"/>
          <w:color w:val="000000"/>
          <w:sz w:val="20"/>
        </w:rPr>
        <w:t xml:space="preserve">Emerging growth company </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OGE Energy Corp. ("OGE Energy") is the parent company of Oklahoma Gas and Electric Company ("OG&amp;E"), a regulated electric company with approximately 917,000 customers in Oklahoma and western Arkansas.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July 29, 2026, OGE Energy issued a press release announcing its consolidated financial results for the quarter ended June 30, 2026. A copy of such press release is furnished as Exhibit 99.01 and incorporated by reference herein.</w:t>
      </w:r>
    </w:p>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601"/>
        <w:gridCol w:w="146"/>
        <w:gridCol w:w="8458"/>
      </w:tblGrid>
      <w:tr>
        <w:trPr/>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8" w:type="dxa"/>
            <w:tcBorders/>
            <w:vAlign w:val="center"/>
          </w:tcPr>
          <w:p>
            <w:pPr>
              <w:pStyle w:val="TableContents"/>
              <w:bidi w:val="0"/>
              <w:spacing w:before="0" w:after="283"/>
              <w:jc w:val="left"/>
              <w:rPr>
                <w:sz w:val="4"/>
                <w:szCs w:val="4"/>
              </w:rPr>
            </w:pPr>
            <w:r>
              <w:rPr>
                <w:sz w:val="4"/>
                <w:szCs w:val="4"/>
              </w:rPr>
            </w:r>
          </w:p>
        </w:tc>
      </w:tr>
      <w:tr>
        <w:trPr/>
        <w:tc>
          <w:tcPr>
            <w:tcW w:w="160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20"/>
              </w:rPr>
            </w:pPr>
            <w:r>
              <w:rPr>
                <w:rFonts w:ascii="sans-serif" w:hAnsi="sans-serif"/>
                <w:b/>
                <w:color w:val="000000"/>
                <w:sz w:val="20"/>
              </w:rPr>
              <w:t xml:space="preserve">(d) </w:t>
            </w:r>
            <w:r>
              <w:rPr>
                <w:rFonts w:ascii="sans-serif" w:hAnsi="sans-serif"/>
                <w:b/>
                <w:color w:val="000000"/>
                <w:sz w:val="20"/>
                <w:u w:val="single"/>
              </w:rPr>
              <w:t>Exhibits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u w:val="single"/>
              </w:rPr>
            </w:pPr>
            <w:r>
              <w:rPr>
                <w:rFonts w:ascii="sans-serif" w:hAnsi="sans-serif"/>
                <w:b/>
                <w:color w:val="000000"/>
                <w:sz w:val="20"/>
                <w:u w:val="single"/>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8" w:type="dxa"/>
            <w:tcBorders/>
            <w:tcMar>
              <w:top w:w="0" w:type="dxa"/>
              <w:left w:w="0" w:type="dxa"/>
              <w:bottom w:w="0" w:type="dxa"/>
              <w:right w:w="0" w:type="dxa"/>
            </w:tcMar>
            <w:vAlign w:val="center"/>
          </w:tcPr>
          <w:p>
            <w:pPr>
              <w:pStyle w:val="TableContents"/>
              <w:bidi w:val="0"/>
              <w:spacing w:before="75" w:after="30"/>
              <w:jc w:val="left"/>
              <w:rPr>
                <w:rFonts w:ascii="sans-serif" w:hAnsi="sans-serif"/>
                <w:b/>
                <w:color w:val="000000"/>
                <w:sz w:val="20"/>
                <w:u w:val="single"/>
              </w:rPr>
            </w:pPr>
            <w:r>
              <w:rPr>
                <w:rFonts w:ascii="sans-serif" w:hAnsi="sans-serif"/>
                <w:b/>
                <w:color w:val="000000"/>
                <w:sz w:val="20"/>
                <w:u w:val="single"/>
              </w:rPr>
              <w:t>Description</w:t>
            </w:r>
          </w:p>
        </w:tc>
      </w:tr>
      <w:tr>
        <w:trPr/>
        <w:tc>
          <w:tcPr>
            <w:tcW w:w="1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99.01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8" w:type="dxa"/>
            <w:tcBorders/>
            <w:tcMar>
              <w:top w:w="0" w:type="dxa"/>
              <w:left w:w="0" w:type="dxa"/>
              <w:bottom w:w="0" w:type="dxa"/>
              <w:right w:w="0" w:type="dxa"/>
            </w:tcMar>
            <w:vAlign w:val="center"/>
          </w:tcPr>
          <w:p>
            <w:pPr>
              <w:pStyle w:val="TableContents"/>
              <w:bidi w:val="0"/>
              <w:spacing w:before="0" w:after="283"/>
              <w:jc w:val="both"/>
              <w:rPr/>
            </w:pPr>
            <w:hyperlink w:anchor="oge-ex99_01.htm">
              <w:r>
                <w:rPr>
                  <w:rStyle w:val="InternetLink"/>
                  <w:rFonts w:ascii="sans-serif" w:hAnsi="sans-serif"/>
                  <w:color w:val="0000FF"/>
                  <w:sz w:val="20"/>
                  <w:u w:val="single"/>
                </w:rPr>
                <w:t>Press release dated July 29, 2026, announcing OGE Energy Corp. reports second quarter 2026 results.</w:t>
              </w:r>
            </w:hyperlink>
          </w:p>
        </w:tc>
      </w:tr>
      <w:tr>
        <w:trPr/>
        <w:tc>
          <w:tcPr>
            <w:tcW w:w="160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8" w:type="dxa"/>
            <w:tcBorders/>
            <w:tcMar>
              <w:top w:w="0" w:type="dxa"/>
              <w:left w:w="0" w:type="dxa"/>
              <w:bottom w:w="0" w:type="dxa"/>
              <w:right w:w="0" w:type="dxa"/>
            </w:tcMar>
            <w:vAlign w:val="center"/>
          </w:tcPr>
          <w:p>
            <w:pPr>
              <w:pStyle w:val="TableContents"/>
              <w:bidi w:val="0"/>
              <w:spacing w:before="75" w:after="30"/>
              <w:jc w:val="both"/>
              <w:rPr>
                <w:rFonts w:ascii="sans-serif" w:hAnsi="sans-serif"/>
                <w:color w:val="000000"/>
                <w:sz w:val="20"/>
              </w:rPr>
            </w:pPr>
            <w:r>
              <w:rPr>
                <w:rFonts w:ascii="sans-serif" w:hAnsi="sans-serif"/>
                <w:color w:val="000000"/>
                <w:sz w:val="20"/>
              </w:rPr>
              <w:t>Cover Page Interactive Data File - the cover page XBRL tags are embedded within the Inline XBRL document.</w:t>
            </w:r>
          </w:p>
        </w:tc>
      </w:tr>
    </w:tbl>
    <w:p>
      <w:pPr>
        <w:pStyle w:val="TextBody"/>
        <w:bidi w:val="0"/>
        <w:jc w:val="center"/>
        <w:rPr/>
      </w:pPr>
      <w:r>
        <w:rPr/>
        <w:t> </w:t>
      </w:r>
    </w:p>
    <w:p>
      <w:pPr>
        <w:pStyle w:val="TextBody"/>
        <w:bidi w:val="0"/>
        <w:spacing w:before="0" w:after="240"/>
        <w:jc w:val="both"/>
        <w:rPr>
          <w:rFonts w:ascii="sans-serif" w:hAnsi="sans-serif"/>
          <w:color w:val="000000"/>
          <w:sz w:val="20"/>
        </w:rPr>
      </w:pPr>
      <w:r>
        <w:rPr>
          <w:rFonts w:ascii="sans-serif" w:hAnsi="sans-serif"/>
          <w:color w:val="000000"/>
          <w:sz w:val="20"/>
        </w:rPr>
        <w:t>This combined Current Report on Form 8-K is being furnished separately by OGE Energy and OG&amp;E (Registrants). Information contained herein relating to any individual Registrant has been furnished by such Registrant on its own behalf. No Registrant makes any representation as to information relating to any other Registrant.</w:t>
      </w:r>
    </w:p>
    <w:p>
      <w:pPr>
        <w:pStyle w:val="TextBody"/>
        <w:bidi w:val="0"/>
        <w:spacing w:before="0" w:after="24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SIGNATURE</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Pursuant to the requirements of the Securities Exchange Act of 1934, each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237" w:type="dxa"/>
        <w:jc w:val="left"/>
        <w:tblInd w:w="0" w:type="dxa"/>
        <w:tblLayout w:type="fixed"/>
        <w:tblCellMar>
          <w:top w:w="28" w:type="dxa"/>
          <w:left w:w="28" w:type="dxa"/>
          <w:bottom w:w="28" w:type="dxa"/>
          <w:right w:w="28" w:type="dxa"/>
        </w:tblCellMar>
      </w:tblPr>
      <w:tblGrid>
        <w:gridCol w:w="436"/>
        <w:gridCol w:w="4801"/>
      </w:tblGrid>
      <w:tr>
        <w:trPr/>
        <w:tc>
          <w:tcPr>
            <w:tcW w:w="43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OGE ENERGY CORP.</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OKLAHOMA GAS AND ELECTRIC COMPANY</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By:</w:t>
            </w:r>
          </w:p>
        </w:tc>
        <w:tc>
          <w:tcPr>
            <w:tcW w:w="48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 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 </w:t>
            </w:r>
            <w:r>
              <w:rPr>
                <w:rFonts w:ascii="sans-serif" w:hAnsi="sans-serif"/>
                <w:color w:val="000000"/>
                <w:sz w:val="20"/>
              </w:rPr>
              <w:t>Controller and Chief Accounting Officer</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July 29,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3" w:name="oge-ex99_01.htm"/>
      <w:bookmarkStart w:id="4" w:name="ksogeex99_01"/>
      <w:bookmarkEnd w:id="3"/>
      <w:bookmarkEnd w:id="4"/>
      <w:r>
        <w:rPr>
          <w:rFonts w:ascii="sans-serif" w:hAnsi="sans-serif"/>
          <w:b/>
          <w:color w:val="000000"/>
          <w:sz w:val="20"/>
        </w:rPr>
        <w:t>Exhibit 99.01</w:t>
      </w:r>
      <w:r>
        <w:br w:type="page"/>
      </w:r>
    </w:p>
    <w:p>
      <w:pPr>
        <w:pStyle w:val="TextBody"/>
        <w:bidi w:val="0"/>
        <w:jc w:val="right"/>
        <w:rPr/>
      </w:pPr>
      <w:r>
        <w:rPr/>
        <w:t> </w:t>
      </w:r>
    </w:p>
    <w:p>
      <w:pPr>
        <w:pStyle w:val="TextBody"/>
        <w:bidi w:val="0"/>
        <w:jc w:val="center"/>
        <w:rPr>
          <w:rFonts w:ascii="sans-serif" w:hAnsi="sans-serif"/>
          <w:b/>
          <w:color w:val="000000"/>
          <w:sz w:val="24"/>
        </w:rPr>
      </w:pPr>
      <w:r>
        <w:rPr>
          <w:rFonts w:ascii="sans-serif" w:hAnsi="sans-serif"/>
          <w:b/>
          <w:color w:val="000000"/>
          <w:sz w:val="24"/>
        </w:rPr>
        <w:t>OGE Energy Corp. reports second quarter 2026 results</w:t>
      </w:r>
    </w:p>
    <w:p>
      <w:pPr>
        <w:pStyle w:val="TextBody"/>
        <w:bidi w:val="0"/>
        <w:jc w:val="both"/>
        <w:rPr>
          <w:rFonts w:ascii="Times New Roman" w:hAnsi="Times New Roman"/>
          <w:sz w:val="20"/>
        </w:rPr>
      </w:pPr>
      <w:r>
        <w:rPr>
          <w:rFonts w:ascii="sans-serif" w:hAnsi="sans-serif"/>
          <w:color w:val="000000"/>
          <w:sz w:val="20"/>
        </w:rPr>
        <w:t>OKLAHOMA CITY — OGE Energy Corp. (NYSE: OGE)</w:t>
      </w:r>
      <w:r>
        <w:rPr>
          <w:rFonts w:ascii="Arial" w:hAnsi="Arial"/>
          <w:color w:val="000000"/>
          <w:sz w:val="24"/>
        </w:rPr>
        <w:t>,</w:t>
      </w:r>
      <w:r>
        <w:rPr>
          <w:rFonts w:ascii="Times New Roman" w:hAnsi="Times New Roman"/>
          <w:color w:val="000000"/>
          <w:sz w:val="20"/>
        </w:rPr>
        <w:t xml:space="preserve"> </w:t>
      </w:r>
      <w:r>
        <w:rPr>
          <w:rFonts w:ascii="sans-serif" w:hAnsi="sans-serif"/>
          <w:color w:val="000000"/>
          <w:sz w:val="20"/>
        </w:rPr>
        <w:t>the parent company of Oklahoma Gas and Electric Company ("OG&amp;E"), today reported earnings of $0.56 per diluted share during the three months that ended June 30, 2026, compared to $0.53 per diluted share in the second quarter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OG&amp;E, a regulated electric company, contributed earnings of $0.58 per diluted share in the second quarter, compared to earnings of $0.53 per diluted share in the second quarter 2025.</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Other operations, which includes the holding company, contributed a loss of $0.02 per diluted share compared to breakeven results in the second quarter of 2025.</w:t>
      </w:r>
    </w:p>
    <w:p>
      <w:pPr>
        <w:pStyle w:val="TextBody"/>
        <w:bidi w:val="0"/>
        <w:jc w:val="both"/>
        <w:rPr>
          <w:rFonts w:ascii="sans-serif" w:hAnsi="sans-serif"/>
          <w:color w:val="000000"/>
          <w:sz w:val="20"/>
        </w:rPr>
      </w:pPr>
      <w:r>
        <w:rPr>
          <w:rFonts w:ascii="sans-serif" w:hAnsi="sans-serif"/>
          <w:color w:val="000000"/>
          <w:sz w:val="20"/>
        </w:rPr>
        <w:t>"Our second-quarter results reflect the strength of our business and the disciplined execution of our team as we advance investments that support reliable, affordable service for customers,” said Sean Trauschke, Chairman, President, and CEO of OGE Energy Corp. “We are making significant progress on initiatives that position OG&amp;E for incremental growth while maintaining a strong focus on protecting existing customers as we prepare to serve new large-load opportunities and support economic development."</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0"/>
        </w:rPr>
        <w:t>Second Quarter 2026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000000"/>
          <w:sz w:val="20"/>
        </w:rPr>
        <w:t xml:space="preserve">OG&amp;E </w:t>
      </w:r>
      <w:r>
        <w:rPr>
          <w:rFonts w:ascii="sans-serif" w:hAnsi="sans-serif"/>
          <w:color w:val="000000"/>
          <w:sz w:val="20"/>
        </w:rPr>
        <w:t>contributed net income of $120.1 million, or $0.58 per diluted share, in the second quarter compared to $107.7 million, or $0.53 per diluted share, in the same period 2025. The increase in net income was primarily due to increased recovery of capital investments and lower interest expense, partially offset by increased operation and maintenance expenses.</w:t>
      </w:r>
    </w:p>
    <w:p>
      <w:pPr>
        <w:pStyle w:val="TextBody"/>
        <w:bidi w:val="0"/>
        <w:jc w:val="left"/>
        <w:rPr/>
      </w:pPr>
      <w:r>
        <w:rPr/>
        <w:t> </w:t>
      </w:r>
    </w:p>
    <w:p>
      <w:pPr>
        <w:pStyle w:val="TextBody"/>
        <w:bidi w:val="0"/>
        <w:jc w:val="both"/>
        <w:rPr>
          <w:rFonts w:ascii="Times New Roman" w:hAnsi="Times New Roman"/>
          <w:sz w:val="20"/>
        </w:rPr>
      </w:pPr>
      <w:r>
        <w:rPr>
          <w:rFonts w:ascii="sans-serif" w:hAnsi="sans-serif"/>
          <w:b/>
          <w:i/>
          <w:color w:val="000000"/>
          <w:sz w:val="20"/>
        </w:rPr>
        <w:t>Other Operations</w:t>
      </w:r>
      <w:r>
        <w:rPr>
          <w:rFonts w:ascii="Times New Roman" w:hAnsi="Times New Roman"/>
          <w:color w:val="000000"/>
          <w:sz w:val="20"/>
        </w:rPr>
        <w:t xml:space="preserve"> </w:t>
      </w:r>
      <w:r>
        <w:rPr>
          <w:rFonts w:ascii="sans-serif" w:hAnsi="sans-serif"/>
          <w:color w:val="000000"/>
          <w:sz w:val="20"/>
        </w:rPr>
        <w:t>resulted in a loss of $3.8 million, or $0.02 per diluted share, in the second quarter compared to a loss of $0.2 million, in the same period 2025. The increased loss was primarily due to higher interest expense and a one-time benefit related to legacy midstream operations recognized in 2025, which was partially offset by increased other income.</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000000"/>
          <w:sz w:val="20"/>
        </w:rPr>
        <w:t>OGE Energy's</w:t>
      </w:r>
      <w:r>
        <w:rPr>
          <w:rFonts w:ascii="Times New Roman" w:hAnsi="Times New Roman"/>
          <w:color w:val="000000"/>
          <w:sz w:val="20"/>
        </w:rPr>
        <w:t xml:space="preserve"> </w:t>
      </w:r>
      <w:r>
        <w:rPr>
          <w:rFonts w:ascii="sans-serif" w:hAnsi="sans-serif"/>
          <w:color w:val="000000"/>
          <w:sz w:val="20"/>
        </w:rPr>
        <w:t>net income was $116.3 million or $0.56 per diluted share in the second quarter, compared to earnings of $107.5 million, or $0.53 per diluted share, in the same period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2026 Outlook</w:t>
      </w:r>
    </w:p>
    <w:p>
      <w:pPr>
        <w:pStyle w:val="TextBody"/>
        <w:bidi w:val="0"/>
        <w:jc w:val="both"/>
        <w:rPr>
          <w:rFonts w:ascii="Times New Roman" w:hAnsi="Times New Roman"/>
          <w:sz w:val="20"/>
        </w:rPr>
      </w:pPr>
      <w:r>
        <w:rPr>
          <w:rFonts w:ascii="sans-serif" w:hAnsi="sans-serif"/>
          <w:color w:val="000000"/>
          <w:sz w:val="20"/>
        </w:rPr>
        <w:t>OGE Energy's 2026 consolidated earnings guidance remains unchanged and is projected to be $2.43 per average diluted share, within a range of $2.38 to $2.48 per average diluted share. The guidance assumes, among other things, normal weather for the remainder of the year. OG&amp;E has significant seasonality in its earnings due to weather on a year-over-year basis.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See OGE Energy’s 2025 Form 10-K for other key factors and assumptions underlying its 2026 guidance.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Conference Call Webcast</w:t>
      </w:r>
    </w:p>
    <w:p>
      <w:pPr>
        <w:pStyle w:val="TextBody"/>
        <w:bidi w:val="0"/>
        <w:jc w:val="both"/>
        <w:rPr>
          <w:rFonts w:ascii="sans-serif" w:hAnsi="sans-serif"/>
          <w:color w:val="000000"/>
          <w:sz w:val="20"/>
        </w:rPr>
      </w:pPr>
      <w:r>
        <w:rPr>
          <w:rFonts w:ascii="sans-serif" w:hAnsi="sans-serif"/>
          <w:color w:val="000000"/>
          <w:sz w:val="20"/>
        </w:rPr>
        <w:t>OGE Energy Corp. will host an earnings and business update conference call on Wednesday, July 29, 2026, at 8 a.m. CDT. The conference will be available through the Investor Center at www.oge.com.</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sans-serif" w:hAnsi="sans-serif"/>
          <w:color w:val="000000"/>
          <w:sz w:val="20"/>
        </w:rPr>
      </w:pPr>
      <w:r>
        <w:rPr>
          <w:rFonts w:ascii="sans-serif" w:hAnsi="sans-serif"/>
          <w:color w:val="000000"/>
          <w:sz w:val="20"/>
        </w:rPr>
        <w:t>Some of the matters discussed in this news release may contain forward-looking statements that are subject to certain risks, uncertainties and assumptions. Such forward-looking statements are intended to be identified in this document by the words "anticipate," "believe," "estimate," "expect," "forecast," "intend," "objective," "plan," "possible," "potential," "project," "target" and similar expressions. Actual results may vary materially. Factors that could cause actual results to differ materially from the forward-looking statements include, but are not limited to: general economic conditions, including the availability of credit, access to existing lines of credit, access to the commercial paper markets, actions of rating agencies and inflation rates, and their impact on capital expenditures; the ability of the Company to access the capital markets and obtain financing on favorable terms, as well as inflation rates and monetary fluctuations; the ability to obtain timely and sufficient rate relief to allow for recovery of items such as capital expenditures, fuel and purchased power costs, operating costs, transmission costs and deferred expenditures; prices and availability of electricity, coal and natural gas; competitive factors, including the extent and timing of the entry of additional competition in the markets served by the Company, potentially through deregulation; the impact on demand for the Company's services resulting from cost-competitive advances in technology, such as distributed electricity generation and customer energy efficiency programs; technological developments, changing markets and other factors that result in competitive disadvantages and create the potential for impairment of existing assets; 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 availability and prices of raw materials and equipment for current and future construction projects; the effect of retroactive pricing of transactions in the SPP markets, adjustments in market pricing mechanisms by the SPP, or allocation of transmission upgrade costs; federal or state legislation and regulatory decisions and initiatives that affect cost and investment recovery, have an impact on rate structures or affect the speed and degree to which competition enters the Company's markets; environmental laws, safety laws or other regulations that may impact the cost of operations, restrict or change the way the Company's facilities are operated or result in stranded assets; the ability of the Company to meet future capacity requirements mandated by the SPP, which could be impacted by future load growth, environmental regulations, and the availability of resources; changes in accounting standards, rules or guidelines; the discontinuance of accounting principles for certain types of rate-regulated activities; the cost of protecting assets against, or damage due to, terrorism or cyberattacks, including the Company losing control of its assets and potential ransoms, and other catastrophic events; the availability, cost, coverage and terms of insurance; changes in the use, perception or regulation of generative artificial intelligence technologies, which could limit the Company's ability to utilize such technology, create risk of enhanced regulatory scrutiny, generate uncertainty around intellectual property ownership, licensing or use, or which could otherwise result in risk of damage to the Company's business, reputation or financial results; creditworthiness of suppliers, customers and other contractual parties, including large, new customers from industries such as cryptocurrency and data centers; social attitudes regarding the electric utility and power industries; identification of suitable investment opportunities to enhance shareholder returns and achieve long-term financial objectives through business acquisitions and divestitures; increased pension and healthcare costs; national and global events that could adversely affect and/or exacerbate macroeconomic conditions, including inflationary pressures, interest rate fluctuations, supply chain disruptions, economic recessions, pandemic health events, tariffs and uncertainty surrounding continued hostilities or sustained military campaigns, and their collateral consequences; costs and other effects of legal and administrative proceedings, settlements, investigations, claims and matters, including, but not limited to, those described in the Company's Form 10-Q for the quarter ended June 30, 2026; and other risk factors listed in the reports filed by the Company with the Securities and Exchange Commission, including those listed within the Company's most recent Form 10-K for the year ended December 31, 2025.</w:t>
      </w:r>
    </w:p>
    <w:p>
      <w:pPr>
        <w:pStyle w:val="TextBody"/>
        <w:bidi w:val="0"/>
        <w:jc w:val="left"/>
        <w:rPr>
          <w:rFonts w:ascii="sans-serif" w:hAnsi="sans-serif"/>
          <w:color w:val="000000"/>
          <w:sz w:val="20"/>
        </w:rPr>
      </w:pPr>
      <w:r>
        <w:rPr>
          <w:rFonts w:ascii="sans-serif" w:hAnsi="sans-serif"/>
          <w:color w:val="000000"/>
          <w:sz w:val="20"/>
        </w:rPr>
        <w:t>Note: Condensed Consolidated Statements of Income for OGE Energy Corp., Condensed Statements of Income and Comprehensive Income for Oklahoma Gas &amp; Electric Company, and Financial and Statistical Data for Oklahoma Gas &amp; Electric Company attached.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CONDENSED CONSOLIDATED STATEMENTS OF INCOME</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59"/>
        <w:gridCol w:w="146"/>
        <w:gridCol w:w="252"/>
        <w:gridCol w:w="755"/>
        <w:gridCol w:w="205"/>
        <w:gridCol w:w="153"/>
        <w:gridCol w:w="236"/>
        <w:gridCol w:w="677"/>
        <w:gridCol w:w="181"/>
        <w:gridCol w:w="146"/>
        <w:gridCol w:w="241"/>
        <w:gridCol w:w="931"/>
        <w:gridCol w:w="196"/>
        <w:gridCol w:w="146"/>
        <w:gridCol w:w="226"/>
        <w:gridCol w:w="826"/>
        <w:gridCol w:w="629"/>
      </w:tblGrid>
      <w:tr>
        <w:trPr/>
        <w:tc>
          <w:tcPr>
            <w:tcW w:w="4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25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6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688.0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1,460.8</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23.9</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711.9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1,489.3</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217.7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585.1</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248.9</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278.0</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25.8</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605.4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584.3</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191.6</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319.9</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net periodic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24.2</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128.0</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short-term debt and other interest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66.7</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139.5</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137.8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202.4</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116.3</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170.2</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202.0</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EARNINGS PER AVERAGE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0.85</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EARNINGS PER AVERAGE COMMON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0.56</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0.84</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jc w:val="center"/>
        <w:rPr>
          <w:rFonts w:ascii="sans-serif" w:hAnsi="sans-serif"/>
          <w:b/>
          <w:color w:val="000000"/>
          <w:sz w:val="20"/>
        </w:rPr>
      </w:pPr>
      <w:r>
        <w:rPr>
          <w:rFonts w:ascii="sans-serif" w:hAnsi="sans-serif"/>
          <w:b/>
          <w:color w:val="000000"/>
          <w:sz w:val="20"/>
        </w:rPr>
        <w:t>CONDENSED STATEMENTS OF INCOME AND COMPREHENSIVE INCOME</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63"/>
        <w:gridCol w:w="146"/>
        <w:gridCol w:w="252"/>
        <w:gridCol w:w="754"/>
        <w:gridCol w:w="204"/>
        <w:gridCol w:w="152"/>
        <w:gridCol w:w="236"/>
        <w:gridCol w:w="675"/>
        <w:gridCol w:w="181"/>
        <w:gridCol w:w="146"/>
        <w:gridCol w:w="241"/>
        <w:gridCol w:w="931"/>
        <w:gridCol w:w="196"/>
        <w:gridCol w:w="146"/>
        <w:gridCol w:w="226"/>
        <w:gridCol w:w="826"/>
        <w:gridCol w:w="630"/>
      </w:tblGrid>
      <w:tr>
        <w:trPr/>
        <w:tc>
          <w:tcPr>
            <w:tcW w:w="4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42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7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6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688.0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1,460.8</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23.9</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711.9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1,489.3</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217.7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585.1</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248.1</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278.0</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25.8</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583.5</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191.7</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320.7</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net periodic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10.6</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65.9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short-term debt and other interest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108.4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120.2</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216.4</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23.8</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jc w:val="center"/>
        <w:rPr>
          <w:rFonts w:ascii="sans-serif" w:hAnsi="sans-serif"/>
          <w:b/>
          <w:color w:val="000000"/>
          <w:sz w:val="20"/>
        </w:rPr>
      </w:pPr>
      <w:r>
        <w:rPr>
          <w:rFonts w:ascii="sans-serif" w:hAnsi="sans-serif"/>
          <w:b/>
          <w:color w:val="000000"/>
          <w:sz w:val="20"/>
        </w:rPr>
        <w:t>FINANCIAL AND STATISTICAL DATA</w:t>
      </w:r>
    </w:p>
    <w:tbl>
      <w:tblPr>
        <w:tblW w:w="10205" w:type="dxa"/>
        <w:jc w:val="left"/>
        <w:tblInd w:w="0" w:type="dxa"/>
        <w:tblLayout w:type="fixed"/>
        <w:tblCellMar>
          <w:top w:w="28" w:type="dxa"/>
          <w:left w:w="28" w:type="dxa"/>
          <w:bottom w:w="28" w:type="dxa"/>
          <w:right w:w="28" w:type="dxa"/>
        </w:tblCellMar>
      </w:tblPr>
      <w:tblGrid>
        <w:gridCol w:w="3904"/>
        <w:gridCol w:w="146"/>
        <w:gridCol w:w="241"/>
        <w:gridCol w:w="991"/>
        <w:gridCol w:w="146"/>
        <w:gridCol w:w="146"/>
        <w:gridCol w:w="226"/>
        <w:gridCol w:w="886"/>
        <w:gridCol w:w="146"/>
        <w:gridCol w:w="146"/>
        <w:gridCol w:w="241"/>
        <w:gridCol w:w="991"/>
        <w:gridCol w:w="146"/>
        <w:gridCol w:w="146"/>
        <w:gridCol w:w="226"/>
        <w:gridCol w:w="886"/>
        <w:gridCol w:w="591"/>
      </w:tblGrid>
      <w:tr>
        <w:trPr/>
        <w:tc>
          <w:tcPr>
            <w:tcW w:w="3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3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3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 by classification: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Oilfield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System sales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rate refund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Integrated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Transmission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revenues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MWh sales by classification </w:t>
            </w:r>
            <w:r>
              <w:rPr>
                <w:rFonts w:ascii="sans-serif" w:hAnsi="sans-serif"/>
                <w:i/>
                <w:color w:val="000000"/>
                <w:sz w:val="20"/>
              </w:rPr>
              <w:t>(In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Oilfield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System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Integrated market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sales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Number of customers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917,157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909,131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917,157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909,131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Weighted-average cost of energy per kilowatt-hour </w:t>
            </w:r>
            <w:r>
              <w:rPr>
                <w:rFonts w:ascii="sans-serif" w:hAnsi="sans-serif"/>
                <w:i/>
                <w:color w:val="000000"/>
                <w:sz w:val="20"/>
              </w:rPr>
              <w:t>(In cents)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Natural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fuel and purchased power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Degree days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Heating - Actual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Heating - Normal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Cooling - Actual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Cooling - Normal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sans-serif" w:hAnsi="sans-serif"/>
          <w:color w:val="000000"/>
          <w:sz w:val="20"/>
        </w:rPr>
      </w:pPr>
      <w:r>
        <w:rPr>
          <w:rFonts w:ascii="sans-serif" w:hAnsi="sans-serif"/>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day. The daily calculations are then totaled for the particular reporting period. The calculation of heating and cooling degree normal days is based on a 30-year average and weighted on a jurisdictional split.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2570</Words>
  <Characters>14339</Characters>
  <CharactersWithSpaces>17495</CharactersWithSpaces>
  <Paragraphs>1747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